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452"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5"/>
        <w:gridCol w:w="3844"/>
        <w:gridCol w:w="5387"/>
      </w:tblGrid>
      <w:tr w:rsidR="00A96B21" w:rsidRPr="00EA71D3" w14:paraId="17A00810" w14:textId="77777777" w:rsidTr="009A429E">
        <w:trPr>
          <w:trHeight w:val="851"/>
        </w:trPr>
        <w:tc>
          <w:tcPr>
            <w:tcW w:w="478" w:type="pct"/>
            <w:tcBorders>
              <w:bottom w:val="single" w:sz="8" w:space="0" w:color="auto"/>
            </w:tcBorders>
            <w:vAlign w:val="bottom"/>
          </w:tcPr>
          <w:p w14:paraId="5DDA4121" w14:textId="77777777" w:rsidR="00A96B21" w:rsidRPr="00EA71D3" w:rsidRDefault="00A96B21">
            <w:pPr>
              <w:spacing w:after="120"/>
              <w:jc w:val="left"/>
              <w:rPr>
                <w:lang w:val="fr-FR"/>
              </w:rPr>
            </w:pPr>
            <w:bookmarkStart w:id="0" w:name="_Hlk137651738"/>
            <w:r w:rsidRPr="00EA71D3">
              <w:rPr>
                <w:noProof/>
                <w:lang w:val="fr-FR" w:eastAsia="fr-CA"/>
              </w:rPr>
              <w:drawing>
                <wp:inline distT="0" distB="0" distL="0" distR="0" wp14:anchorId="437ED3B2" wp14:editId="0C2C629A">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83" w:type="pct"/>
            <w:tcBorders>
              <w:bottom w:val="single" w:sz="8" w:space="0" w:color="auto"/>
            </w:tcBorders>
            <w:shd w:val="clear" w:color="auto" w:fill="auto"/>
            <w:tcFitText/>
            <w:vAlign w:val="bottom"/>
          </w:tcPr>
          <w:p w14:paraId="190166F5" w14:textId="2FABB768" w:rsidR="00A96B21" w:rsidRPr="00EA71D3" w:rsidRDefault="0005108B">
            <w:pPr>
              <w:spacing w:after="120"/>
              <w:jc w:val="left"/>
              <w:rPr>
                <w:lang w:val="fr-FR"/>
              </w:rPr>
            </w:pPr>
            <w:r w:rsidRPr="00C94F27">
              <w:rPr>
                <w:noProof/>
                <w:lang w:val="fr-FR" w:eastAsia="fr-CA"/>
              </w:rPr>
              <w:drawing>
                <wp:inline distT="0" distB="0" distL="0" distR="0" wp14:anchorId="69A7E765" wp14:editId="69650CFE">
                  <wp:extent cx="590550" cy="36195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p>
        </w:tc>
        <w:tc>
          <w:tcPr>
            <w:tcW w:w="2639" w:type="pct"/>
            <w:tcBorders>
              <w:bottom w:val="single" w:sz="8" w:space="0" w:color="auto"/>
            </w:tcBorders>
            <w:vAlign w:val="bottom"/>
          </w:tcPr>
          <w:p w14:paraId="65D781EB" w14:textId="5AA27F9F" w:rsidR="00A96B21" w:rsidRPr="00EA71D3" w:rsidRDefault="003D2C8D" w:rsidP="00184909">
            <w:pPr>
              <w:spacing w:after="120"/>
              <w:ind w:left="2021"/>
              <w:jc w:val="right"/>
              <w:rPr>
                <w:szCs w:val="22"/>
                <w:lang w:val="fr-FR"/>
              </w:rPr>
            </w:pPr>
            <w:r w:rsidRPr="00EA71D3">
              <w:rPr>
                <w:sz w:val="40"/>
                <w:szCs w:val="40"/>
                <w:lang w:val="fr-FR"/>
              </w:rPr>
              <w:t>CBD</w:t>
            </w:r>
            <w:r w:rsidRPr="00EA71D3">
              <w:rPr>
                <w:szCs w:val="22"/>
                <w:lang w:val="fr-FR"/>
              </w:rPr>
              <w:t>/</w:t>
            </w:r>
            <w:r w:rsidRPr="00EA71D3">
              <w:rPr>
                <w:lang w:val="fr-FR"/>
              </w:rPr>
              <w:t>SBSTTA/REC/26/9</w:t>
            </w:r>
          </w:p>
        </w:tc>
      </w:tr>
      <w:tr w:rsidR="00A96B21" w:rsidRPr="00EA71D3" w14:paraId="1AF31B0C" w14:textId="77777777" w:rsidTr="009A429E">
        <w:tc>
          <w:tcPr>
            <w:tcW w:w="2361" w:type="pct"/>
            <w:gridSpan w:val="2"/>
            <w:tcBorders>
              <w:top w:val="single" w:sz="8" w:space="0" w:color="auto"/>
              <w:bottom w:val="single" w:sz="12" w:space="0" w:color="auto"/>
            </w:tcBorders>
          </w:tcPr>
          <w:p w14:paraId="716212AB" w14:textId="466DC913" w:rsidR="00A96B21" w:rsidRPr="00EA71D3" w:rsidRDefault="0005108B">
            <w:pPr>
              <w:pStyle w:val="Cornernotation"/>
              <w:suppressLineNumbers/>
              <w:suppressAutoHyphens/>
              <w:spacing w:before="120" w:after="120"/>
              <w:ind w:right="0"/>
              <w:rPr>
                <w:lang w:val="fr-FR"/>
              </w:rPr>
            </w:pPr>
            <w:r w:rsidRPr="00EA71D3">
              <w:rPr>
                <w:bCs/>
                <w:noProof/>
                <w:lang w:val="fr-FR" w:eastAsia="fr-CA"/>
              </w:rPr>
              <w:drawing>
                <wp:inline distT="0" distB="0" distL="0" distR="0" wp14:anchorId="7CC7B33E" wp14:editId="14344D75">
                  <wp:extent cx="2857500" cy="1076325"/>
                  <wp:effectExtent l="0" t="0" r="0" b="9525"/>
                  <wp:docPr id="8" name="Image 8"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2639" w:type="pct"/>
            <w:tcBorders>
              <w:top w:val="single" w:sz="8" w:space="0" w:color="auto"/>
              <w:bottom w:val="single" w:sz="12" w:space="0" w:color="auto"/>
            </w:tcBorders>
          </w:tcPr>
          <w:p w14:paraId="5A73278D" w14:textId="366E988E" w:rsidR="00A96B21" w:rsidRPr="00EA71D3" w:rsidRDefault="00A96B21" w:rsidP="003C6F10">
            <w:pPr>
              <w:ind w:left="2584"/>
              <w:rPr>
                <w:sz w:val="22"/>
                <w:szCs w:val="22"/>
                <w:lang w:val="fr-FR"/>
              </w:rPr>
            </w:pPr>
            <w:r w:rsidRPr="00EA71D3">
              <w:rPr>
                <w:sz w:val="22"/>
                <w:szCs w:val="22"/>
                <w:lang w:val="fr-FR"/>
              </w:rPr>
              <w:t>Distr.</w:t>
            </w:r>
            <w:r w:rsidR="0005108B" w:rsidRPr="00EA71D3">
              <w:rPr>
                <w:sz w:val="22"/>
                <w:szCs w:val="22"/>
                <w:lang w:val="fr-FR"/>
              </w:rPr>
              <w:t> </w:t>
            </w:r>
            <w:r w:rsidRPr="00EA71D3">
              <w:rPr>
                <w:sz w:val="22"/>
                <w:szCs w:val="22"/>
                <w:lang w:val="fr-FR"/>
              </w:rPr>
              <w:t xml:space="preserve">: </w:t>
            </w:r>
            <w:r w:rsidR="003B5CCA" w:rsidRPr="00EA71D3">
              <w:rPr>
                <w:sz w:val="22"/>
                <w:szCs w:val="22"/>
                <w:lang w:val="fr-FR"/>
              </w:rPr>
              <w:t>Générale</w:t>
            </w:r>
          </w:p>
          <w:p w14:paraId="0EC128C3" w14:textId="4EE58898" w:rsidR="00A96B21" w:rsidRPr="00EA71D3" w:rsidRDefault="004D47D0" w:rsidP="003C6F10">
            <w:pPr>
              <w:ind w:left="2584"/>
              <w:rPr>
                <w:sz w:val="22"/>
                <w:szCs w:val="22"/>
                <w:lang w:val="fr-FR"/>
              </w:rPr>
            </w:pPr>
            <w:r w:rsidRPr="00EA71D3">
              <w:rPr>
                <w:sz w:val="22"/>
                <w:szCs w:val="22"/>
                <w:lang w:val="fr-FR"/>
              </w:rPr>
              <w:t>18</w:t>
            </w:r>
            <w:r w:rsidR="0005108B" w:rsidRPr="00EA71D3">
              <w:rPr>
                <w:sz w:val="22"/>
                <w:szCs w:val="22"/>
                <w:lang w:val="fr-FR"/>
              </w:rPr>
              <w:t> </w:t>
            </w:r>
            <w:r w:rsidR="00AB3C4C" w:rsidRPr="00EA71D3">
              <w:rPr>
                <w:sz w:val="22"/>
                <w:szCs w:val="22"/>
                <w:lang w:val="fr-FR"/>
              </w:rPr>
              <w:t>ma</w:t>
            </w:r>
            <w:r w:rsidR="003375B4" w:rsidRPr="00EA71D3">
              <w:rPr>
                <w:sz w:val="22"/>
                <w:szCs w:val="22"/>
                <w:lang w:val="fr-FR"/>
              </w:rPr>
              <w:t>i</w:t>
            </w:r>
            <w:r w:rsidR="00AB3C4C" w:rsidRPr="00EA71D3">
              <w:rPr>
                <w:sz w:val="22"/>
                <w:szCs w:val="22"/>
                <w:lang w:val="fr-FR"/>
              </w:rPr>
              <w:t xml:space="preserve"> 2024</w:t>
            </w:r>
          </w:p>
          <w:p w14:paraId="3C6C2380" w14:textId="5A8F505E" w:rsidR="00A96B21" w:rsidRPr="00EA71D3" w:rsidRDefault="0005108B" w:rsidP="003C6F10">
            <w:pPr>
              <w:ind w:left="2584"/>
              <w:rPr>
                <w:sz w:val="22"/>
                <w:szCs w:val="22"/>
                <w:lang w:val="fr-FR"/>
              </w:rPr>
            </w:pPr>
            <w:r w:rsidRPr="00EA71D3">
              <w:rPr>
                <w:sz w:val="22"/>
                <w:szCs w:val="22"/>
                <w:lang w:val="fr-FR"/>
              </w:rPr>
              <w:t>Français</w:t>
            </w:r>
            <w:r w:rsidRPr="00EA71D3">
              <w:rPr>
                <w:sz w:val="22"/>
                <w:szCs w:val="22"/>
                <w:lang w:val="fr-FR"/>
              </w:rPr>
              <w:br/>
            </w:r>
            <w:r w:rsidR="00A96B21" w:rsidRPr="00EA71D3">
              <w:rPr>
                <w:sz w:val="22"/>
                <w:szCs w:val="22"/>
                <w:lang w:val="fr-FR"/>
              </w:rPr>
              <w:t>Original : Anglais</w:t>
            </w:r>
          </w:p>
          <w:p w14:paraId="1B9AC137" w14:textId="77777777" w:rsidR="00A96B21" w:rsidRPr="00EA71D3" w:rsidRDefault="00A96B21">
            <w:pPr>
              <w:rPr>
                <w:lang w:val="fr-FR"/>
              </w:rPr>
            </w:pPr>
          </w:p>
        </w:tc>
      </w:tr>
    </w:tbl>
    <w:p w14:paraId="7B615A72" w14:textId="77777777" w:rsidR="00874541" w:rsidRPr="00EA71D3" w:rsidRDefault="00BF60B0" w:rsidP="009A429E">
      <w:pPr>
        <w:pStyle w:val="Cornernotation"/>
        <w:ind w:left="0" w:right="5249" w:firstLine="0"/>
        <w:rPr>
          <w:bCs/>
          <w:lang w:val="fr-FR"/>
        </w:rPr>
      </w:pPr>
      <w:r w:rsidRPr="00EA71D3">
        <w:rPr>
          <w:lang w:val="fr-FR"/>
        </w:rPr>
        <w:t>Organe subsidiaire chargé de fournir des avis scientifiques, techniques et technologiques</w:t>
      </w:r>
    </w:p>
    <w:p w14:paraId="60D7C55E" w14:textId="77777777" w:rsidR="00A96B21" w:rsidRPr="00EA71D3" w:rsidRDefault="00D163F5" w:rsidP="00A96B21">
      <w:pPr>
        <w:pStyle w:val="Cornernotation"/>
        <w:rPr>
          <w:bCs/>
          <w:sz w:val="22"/>
          <w:lang w:val="fr-FR"/>
        </w:rPr>
      </w:pPr>
      <w:r w:rsidRPr="00EA71D3">
        <w:rPr>
          <w:lang w:val="fr-FR"/>
        </w:rPr>
        <w:t>Vingt-sixième réunion</w:t>
      </w:r>
      <w:r w:rsidRPr="00EA71D3">
        <w:rPr>
          <w:bCs/>
          <w:sz w:val="22"/>
          <w:lang w:val="fr-FR"/>
        </w:rPr>
        <w:t xml:space="preserve"> </w:t>
      </w:r>
    </w:p>
    <w:p w14:paraId="50BB8E06" w14:textId="77777777" w:rsidR="00A96B21" w:rsidRPr="00EA71D3" w:rsidRDefault="00435A96" w:rsidP="00A96B21">
      <w:pPr>
        <w:pStyle w:val="Venuedate"/>
        <w:rPr>
          <w:lang w:val="fr-FR"/>
        </w:rPr>
      </w:pPr>
      <w:r w:rsidRPr="00EA71D3">
        <w:rPr>
          <w:lang w:val="fr-FR"/>
        </w:rPr>
        <w:t>Nairobi, 13-18 mai 2024</w:t>
      </w:r>
    </w:p>
    <w:p w14:paraId="46446514" w14:textId="2434913A" w:rsidR="00A96B21" w:rsidRPr="00EA71D3" w:rsidRDefault="00A96B21" w:rsidP="00A96B21">
      <w:pPr>
        <w:pStyle w:val="Cornernotation-Item"/>
        <w:rPr>
          <w:b w:val="0"/>
          <w:bCs w:val="0"/>
          <w:lang w:val="fr-FR"/>
        </w:rPr>
      </w:pPr>
      <w:r w:rsidRPr="00EA71D3">
        <w:rPr>
          <w:b w:val="0"/>
          <w:bCs w:val="0"/>
          <w:lang w:val="fr-FR"/>
        </w:rPr>
        <w:t>Point 9 de l’ordre du jour provisoire</w:t>
      </w:r>
    </w:p>
    <w:p w14:paraId="48E6957E" w14:textId="77777777" w:rsidR="00A96B21" w:rsidRPr="00EA71D3" w:rsidRDefault="000536EC" w:rsidP="00A96B21">
      <w:pPr>
        <w:pStyle w:val="Cornernotation-Item"/>
        <w:rPr>
          <w:lang w:val="fr-FR"/>
        </w:rPr>
      </w:pPr>
      <w:r w:rsidRPr="00EA71D3">
        <w:rPr>
          <w:lang w:val="fr-FR"/>
        </w:rPr>
        <w:t>Biodiversité et santé</w:t>
      </w:r>
    </w:p>
    <w:p w14:paraId="1BB162B7" w14:textId="77777777" w:rsidR="003B5CCA" w:rsidRPr="00EA71D3" w:rsidRDefault="003B5CCA" w:rsidP="00A96B21">
      <w:pPr>
        <w:pStyle w:val="Cornernotation-Item"/>
        <w:rPr>
          <w:lang w:val="fr-FR"/>
        </w:rPr>
      </w:pPr>
    </w:p>
    <w:p w14:paraId="4C7679D6" w14:textId="400C216C" w:rsidR="003B5CCA" w:rsidRPr="00EA71D3" w:rsidRDefault="00E932AE" w:rsidP="003B5CCA">
      <w:pPr>
        <w:pStyle w:val="CBD-title-recommendationdecision"/>
        <w:ind w:left="567"/>
        <w:rPr>
          <w:rFonts w:hint="eastAsia"/>
          <w:lang w:val="fr-FR" w:eastAsia="zh-CN"/>
        </w:rPr>
      </w:pPr>
      <w:r w:rsidRPr="00E932AE">
        <w:rPr>
          <w:lang w:val="fr-FR"/>
        </w:rPr>
        <w:t>Recommandation adoptée par l'Organe subsidiaire chargé de fournir des avis scientifiques, techniques et technologiques le 18 mai 2024</w:t>
      </w:r>
    </w:p>
    <w:bookmarkEnd w:id="0"/>
    <w:p w14:paraId="5101EBD2" w14:textId="78A5FB0A" w:rsidR="00A96B21" w:rsidRPr="00EA71D3" w:rsidRDefault="001A7DDB" w:rsidP="009A429E">
      <w:pPr>
        <w:pStyle w:val="Title"/>
        <w:jc w:val="left"/>
        <w:rPr>
          <w:rFonts w:hint="eastAsia"/>
          <w:lang w:val="fr-FR"/>
        </w:rPr>
      </w:pPr>
      <w:sdt>
        <w:sdtPr>
          <w:rPr>
            <w:lang w:val="fr-FR"/>
          </w:rPr>
          <w:alias w:val="Titre"/>
          <w:tag w:val=""/>
          <w:id w:val="-1975355689"/>
          <w:placeholder>
            <w:docPart w:val="F6C86391E5EB44E889FF51F9905FA671"/>
          </w:placeholder>
          <w:dataBinding w:prefixMappings="xmlns:ns0='http://purl.org/dc/elements/1.1/' xmlns:ns1='http://schemas.openxmlformats.org/package/2006/metadata/core-properties' " w:xpath="/ns1:coreProperties[1]/ns0:title[1]" w:storeItemID="{6C3C8BC8-F283-45AE-878A-BAB7291924A1}"/>
          <w:text/>
        </w:sdtPr>
        <w:sdtEndPr/>
        <w:sdtContent>
          <w:r w:rsidR="003B5CCA" w:rsidRPr="00EA71D3">
            <w:rPr>
              <w:lang w:val="fr-FR"/>
            </w:rPr>
            <w:t>26/9.</w:t>
          </w:r>
          <w:r w:rsidR="003B5CCA" w:rsidRPr="00EA71D3">
            <w:rPr>
              <w:lang w:val="fr-FR"/>
            </w:rPr>
            <w:tab/>
            <w:t>Biodiversité et santé</w:t>
          </w:r>
        </w:sdtContent>
      </w:sdt>
    </w:p>
    <w:p w14:paraId="0B571497" w14:textId="77777777" w:rsidR="003F4720" w:rsidRPr="00EA71D3" w:rsidRDefault="003F4720" w:rsidP="003F4720">
      <w:pPr>
        <w:pStyle w:val="Para10"/>
        <w:numPr>
          <w:ilvl w:val="0"/>
          <w:numId w:val="0"/>
        </w:numPr>
        <w:ind w:firstLine="567"/>
        <w:rPr>
          <w:i/>
          <w:iCs/>
          <w:lang w:val="fr-FR"/>
        </w:rPr>
      </w:pPr>
      <w:r w:rsidRPr="00EA71D3">
        <w:rPr>
          <w:i/>
          <w:iCs/>
          <w:lang w:val="fr-FR"/>
        </w:rPr>
        <w:t>L’Organe subsidiaire chargé de fournir des avis scientifiques, techniques et technologiques</w:t>
      </w:r>
    </w:p>
    <w:p w14:paraId="508A1D92" w14:textId="77777777" w:rsidR="003F4720" w:rsidRPr="00EA71D3" w:rsidRDefault="003F4720" w:rsidP="003F4720">
      <w:pPr>
        <w:ind w:firstLine="567"/>
        <w:rPr>
          <w:lang w:val="fr-FR"/>
        </w:rPr>
      </w:pPr>
      <w:r w:rsidRPr="00EA71D3">
        <w:rPr>
          <w:i/>
          <w:iCs/>
          <w:lang w:val="fr-FR"/>
        </w:rPr>
        <w:t>Recommande</w:t>
      </w:r>
      <w:r w:rsidRPr="00EA71D3">
        <w:rPr>
          <w:lang w:val="fr-FR"/>
        </w:rPr>
        <w:t xml:space="preserve"> que, à sa seizième réunion, la Conférence des Parties adopte une décision s’alignant sur ce qui suit : </w:t>
      </w:r>
    </w:p>
    <w:p w14:paraId="5D9D4813" w14:textId="77777777" w:rsidR="003F4720" w:rsidRPr="00EA71D3" w:rsidRDefault="003F4720" w:rsidP="003F4720">
      <w:pPr>
        <w:pStyle w:val="Para10"/>
        <w:numPr>
          <w:ilvl w:val="0"/>
          <w:numId w:val="0"/>
        </w:numPr>
        <w:ind w:left="567"/>
        <w:rPr>
          <w:lang w:val="fr-FR"/>
        </w:rPr>
      </w:pPr>
      <w:r w:rsidRPr="00EA71D3">
        <w:rPr>
          <w:lang w:val="fr-FR"/>
        </w:rPr>
        <w:tab/>
      </w:r>
      <w:r w:rsidRPr="00EA71D3">
        <w:rPr>
          <w:i/>
          <w:iCs/>
          <w:lang w:val="fr-FR"/>
        </w:rPr>
        <w:t>La Conférence des Parties</w:t>
      </w:r>
      <w:r w:rsidRPr="00EA71D3">
        <w:rPr>
          <w:lang w:val="fr-FR"/>
        </w:rPr>
        <w:t>,</w:t>
      </w:r>
    </w:p>
    <w:p w14:paraId="75E2D92A" w14:textId="77777777" w:rsidR="003F4720" w:rsidRPr="00EA71D3" w:rsidRDefault="003F4720" w:rsidP="003F4720">
      <w:pPr>
        <w:pStyle w:val="Para10"/>
        <w:numPr>
          <w:ilvl w:val="0"/>
          <w:numId w:val="0"/>
        </w:numPr>
        <w:tabs>
          <w:tab w:val="clear" w:pos="1134"/>
        </w:tabs>
        <w:ind w:left="567" w:firstLine="567"/>
        <w:rPr>
          <w:lang w:val="fr-FR"/>
        </w:rPr>
      </w:pPr>
      <w:r w:rsidRPr="00EA71D3">
        <w:rPr>
          <w:i/>
          <w:iCs/>
          <w:lang w:val="fr-FR"/>
        </w:rPr>
        <w:t xml:space="preserve">Rappelant </w:t>
      </w:r>
      <w:r w:rsidRPr="00EA71D3">
        <w:rPr>
          <w:lang w:val="fr-FR"/>
        </w:rPr>
        <w:t>ses décisions </w:t>
      </w:r>
      <w:hyperlink r:id="rId14" w:history="1">
        <w:r w:rsidRPr="00EA71D3">
          <w:rPr>
            <w:rStyle w:val="Hyperlink"/>
            <w:lang w:val="fr-FR"/>
          </w:rPr>
          <w:t>XII/21</w:t>
        </w:r>
      </w:hyperlink>
      <w:r w:rsidRPr="00EA71D3">
        <w:rPr>
          <w:lang w:val="fr-FR"/>
        </w:rPr>
        <w:t xml:space="preserve"> du 17 octobre 2014,</w:t>
      </w:r>
      <w:r w:rsidRPr="00EA71D3">
        <w:rPr>
          <w:i/>
          <w:iCs/>
          <w:lang w:val="fr-FR"/>
        </w:rPr>
        <w:t xml:space="preserve"> </w:t>
      </w:r>
      <w:hyperlink r:id="rId15" w:history="1">
        <w:r w:rsidRPr="00EA71D3">
          <w:rPr>
            <w:rStyle w:val="Hyperlink"/>
            <w:lang w:val="fr-FR"/>
          </w:rPr>
          <w:t>XIII/6</w:t>
        </w:r>
      </w:hyperlink>
      <w:r w:rsidRPr="00EA71D3">
        <w:rPr>
          <w:i/>
          <w:iCs/>
          <w:lang w:val="fr-FR"/>
        </w:rPr>
        <w:t xml:space="preserve"> </w:t>
      </w:r>
      <w:r w:rsidRPr="00EA71D3">
        <w:rPr>
          <w:lang w:val="fr-FR"/>
        </w:rPr>
        <w:t xml:space="preserve">du 17 décembre 2016, </w:t>
      </w:r>
      <w:hyperlink r:id="rId16" w:history="1">
        <w:r w:rsidRPr="00EA71D3">
          <w:rPr>
            <w:rStyle w:val="Hyperlink"/>
            <w:lang w:val="fr-FR"/>
          </w:rPr>
          <w:t>14/4</w:t>
        </w:r>
      </w:hyperlink>
      <w:r w:rsidRPr="00EA71D3">
        <w:rPr>
          <w:lang w:val="fr-FR"/>
        </w:rPr>
        <w:t xml:space="preserve"> du 22 novembre 2028 et </w:t>
      </w:r>
      <w:hyperlink r:id="rId17" w:history="1">
        <w:r w:rsidRPr="00EA71D3">
          <w:rPr>
            <w:rStyle w:val="Hyperlink"/>
            <w:lang w:val="fr-FR"/>
          </w:rPr>
          <w:t>15/29</w:t>
        </w:r>
      </w:hyperlink>
      <w:r w:rsidRPr="00EA71D3">
        <w:rPr>
          <w:lang w:val="fr-FR"/>
        </w:rPr>
        <w:t xml:space="preserve"> du 19 décembre 2022,</w:t>
      </w:r>
    </w:p>
    <w:p w14:paraId="1AB21F6A" w14:textId="77777777" w:rsidR="003F4720" w:rsidRPr="00EA71D3" w:rsidRDefault="003F4720" w:rsidP="003F4720">
      <w:pPr>
        <w:pStyle w:val="Para10"/>
        <w:numPr>
          <w:ilvl w:val="0"/>
          <w:numId w:val="0"/>
        </w:numPr>
        <w:ind w:left="567"/>
        <w:rPr>
          <w:lang w:val="fr-FR"/>
        </w:rPr>
      </w:pPr>
      <w:r w:rsidRPr="00EA71D3">
        <w:rPr>
          <w:i/>
          <w:iCs/>
          <w:lang w:val="fr-FR"/>
        </w:rPr>
        <w:tab/>
        <w:t xml:space="preserve">Rappelant également </w:t>
      </w:r>
      <w:r w:rsidRPr="00EA71D3">
        <w:rPr>
          <w:lang w:val="fr-FR"/>
        </w:rPr>
        <w:t>que le Cadre mondial de la biodiversité de Kunming-Montréal</w:t>
      </w:r>
      <w:r w:rsidRPr="00EA71D3">
        <w:rPr>
          <w:rStyle w:val="FootnoteReference"/>
          <w:lang w:val="fr-FR"/>
        </w:rPr>
        <w:footnoteReference w:id="2"/>
      </w:r>
      <w:r w:rsidRPr="00EA71D3">
        <w:rPr>
          <w:lang w:val="fr-FR"/>
        </w:rPr>
        <w:t xml:space="preserve"> reconnaît les interrelations entre la biodiversité et la santé et les trois objectifs de la Convention sur la diversité biologique</w:t>
      </w:r>
      <w:r w:rsidRPr="00EA71D3">
        <w:rPr>
          <w:rStyle w:val="FootnoteReference"/>
          <w:lang w:val="fr-FR"/>
        </w:rPr>
        <w:footnoteReference w:id="3"/>
      </w:r>
      <w:r w:rsidRPr="00EA71D3">
        <w:rPr>
          <w:lang w:val="fr-FR"/>
        </w:rPr>
        <w:t>,</w:t>
      </w:r>
    </w:p>
    <w:p w14:paraId="3E6BE26D" w14:textId="11049AF4" w:rsidR="003F4720" w:rsidRPr="00EA71D3" w:rsidRDefault="003F4720" w:rsidP="003F4720">
      <w:pPr>
        <w:pStyle w:val="Para10"/>
        <w:numPr>
          <w:ilvl w:val="0"/>
          <w:numId w:val="0"/>
        </w:numPr>
        <w:ind w:left="567"/>
        <w:rPr>
          <w:lang w:val="fr-FR"/>
        </w:rPr>
      </w:pPr>
      <w:r w:rsidRPr="00EA71D3">
        <w:rPr>
          <w:i/>
          <w:iCs/>
          <w:lang w:val="fr-FR"/>
        </w:rPr>
        <w:tab/>
        <w:t xml:space="preserve">Rappelant </w:t>
      </w:r>
      <w:r w:rsidR="00E23362" w:rsidRPr="00EA71D3">
        <w:rPr>
          <w:i/>
          <w:iCs/>
          <w:lang w:val="fr-FR"/>
        </w:rPr>
        <w:t xml:space="preserve">en outre </w:t>
      </w:r>
      <w:r w:rsidRPr="00EA71D3">
        <w:rPr>
          <w:lang w:val="fr-FR"/>
        </w:rPr>
        <w:t>le Cadre de l’initiative intersectorielle sur la biodiversité pour l’alimentation et la nutrition,</w:t>
      </w:r>
      <w:r w:rsidRPr="00EA71D3">
        <w:rPr>
          <w:i/>
          <w:iCs/>
          <w:lang w:val="fr-FR"/>
        </w:rPr>
        <w:t xml:space="preserve"> </w:t>
      </w:r>
      <w:r w:rsidRPr="00EA71D3">
        <w:rPr>
          <w:lang w:val="fr-FR"/>
        </w:rPr>
        <w:t>adoptée par la Conférence des Parties dans sa décision VIII/23</w:t>
      </w:r>
      <w:r w:rsidR="00B67430" w:rsidRPr="00EA71D3">
        <w:rPr>
          <w:lang w:val="fr-FR"/>
        </w:rPr>
        <w:t xml:space="preserve"> du 31 mars 2006</w:t>
      </w:r>
      <w:r w:rsidRPr="00EA71D3">
        <w:rPr>
          <w:lang w:val="fr-FR"/>
        </w:rPr>
        <w:t>,</w:t>
      </w:r>
    </w:p>
    <w:p w14:paraId="4BDA3CEC" w14:textId="7938A5C3" w:rsidR="003F4720" w:rsidRPr="00EA71D3" w:rsidRDefault="003F4720" w:rsidP="00B67430">
      <w:pPr>
        <w:pStyle w:val="Para10"/>
        <w:numPr>
          <w:ilvl w:val="0"/>
          <w:numId w:val="0"/>
        </w:numPr>
        <w:ind w:left="567"/>
        <w:rPr>
          <w:lang w:val="fr-FR"/>
        </w:rPr>
      </w:pPr>
      <w:r w:rsidRPr="00EA71D3">
        <w:rPr>
          <w:i/>
          <w:iCs/>
          <w:lang w:val="fr-FR"/>
        </w:rPr>
        <w:tab/>
        <w:t xml:space="preserve">Reconnaissant </w:t>
      </w:r>
      <w:r w:rsidRPr="00EA71D3">
        <w:rPr>
          <w:lang w:val="fr-FR"/>
        </w:rPr>
        <w:t xml:space="preserve">que la mise en œuvre du </w:t>
      </w:r>
      <w:r w:rsidR="00B67430" w:rsidRPr="00EA71D3">
        <w:rPr>
          <w:lang w:val="fr-FR"/>
        </w:rPr>
        <w:t>Cadre mondial de la biodiversité de Kunming-Montréal</w:t>
      </w:r>
      <w:r w:rsidRPr="00EA71D3">
        <w:rPr>
          <w:lang w:val="fr-FR"/>
        </w:rPr>
        <w:t xml:space="preserve"> contribuera à l’amélioration de la santé et du bien-être, y compris la santé physique</w:t>
      </w:r>
      <w:r w:rsidR="00B67430" w:rsidRPr="00EA71D3">
        <w:rPr>
          <w:lang w:val="fr-FR"/>
        </w:rPr>
        <w:t xml:space="preserve"> et mentale, </w:t>
      </w:r>
      <w:r w:rsidRPr="00EA71D3">
        <w:rPr>
          <w:lang w:val="fr-FR"/>
        </w:rPr>
        <w:t xml:space="preserve">en luttant contre les facteurs responsables de la perte de biodiversité, qui sont souvent aussi des facteurs responsables de la maladie, </w:t>
      </w:r>
      <w:r w:rsidR="00B67430" w:rsidRPr="00EA71D3">
        <w:rPr>
          <w:lang w:val="fr-FR"/>
        </w:rPr>
        <w:t xml:space="preserve">et prenant note des informations fournies dans le </w:t>
      </w:r>
      <w:r w:rsidR="004C75C2" w:rsidRPr="00EA71D3">
        <w:rPr>
          <w:lang w:val="fr-FR"/>
        </w:rPr>
        <w:t>document </w:t>
      </w:r>
      <w:r w:rsidRPr="00EA71D3">
        <w:rPr>
          <w:lang w:val="fr-FR"/>
        </w:rPr>
        <w:t xml:space="preserve">CBD/SBSTTA/26/INF/3, </w:t>
      </w:r>
    </w:p>
    <w:p w14:paraId="0E6014F6" w14:textId="40CEEE71" w:rsidR="003F4720" w:rsidRPr="00EA71D3" w:rsidRDefault="003F4720" w:rsidP="003F4720">
      <w:pPr>
        <w:pStyle w:val="Para10"/>
        <w:numPr>
          <w:ilvl w:val="0"/>
          <w:numId w:val="0"/>
        </w:numPr>
        <w:ind w:left="567"/>
        <w:rPr>
          <w:lang w:val="fr-FR"/>
        </w:rPr>
      </w:pPr>
      <w:r w:rsidRPr="00EA71D3">
        <w:rPr>
          <w:i/>
          <w:iCs/>
          <w:lang w:val="fr-FR"/>
        </w:rPr>
        <w:tab/>
      </w:r>
      <w:r w:rsidR="00E23362" w:rsidRPr="00EA71D3">
        <w:rPr>
          <w:i/>
          <w:iCs/>
          <w:lang w:val="fr-FR"/>
        </w:rPr>
        <w:t xml:space="preserve">Notant </w:t>
      </w:r>
      <w:r w:rsidR="00E23362" w:rsidRPr="00EA71D3">
        <w:rPr>
          <w:lang w:val="fr-FR"/>
        </w:rPr>
        <w:t>que le terme "santé" est défini dans la Constitution de l'Organisation mondiale de la Santé comme un état de complet bien-être physique, mental et social, et pas seulement comme l'absence de maladie ou d'infirmité</w:t>
      </w:r>
      <w:r w:rsidRPr="00EA71D3">
        <w:rPr>
          <w:color w:val="000000" w:themeColor="text1"/>
          <w:lang w:val="fr-FR"/>
        </w:rPr>
        <w:t xml:space="preserve">, </w:t>
      </w:r>
    </w:p>
    <w:p w14:paraId="1710D213" w14:textId="0361E25D" w:rsidR="003F4720" w:rsidRPr="00EA71D3" w:rsidRDefault="003F4720" w:rsidP="003F4720">
      <w:pPr>
        <w:pStyle w:val="Para10"/>
        <w:numPr>
          <w:ilvl w:val="0"/>
          <w:numId w:val="0"/>
        </w:numPr>
        <w:ind w:left="567"/>
        <w:rPr>
          <w:lang w:val="fr-FR"/>
        </w:rPr>
      </w:pPr>
      <w:r w:rsidRPr="00EA71D3">
        <w:rPr>
          <w:i/>
          <w:iCs/>
          <w:lang w:val="fr-FR"/>
        </w:rPr>
        <w:lastRenderedPageBreak/>
        <w:tab/>
        <w:t xml:space="preserve">Reconnaissant </w:t>
      </w:r>
      <w:r w:rsidRPr="00EA71D3">
        <w:rPr>
          <w:lang w:val="fr-FR"/>
        </w:rPr>
        <w:t xml:space="preserve">le rôle important de l’éducation et de la sensibilisation pour intégrer les interrelations entre la biodiversité et la santé au moyen </w:t>
      </w:r>
      <w:r w:rsidR="004C75C2" w:rsidRPr="00EA71D3">
        <w:rPr>
          <w:lang w:val="fr-FR"/>
        </w:rPr>
        <w:t>de l’approche « Une seule santé » et d</w:t>
      </w:r>
      <w:r w:rsidRPr="00EA71D3">
        <w:rPr>
          <w:lang w:val="fr-FR"/>
        </w:rPr>
        <w:t xml:space="preserve">’une démarche pangouvernementale et de l’ensemble de la société, </w:t>
      </w:r>
    </w:p>
    <w:p w14:paraId="7B57D8EC" w14:textId="5986AF82" w:rsidR="003F4720" w:rsidRPr="00EA71D3" w:rsidRDefault="003F4720" w:rsidP="003F4720">
      <w:pPr>
        <w:pStyle w:val="Para10"/>
        <w:numPr>
          <w:ilvl w:val="0"/>
          <w:numId w:val="0"/>
        </w:numPr>
        <w:ind w:left="567"/>
        <w:rPr>
          <w:i/>
          <w:iCs/>
          <w:lang w:val="fr-FR"/>
        </w:rPr>
      </w:pPr>
      <w:r w:rsidRPr="00EA71D3">
        <w:rPr>
          <w:i/>
          <w:iCs/>
          <w:lang w:val="fr-FR"/>
        </w:rPr>
        <w:tab/>
        <w:t xml:space="preserve">Se félicitant de </w:t>
      </w:r>
      <w:r w:rsidRPr="00EA71D3">
        <w:rPr>
          <w:lang w:val="fr-FR"/>
        </w:rPr>
        <w:t xml:space="preserve">la participation de l’Alliance quadripartite </w:t>
      </w:r>
      <w:r w:rsidR="00BC324B" w:rsidRPr="00EA71D3">
        <w:rPr>
          <w:lang w:val="fr-FR"/>
        </w:rPr>
        <w:t xml:space="preserve">sur l’approche </w:t>
      </w:r>
      <w:r w:rsidRPr="00EA71D3">
        <w:rPr>
          <w:lang w:val="fr-FR"/>
        </w:rPr>
        <w:t>« </w:t>
      </w:r>
      <w:r w:rsidR="00CB1651" w:rsidRPr="00EA71D3">
        <w:rPr>
          <w:lang w:val="fr-FR"/>
        </w:rPr>
        <w:t>U</w:t>
      </w:r>
      <w:r w:rsidRPr="00EA71D3">
        <w:rPr>
          <w:lang w:val="fr-FR"/>
        </w:rPr>
        <w:t xml:space="preserve">ne seule santé » à l’élaboration du </w:t>
      </w:r>
      <w:r w:rsidR="004C75C2" w:rsidRPr="00EA71D3">
        <w:rPr>
          <w:lang w:val="fr-FR"/>
        </w:rPr>
        <w:t xml:space="preserve">projet de </w:t>
      </w:r>
      <w:r w:rsidRPr="00EA71D3">
        <w:rPr>
          <w:lang w:val="fr-FR"/>
        </w:rPr>
        <w:t xml:space="preserve">Plan d’action mondial </w:t>
      </w:r>
      <w:r w:rsidR="00CB1651" w:rsidRPr="00EA71D3">
        <w:rPr>
          <w:lang w:val="fr-FR"/>
        </w:rPr>
        <w:t xml:space="preserve">sur </w:t>
      </w:r>
      <w:r w:rsidRPr="00EA71D3">
        <w:rPr>
          <w:lang w:val="fr-FR"/>
        </w:rPr>
        <w:t>la biodiversité et la santé,</w:t>
      </w:r>
      <w:r w:rsidR="004C75C2" w:rsidRPr="00EA71D3">
        <w:rPr>
          <w:lang w:val="fr-FR"/>
        </w:rPr>
        <w:t xml:space="preserve"> tout en reconnaissant l’importance de maintenir la conformité aux mandats existants,</w:t>
      </w:r>
    </w:p>
    <w:p w14:paraId="7429D483" w14:textId="77777777" w:rsidR="003F4720" w:rsidRPr="00EA71D3" w:rsidRDefault="003F4720" w:rsidP="003F4720">
      <w:pPr>
        <w:pStyle w:val="Para10"/>
        <w:numPr>
          <w:ilvl w:val="0"/>
          <w:numId w:val="0"/>
        </w:numPr>
        <w:ind w:left="567"/>
        <w:rPr>
          <w:lang w:val="fr-FR"/>
        </w:rPr>
      </w:pPr>
      <w:r w:rsidRPr="00EA71D3">
        <w:rPr>
          <w:i/>
          <w:iCs/>
          <w:lang w:val="fr-FR"/>
        </w:rPr>
        <w:tab/>
        <w:t xml:space="preserve">Soulignant </w:t>
      </w:r>
      <w:r w:rsidRPr="00EA71D3">
        <w:rPr>
          <w:lang w:val="fr-FR"/>
        </w:rPr>
        <w:t>les travaux en cours de la Plateforme intergouvernementale scientifique et politique sur la biodiversité et les services écosystémiques en matière d’évaluation thématique des interrelations entre la biodiversité, l’eau, l’alimentation et la santé,</w:t>
      </w:r>
    </w:p>
    <w:p w14:paraId="03CA8C52" w14:textId="000D5AB6" w:rsidR="003F4720" w:rsidRPr="00EA71D3" w:rsidRDefault="00E23362" w:rsidP="003F4720">
      <w:pPr>
        <w:pStyle w:val="Para10"/>
        <w:numPr>
          <w:ilvl w:val="0"/>
          <w:numId w:val="0"/>
        </w:numPr>
        <w:ind w:left="567" w:firstLine="567"/>
        <w:rPr>
          <w:lang w:val="fr-FR"/>
        </w:rPr>
      </w:pPr>
      <w:r w:rsidRPr="00EA71D3">
        <w:rPr>
          <w:i/>
          <w:iCs/>
          <w:lang w:val="fr-FR"/>
        </w:rPr>
        <w:t xml:space="preserve">[Reconnaissant </w:t>
      </w:r>
      <w:r w:rsidRPr="00EA71D3">
        <w:rPr>
          <w:lang w:val="fr-FR"/>
        </w:rPr>
        <w:t>les liens potentiels entre le projet de plan d'action mondial sur la biodiversité et la santé et plusieurs questions traitées dans les résultats du processus d'analyse prospective, de suivi et d'évaluation élargi et régulier du Groupe spécial d'experts techniques multidisciplinaire sur la biologie de synthèse à l'appui de ce processus</w:t>
      </w:r>
      <w:r w:rsidR="003F4720" w:rsidRPr="00EA71D3">
        <w:rPr>
          <w:lang w:val="fr-FR"/>
        </w:rPr>
        <w:t>,</w:t>
      </w:r>
      <w:r w:rsidRPr="00EA71D3">
        <w:rPr>
          <w:rStyle w:val="FootnoteReference"/>
          <w:lang w:val="fr-FR"/>
        </w:rPr>
        <w:t xml:space="preserve"> </w:t>
      </w:r>
      <w:r w:rsidRPr="00EA71D3">
        <w:rPr>
          <w:rStyle w:val="FootnoteReference"/>
          <w:lang w:val="fr-FR"/>
        </w:rPr>
        <w:footnoteReference w:id="4"/>
      </w:r>
      <w:r w:rsidR="008A7A89" w:rsidRPr="00EA71D3">
        <w:rPr>
          <w:lang w:val="fr-FR"/>
        </w:rPr>
        <w:t>]</w:t>
      </w:r>
    </w:p>
    <w:p w14:paraId="0C75DA78" w14:textId="0FF0B89B" w:rsidR="003F4720" w:rsidRPr="00EA71D3" w:rsidRDefault="003F4720" w:rsidP="003F4720">
      <w:pPr>
        <w:pStyle w:val="Para10"/>
        <w:numPr>
          <w:ilvl w:val="0"/>
          <w:numId w:val="0"/>
        </w:numPr>
        <w:ind w:left="567"/>
        <w:rPr>
          <w:lang w:val="fr-FR"/>
        </w:rPr>
      </w:pPr>
      <w:r w:rsidRPr="00EA71D3">
        <w:rPr>
          <w:lang w:val="fr-FR"/>
        </w:rPr>
        <w:tab/>
      </w:r>
      <w:r w:rsidR="00E23362" w:rsidRPr="00EA71D3">
        <w:rPr>
          <w:i/>
          <w:iCs/>
          <w:lang w:val="fr-FR"/>
        </w:rPr>
        <w:t xml:space="preserve">Prenant note </w:t>
      </w:r>
      <w:r w:rsidR="00E23362" w:rsidRPr="00EA71D3">
        <w:rPr>
          <w:lang w:val="fr-FR"/>
        </w:rPr>
        <w:t>des possibilités d'intégrer la biodiversité dans les mesures de relance et de redressement à la suite de la maladie à coronavirus (COVID-19), telles qu'elles figurent dans le document CBD/SBSTTA/26/INF/3, et dans le Manifeste de l'Organisation mondiale de la Santé pour un monde en meilleure santé après la COVID-19</w:t>
      </w:r>
      <w:r w:rsidRPr="00EA71D3">
        <w:rPr>
          <w:rStyle w:val="FootnoteReference"/>
          <w:lang w:val="fr-FR"/>
        </w:rPr>
        <w:footnoteReference w:id="5"/>
      </w:r>
      <w:r w:rsidRPr="00EA71D3">
        <w:rPr>
          <w:lang w:val="fr-FR"/>
        </w:rPr>
        <w:t>,</w:t>
      </w:r>
    </w:p>
    <w:p w14:paraId="204AD54F" w14:textId="596874BD" w:rsidR="003F4720" w:rsidRPr="00EA71D3" w:rsidRDefault="003F4720" w:rsidP="003F4720">
      <w:pPr>
        <w:pStyle w:val="Para10"/>
        <w:numPr>
          <w:ilvl w:val="0"/>
          <w:numId w:val="0"/>
        </w:numPr>
        <w:ind w:left="567"/>
        <w:rPr>
          <w:lang w:val="fr-FR"/>
        </w:rPr>
      </w:pPr>
      <w:r w:rsidRPr="00EA71D3">
        <w:rPr>
          <w:i/>
          <w:iCs/>
          <w:lang w:val="fr-FR"/>
        </w:rPr>
        <w:tab/>
        <w:t xml:space="preserve">Soulignant </w:t>
      </w:r>
      <w:r w:rsidRPr="00EA71D3">
        <w:rPr>
          <w:lang w:val="fr-FR"/>
        </w:rPr>
        <w:t xml:space="preserve">l’importance que les autres organisations et initiatives accordent aux interrelations </w:t>
      </w:r>
      <w:r w:rsidR="008A7A89" w:rsidRPr="00EA71D3">
        <w:rPr>
          <w:lang w:val="fr-FR"/>
        </w:rPr>
        <w:t>entre</w:t>
      </w:r>
      <w:r w:rsidRPr="00EA71D3">
        <w:rPr>
          <w:lang w:val="fr-FR"/>
        </w:rPr>
        <w:t xml:space="preserve"> la biodiversité et de la santé, </w:t>
      </w:r>
      <w:r w:rsidR="000B0914" w:rsidRPr="00EA71D3">
        <w:rPr>
          <w:lang w:val="fr-FR"/>
        </w:rPr>
        <w:t>dont</w:t>
      </w:r>
      <w:r w:rsidRPr="00EA71D3">
        <w:rPr>
          <w:lang w:val="fr-FR"/>
        </w:rPr>
        <w:t xml:space="preserve"> l’Assemblée des Nations Unies pour l’environnement sur la biodiversité et la santé</w:t>
      </w:r>
      <w:r w:rsidR="008A7A89" w:rsidRPr="00EA71D3">
        <w:rPr>
          <w:lang w:val="fr-FR"/>
        </w:rPr>
        <w:t xml:space="preserve"> </w:t>
      </w:r>
      <w:r w:rsidR="00E23362" w:rsidRPr="00EA71D3">
        <w:rPr>
          <w:lang w:val="fr-FR"/>
        </w:rPr>
        <w:t>qui, dans</w:t>
      </w:r>
      <w:r w:rsidR="008A7A89" w:rsidRPr="00EA71D3">
        <w:rPr>
          <w:lang w:val="fr-FR"/>
        </w:rPr>
        <w:t xml:space="preserve"> sa résolution 5.6</w:t>
      </w:r>
      <w:r w:rsidR="00E23362" w:rsidRPr="00EA71D3">
        <w:rPr>
          <w:lang w:val="fr-FR"/>
        </w:rPr>
        <w:t xml:space="preserve"> sur biodiversité et la santé</w:t>
      </w:r>
      <w:r w:rsidRPr="00EA71D3">
        <w:rPr>
          <w:lang w:val="fr-FR"/>
        </w:rPr>
        <w:t xml:space="preserve">, </w:t>
      </w:r>
      <w:r w:rsidR="008A7A89" w:rsidRPr="00EA71D3">
        <w:rPr>
          <w:lang w:val="fr-FR"/>
        </w:rPr>
        <w:t>[</w:t>
      </w:r>
      <w:r w:rsidR="00E23362" w:rsidRPr="00EA71D3">
        <w:rPr>
          <w:lang w:val="fr-FR"/>
        </w:rPr>
        <w:t>reconnaît</w:t>
      </w:r>
      <w:r w:rsidR="008A6E67" w:rsidRPr="00EA71D3">
        <w:rPr>
          <w:lang w:val="fr-FR"/>
        </w:rPr>
        <w:t xml:space="preserve">, entre autres, </w:t>
      </w:r>
      <w:r w:rsidR="00E23362" w:rsidRPr="00EA71D3">
        <w:rPr>
          <w:lang w:val="fr-FR"/>
        </w:rPr>
        <w:t>les liens entre</w:t>
      </w:r>
      <w:r w:rsidR="00707B56" w:rsidRPr="00EA71D3">
        <w:rPr>
          <w:lang w:val="fr-FR"/>
        </w:rPr>
        <w:t xml:space="preserve"> </w:t>
      </w:r>
      <w:r w:rsidR="00E23362" w:rsidRPr="00EA71D3">
        <w:rPr>
          <w:lang w:val="fr-FR"/>
        </w:rPr>
        <w:t xml:space="preserve">les </w:t>
      </w:r>
      <w:r w:rsidRPr="00EA71D3">
        <w:rPr>
          <w:lang w:val="fr-FR"/>
        </w:rPr>
        <w:t xml:space="preserve">crises </w:t>
      </w:r>
      <w:r w:rsidR="00E23362" w:rsidRPr="00EA71D3">
        <w:rPr>
          <w:lang w:val="fr-FR"/>
        </w:rPr>
        <w:t>relatives aux</w:t>
      </w:r>
      <w:r w:rsidRPr="00EA71D3">
        <w:rPr>
          <w:lang w:val="fr-FR"/>
        </w:rPr>
        <w:t xml:space="preserve"> changement</w:t>
      </w:r>
      <w:r w:rsidR="00DF0C10" w:rsidRPr="00EA71D3">
        <w:rPr>
          <w:lang w:val="fr-FR"/>
        </w:rPr>
        <w:t>s</w:t>
      </w:r>
      <w:r w:rsidRPr="00EA71D3">
        <w:rPr>
          <w:lang w:val="fr-FR"/>
        </w:rPr>
        <w:t xml:space="preserve"> climatique</w:t>
      </w:r>
      <w:r w:rsidR="00DF0C10" w:rsidRPr="00EA71D3">
        <w:rPr>
          <w:lang w:val="fr-FR"/>
        </w:rPr>
        <w:t>s</w:t>
      </w:r>
      <w:r w:rsidRPr="00EA71D3">
        <w:rPr>
          <w:lang w:val="fr-FR"/>
        </w:rPr>
        <w:t xml:space="preserve">, </w:t>
      </w:r>
      <w:r w:rsidR="00E23362" w:rsidRPr="00EA71D3">
        <w:rPr>
          <w:lang w:val="fr-FR"/>
        </w:rPr>
        <w:t xml:space="preserve">la </w:t>
      </w:r>
      <w:r w:rsidRPr="00EA71D3">
        <w:rPr>
          <w:lang w:val="fr-FR"/>
        </w:rPr>
        <w:t xml:space="preserve">perte de biodiversité, </w:t>
      </w:r>
      <w:r w:rsidR="00E23362" w:rsidRPr="00EA71D3">
        <w:rPr>
          <w:lang w:val="fr-FR"/>
        </w:rPr>
        <w:t xml:space="preserve">la </w:t>
      </w:r>
      <w:r w:rsidRPr="00EA71D3">
        <w:rPr>
          <w:lang w:val="fr-FR"/>
        </w:rPr>
        <w:t xml:space="preserve">pollution et </w:t>
      </w:r>
      <w:r w:rsidR="00E23362" w:rsidRPr="00EA71D3">
        <w:rPr>
          <w:lang w:val="fr-FR"/>
        </w:rPr>
        <w:t>les pressions en matière de santé</w:t>
      </w:r>
      <w:r w:rsidR="008A6E67" w:rsidRPr="00EA71D3">
        <w:rPr>
          <w:lang w:val="fr-FR"/>
        </w:rPr>
        <w:t>,</w:t>
      </w:r>
      <w:r w:rsidRPr="00EA71D3">
        <w:rPr>
          <w:lang w:val="fr-FR"/>
        </w:rPr>
        <w:t xml:space="preserve"> la Conférence des Parties siégeant en tant que réunion des Parties à l’Accord de Paris</w:t>
      </w:r>
      <w:r w:rsidR="00E23362" w:rsidRPr="00EA71D3">
        <w:rPr>
          <w:rStyle w:val="FootnoteReference"/>
          <w:lang w:val="fr-FR"/>
        </w:rPr>
        <w:footnoteReference w:id="6"/>
      </w:r>
      <w:r w:rsidR="008A6E67" w:rsidRPr="00EA71D3">
        <w:rPr>
          <w:lang w:val="fr-FR"/>
        </w:rPr>
        <w:t xml:space="preserve"> </w:t>
      </w:r>
      <w:r w:rsidR="000B0914" w:rsidRPr="00EA71D3">
        <w:rPr>
          <w:lang w:val="fr-FR"/>
        </w:rPr>
        <w:t xml:space="preserve">qui </w:t>
      </w:r>
      <w:r w:rsidR="008A6E67" w:rsidRPr="00EA71D3">
        <w:rPr>
          <w:lang w:val="fr-FR"/>
        </w:rPr>
        <w:t>a adopté</w:t>
      </w:r>
      <w:r w:rsidR="000B0914" w:rsidRPr="00EA71D3">
        <w:rPr>
          <w:lang w:val="fr-FR"/>
        </w:rPr>
        <w:t xml:space="preserve"> </w:t>
      </w:r>
      <w:r w:rsidR="00D2595F" w:rsidRPr="00EA71D3">
        <w:rPr>
          <w:lang w:val="fr-FR"/>
        </w:rPr>
        <w:t xml:space="preserve">la Convention-cadre des Nations Unies sur </w:t>
      </w:r>
      <w:r w:rsidR="001325D0" w:rsidRPr="00EA71D3">
        <w:rPr>
          <w:lang w:val="fr-FR"/>
        </w:rPr>
        <w:t>l</w:t>
      </w:r>
      <w:r w:rsidR="00D2595F" w:rsidRPr="00EA71D3">
        <w:rPr>
          <w:lang w:val="fr-FR"/>
        </w:rPr>
        <w:t>es changements climatiques</w:t>
      </w:r>
      <w:r w:rsidR="000B0914" w:rsidRPr="00EA71D3">
        <w:rPr>
          <w:lang w:val="fr-FR"/>
        </w:rPr>
        <w:t xml:space="preserve"> et</w:t>
      </w:r>
      <w:r w:rsidR="00D2595F" w:rsidRPr="00EA71D3">
        <w:rPr>
          <w:lang w:val="fr-FR"/>
        </w:rPr>
        <w:t xml:space="preserve"> </w:t>
      </w:r>
      <w:r w:rsidRPr="00EA71D3">
        <w:rPr>
          <w:lang w:val="fr-FR"/>
        </w:rPr>
        <w:t>qui</w:t>
      </w:r>
      <w:r w:rsidR="00E23362" w:rsidRPr="00EA71D3">
        <w:rPr>
          <w:lang w:val="fr-FR"/>
        </w:rPr>
        <w:t>,</w:t>
      </w:r>
      <w:r w:rsidRPr="00EA71D3">
        <w:rPr>
          <w:lang w:val="fr-FR"/>
        </w:rPr>
        <w:t xml:space="preserve"> </w:t>
      </w:r>
      <w:r w:rsidR="00E23362" w:rsidRPr="00EA71D3">
        <w:rPr>
          <w:lang w:val="fr-FR"/>
        </w:rPr>
        <w:t xml:space="preserve">dans ses décisions 1/CMA.5 et 2/CMA.5, </w:t>
      </w:r>
      <w:r w:rsidRPr="00EA71D3">
        <w:rPr>
          <w:lang w:val="fr-FR"/>
        </w:rPr>
        <w:t xml:space="preserve">a prié les Parties et invité les parties prenantes non-Parties à faire progresser </w:t>
      </w:r>
      <w:r w:rsidR="001325D0" w:rsidRPr="00EA71D3">
        <w:rPr>
          <w:lang w:val="fr-FR"/>
        </w:rPr>
        <w:t xml:space="preserve">les mesures portant sur la biodiversité </w:t>
      </w:r>
      <w:r w:rsidRPr="00EA71D3">
        <w:rPr>
          <w:lang w:val="fr-FR"/>
        </w:rPr>
        <w:t>et la santé</w:t>
      </w:r>
      <w:r w:rsidR="00E23362" w:rsidRPr="00EA71D3">
        <w:rPr>
          <w:lang w:val="fr-FR"/>
        </w:rPr>
        <w:t xml:space="preserve">, </w:t>
      </w:r>
      <w:r w:rsidRPr="00EA71D3">
        <w:rPr>
          <w:lang w:val="fr-FR"/>
        </w:rPr>
        <w:t>ainsi que l’Instance permanente sur les questions autochtones, qui a reconnu l’importance fondamentale de la nature pour la santé</w:t>
      </w:r>
      <w:r w:rsidR="00E23362" w:rsidRPr="00EA71D3">
        <w:rPr>
          <w:rStyle w:val="FootnoteReference"/>
          <w:lang w:val="fr-FR"/>
        </w:rPr>
        <w:footnoteReference w:id="7"/>
      </w:r>
      <w:r w:rsidRPr="00EA71D3">
        <w:rPr>
          <w:lang w:val="fr-FR"/>
        </w:rPr>
        <w:t>, et le Cadre mondial relatif aux produits chimiques</w:t>
      </w:r>
      <w:r w:rsidR="00E23362" w:rsidRPr="00EA71D3">
        <w:rPr>
          <w:lang w:val="fr-FR"/>
        </w:rPr>
        <w:t xml:space="preserve"> – Pour une planète sans produits chimiques ni déchets nocifs</w:t>
      </w:r>
      <w:r w:rsidRPr="00EA71D3">
        <w:rPr>
          <w:lang w:val="fr-FR"/>
        </w:rPr>
        <w:t>, qui vise à prévenir ou à réduire au minimum les effets nocifs des produits chimiques et des déchets, en protégeant la santé humaine et la biodiversité,</w:t>
      </w:r>
      <w:r w:rsidR="001325D0" w:rsidRPr="00EA71D3">
        <w:rPr>
          <w:lang w:val="fr-FR"/>
        </w:rPr>
        <w:t xml:space="preserve">][ ainsi que les négociations en cours à l’Organisation mondiale de la santé sur un nouvel accord sur les pandémies, surtout en ce qui concerne </w:t>
      </w:r>
      <w:r w:rsidR="00E23362" w:rsidRPr="00EA71D3">
        <w:rPr>
          <w:lang w:val="fr-FR"/>
        </w:rPr>
        <w:t>les risques</w:t>
      </w:r>
      <w:r w:rsidR="001325D0" w:rsidRPr="00EA71D3">
        <w:rPr>
          <w:lang w:val="fr-FR"/>
        </w:rPr>
        <w:t xml:space="preserve"> de maladies zoonotiques causées par les sauts d’espèce</w:t>
      </w:r>
      <w:r w:rsidR="000B0914" w:rsidRPr="00EA71D3">
        <w:rPr>
          <w:lang w:val="fr-FR"/>
        </w:rPr>
        <w:t xml:space="preserve"> des animaux sauvages,]</w:t>
      </w:r>
    </w:p>
    <w:p w14:paraId="71E5F583" w14:textId="0B82456C" w:rsidR="003F4720" w:rsidRPr="00EA71D3" w:rsidRDefault="003F4720" w:rsidP="003F4720">
      <w:pPr>
        <w:pStyle w:val="Para10"/>
        <w:numPr>
          <w:ilvl w:val="0"/>
          <w:numId w:val="0"/>
        </w:numPr>
        <w:ind w:left="567"/>
        <w:rPr>
          <w:i/>
          <w:iCs/>
          <w:lang w:val="fr-FR"/>
        </w:rPr>
      </w:pPr>
      <w:r w:rsidRPr="00EA71D3">
        <w:rPr>
          <w:i/>
          <w:iCs/>
          <w:lang w:val="fr-FR"/>
        </w:rPr>
        <w:tab/>
        <w:t>Tenant compte</w:t>
      </w:r>
      <w:r w:rsidRPr="00EA71D3">
        <w:rPr>
          <w:lang w:val="fr-FR"/>
        </w:rPr>
        <w:t xml:space="preserve"> de l’importance de la coopération avec les autres accords multilatéraux sur l’environnement et avec les organisations et initiatives pertinentes </w:t>
      </w:r>
      <w:r w:rsidR="00532C4A" w:rsidRPr="00EA71D3">
        <w:rPr>
          <w:lang w:val="fr-FR"/>
        </w:rPr>
        <w:t>[</w:t>
      </w:r>
      <w:r w:rsidRPr="00EA71D3">
        <w:rPr>
          <w:lang w:val="fr-FR"/>
        </w:rPr>
        <w:t>pour parvenir à une approche globale de la biodiversité et de la santé</w:t>
      </w:r>
      <w:r w:rsidR="00532C4A" w:rsidRPr="00EA71D3">
        <w:rPr>
          <w:lang w:val="fr-FR"/>
        </w:rPr>
        <w:t>]</w:t>
      </w:r>
      <w:r w:rsidRPr="00EA71D3">
        <w:rPr>
          <w:lang w:val="fr-FR"/>
        </w:rPr>
        <w:t xml:space="preserve">, ainsi que </w:t>
      </w:r>
      <w:r w:rsidR="00AB3B34" w:rsidRPr="00EA71D3">
        <w:rPr>
          <w:lang w:val="fr-FR"/>
        </w:rPr>
        <w:t xml:space="preserve">de </w:t>
      </w:r>
      <w:r w:rsidRPr="00EA71D3">
        <w:rPr>
          <w:lang w:val="fr-FR"/>
        </w:rPr>
        <w:t xml:space="preserve">la nécessité d’éviter les chevauchements, </w:t>
      </w:r>
    </w:p>
    <w:p w14:paraId="1E089D2D" w14:textId="039F6F98" w:rsidR="003F4720" w:rsidRPr="00EA71D3" w:rsidRDefault="002C644D" w:rsidP="003F4720">
      <w:pPr>
        <w:pStyle w:val="Para10"/>
        <w:numPr>
          <w:ilvl w:val="0"/>
          <w:numId w:val="0"/>
        </w:numPr>
        <w:tabs>
          <w:tab w:val="clear" w:pos="1134"/>
          <w:tab w:val="left" w:pos="1701"/>
        </w:tabs>
        <w:ind w:left="567" w:firstLine="567"/>
        <w:rPr>
          <w:lang w:val="fr-FR"/>
        </w:rPr>
      </w:pPr>
      <w:r w:rsidRPr="00EA71D3">
        <w:rPr>
          <w:lang w:val="fr-FR"/>
        </w:rPr>
        <w:t>[</w:t>
      </w:r>
      <w:r w:rsidR="003F4720" w:rsidRPr="00EA71D3">
        <w:rPr>
          <w:lang w:val="fr-FR"/>
        </w:rPr>
        <w:t>1.</w:t>
      </w:r>
      <w:r w:rsidR="003F4720" w:rsidRPr="00EA71D3">
        <w:rPr>
          <w:i/>
          <w:iCs/>
          <w:lang w:val="fr-FR"/>
        </w:rPr>
        <w:tab/>
        <w:t>Adopte</w:t>
      </w:r>
      <w:r w:rsidR="003F4720" w:rsidRPr="00EA71D3">
        <w:rPr>
          <w:lang w:val="fr-FR"/>
        </w:rPr>
        <w:t xml:space="preserve"> le Plan d’action mondial de la biodiversité et de la santé comme présenté à l’annexe I de la présente décision, en tant </w:t>
      </w:r>
      <w:r w:rsidR="000B0914" w:rsidRPr="00EA71D3">
        <w:rPr>
          <w:lang w:val="fr-FR"/>
        </w:rPr>
        <w:t>que plan</w:t>
      </w:r>
      <w:r w:rsidR="003F4720" w:rsidRPr="00EA71D3">
        <w:rPr>
          <w:lang w:val="fr-FR"/>
        </w:rPr>
        <w:t xml:space="preserve"> </w:t>
      </w:r>
      <w:r w:rsidR="000A7DEE" w:rsidRPr="00EA71D3">
        <w:rPr>
          <w:lang w:val="fr-FR"/>
        </w:rPr>
        <w:t xml:space="preserve">volontaire </w:t>
      </w:r>
      <w:r w:rsidR="003F4720" w:rsidRPr="00EA71D3">
        <w:rPr>
          <w:lang w:val="fr-FR"/>
        </w:rPr>
        <w:t>permettant de soutenir la mise en œuvre du Cadre mondial de la biodiversité de Kunming-Montréal</w:t>
      </w:r>
      <w:r w:rsidRPr="00EA71D3">
        <w:rPr>
          <w:rStyle w:val="FootnoteReference"/>
          <w:lang w:val="fr-FR"/>
        </w:rPr>
        <w:footnoteReference w:id="8"/>
      </w:r>
      <w:r w:rsidR="003F4720" w:rsidRPr="00EA71D3">
        <w:rPr>
          <w:lang w:val="fr-FR"/>
        </w:rPr>
        <w:t>, de façon complémentaire aux orientations incluses dans les décisions </w:t>
      </w:r>
      <w:hyperlink r:id="rId18" w:history="1">
        <w:r w:rsidR="003F4720" w:rsidRPr="00EA71D3">
          <w:rPr>
            <w:rStyle w:val="Hyperlink"/>
            <w:lang w:val="fr-FR"/>
          </w:rPr>
          <w:t>XIII/6</w:t>
        </w:r>
      </w:hyperlink>
      <w:r w:rsidR="003F4720" w:rsidRPr="00EA71D3">
        <w:rPr>
          <w:lang w:val="fr-FR"/>
        </w:rPr>
        <w:t xml:space="preserve"> et </w:t>
      </w:r>
      <w:hyperlink r:id="rId19" w:history="1">
        <w:r w:rsidR="003F4720" w:rsidRPr="00EA71D3">
          <w:rPr>
            <w:rStyle w:val="Hyperlink"/>
            <w:color w:val="auto"/>
            <w:u w:val="none"/>
            <w:lang w:val="fr-FR"/>
          </w:rPr>
          <w:t>14/4</w:t>
        </w:r>
      </w:hyperlink>
      <w:r w:rsidR="000A7DEE" w:rsidRPr="00EA71D3">
        <w:rPr>
          <w:rStyle w:val="Hyperlink"/>
          <w:color w:val="auto"/>
          <w:u w:val="none"/>
          <w:lang w:val="fr-FR"/>
        </w:rPr>
        <w:t> </w:t>
      </w:r>
      <w:r w:rsidR="003F4720" w:rsidRPr="00EA71D3">
        <w:rPr>
          <w:lang w:val="fr-FR"/>
        </w:rPr>
        <w:t>;]</w:t>
      </w:r>
    </w:p>
    <w:p w14:paraId="4B82811E" w14:textId="21F58F46" w:rsidR="003F4720" w:rsidRPr="00EA71D3" w:rsidRDefault="002C644D" w:rsidP="003F4720">
      <w:pPr>
        <w:pStyle w:val="Para10"/>
        <w:numPr>
          <w:ilvl w:val="0"/>
          <w:numId w:val="0"/>
        </w:numPr>
        <w:tabs>
          <w:tab w:val="clear" w:pos="1134"/>
          <w:tab w:val="left" w:pos="1701"/>
        </w:tabs>
        <w:ind w:left="567" w:firstLine="567"/>
        <w:rPr>
          <w:lang w:val="fr-FR"/>
        </w:rPr>
      </w:pPr>
      <w:r w:rsidRPr="00EA71D3">
        <w:rPr>
          <w:lang w:val="fr-FR"/>
        </w:rPr>
        <w:t>[</w:t>
      </w:r>
      <w:r w:rsidR="003F4720" w:rsidRPr="00EA71D3">
        <w:rPr>
          <w:lang w:val="fr-FR"/>
        </w:rPr>
        <w:t>2.</w:t>
      </w:r>
      <w:r w:rsidR="003F4720" w:rsidRPr="00EA71D3">
        <w:rPr>
          <w:i/>
          <w:iCs/>
          <w:lang w:val="fr-FR"/>
        </w:rPr>
        <w:tab/>
        <w:t xml:space="preserve">Se félicite </w:t>
      </w:r>
      <w:r w:rsidR="003F4720" w:rsidRPr="00EA71D3">
        <w:rPr>
          <w:lang w:val="fr-FR"/>
        </w:rPr>
        <w:t>des messages ciblés visant à intégrer la biodiversité au secteur d</w:t>
      </w:r>
      <w:r w:rsidR="000B0914" w:rsidRPr="00EA71D3">
        <w:rPr>
          <w:lang w:val="fr-FR"/>
        </w:rPr>
        <w:t>e la santé, inclus à l’annexe IV</w:t>
      </w:r>
      <w:r w:rsidR="003F4720" w:rsidRPr="00EA71D3">
        <w:rPr>
          <w:lang w:val="fr-FR"/>
        </w:rPr>
        <w:t xml:space="preserve"> de la présente décision ;]</w:t>
      </w:r>
    </w:p>
    <w:p w14:paraId="68A03775" w14:textId="77777777" w:rsidR="003F4720" w:rsidRPr="00EA71D3" w:rsidRDefault="003F4720" w:rsidP="003F4720">
      <w:pPr>
        <w:pStyle w:val="Para10"/>
        <w:numPr>
          <w:ilvl w:val="0"/>
          <w:numId w:val="0"/>
        </w:numPr>
        <w:tabs>
          <w:tab w:val="clear" w:pos="1134"/>
          <w:tab w:val="left" w:pos="1701"/>
        </w:tabs>
        <w:ind w:left="567" w:firstLine="567"/>
        <w:rPr>
          <w:lang w:val="fr-FR"/>
        </w:rPr>
      </w:pPr>
      <w:r w:rsidRPr="00EA71D3">
        <w:rPr>
          <w:lang w:val="fr-FR"/>
        </w:rPr>
        <w:lastRenderedPageBreak/>
        <w:t>3.</w:t>
      </w:r>
      <w:r w:rsidRPr="00EA71D3">
        <w:rPr>
          <w:i/>
          <w:iCs/>
          <w:lang w:val="fr-FR"/>
        </w:rPr>
        <w:tab/>
        <w:t>Encourage</w:t>
      </w:r>
      <w:r w:rsidRPr="00EA71D3">
        <w:rPr>
          <w:lang w:val="fr-FR"/>
        </w:rPr>
        <w:t xml:space="preserve"> les Parties, compte tenu des circonstances et priorités nationales, et sur une base volontaire :</w:t>
      </w:r>
    </w:p>
    <w:p w14:paraId="657C825B" w14:textId="2827608D" w:rsidR="003F4720" w:rsidRPr="00EA71D3" w:rsidRDefault="002C644D" w:rsidP="003F4720">
      <w:pPr>
        <w:pStyle w:val="Para10"/>
        <w:numPr>
          <w:ilvl w:val="0"/>
          <w:numId w:val="0"/>
        </w:numPr>
        <w:tabs>
          <w:tab w:val="clear" w:pos="1134"/>
          <w:tab w:val="left" w:pos="1701"/>
        </w:tabs>
        <w:ind w:left="567" w:firstLine="567"/>
        <w:rPr>
          <w:lang w:val="fr-FR"/>
        </w:rPr>
      </w:pPr>
      <w:r w:rsidRPr="00EA71D3">
        <w:rPr>
          <w:lang w:val="fr-FR"/>
        </w:rPr>
        <w:t>[</w:t>
      </w:r>
      <w:r w:rsidR="003F4720" w:rsidRPr="00EA71D3">
        <w:rPr>
          <w:lang w:val="fr-FR"/>
        </w:rPr>
        <w:t>a)</w:t>
      </w:r>
      <w:r w:rsidR="003F4720" w:rsidRPr="00EA71D3">
        <w:rPr>
          <w:lang w:val="fr-FR"/>
        </w:rPr>
        <w:tab/>
        <w:t>À mettre en œuvre le Plan d’action mondial et à fournir des renseignements sur leurs activités de mise en œuvre et leurs résultat</w:t>
      </w:r>
      <w:r w:rsidR="00B17F04" w:rsidRPr="00EA71D3">
        <w:rPr>
          <w:lang w:val="fr-FR"/>
        </w:rPr>
        <w:t>s</w:t>
      </w:r>
      <w:r w:rsidR="000B0914" w:rsidRPr="00EA71D3">
        <w:rPr>
          <w:lang w:val="fr-FR"/>
        </w:rPr>
        <w:t>, dont les rapports nationaux, s’il y a lieu</w:t>
      </w:r>
      <w:r w:rsidR="003F4720" w:rsidRPr="00EA71D3">
        <w:rPr>
          <w:lang w:val="fr-FR"/>
        </w:rPr>
        <w:t xml:space="preserve"> ;]</w:t>
      </w:r>
    </w:p>
    <w:p w14:paraId="74A1CAC0" w14:textId="0C017DAB" w:rsidR="003F4720" w:rsidRPr="00EA71D3" w:rsidRDefault="002C644D" w:rsidP="003F4720">
      <w:pPr>
        <w:pStyle w:val="Para10"/>
        <w:numPr>
          <w:ilvl w:val="0"/>
          <w:numId w:val="0"/>
        </w:numPr>
        <w:tabs>
          <w:tab w:val="clear" w:pos="1134"/>
          <w:tab w:val="left" w:pos="1701"/>
        </w:tabs>
        <w:ind w:left="567" w:firstLine="567"/>
        <w:rPr>
          <w:lang w:val="fr-FR"/>
        </w:rPr>
      </w:pPr>
      <w:r w:rsidRPr="00EA71D3">
        <w:rPr>
          <w:lang w:val="fr-FR"/>
        </w:rPr>
        <w:t>[</w:t>
      </w:r>
      <w:r w:rsidR="003F4720" w:rsidRPr="00EA71D3">
        <w:rPr>
          <w:lang w:val="fr-FR"/>
        </w:rPr>
        <w:t>b)</w:t>
      </w:r>
      <w:r w:rsidR="003F4720" w:rsidRPr="00EA71D3">
        <w:rPr>
          <w:lang w:val="fr-FR"/>
        </w:rPr>
        <w:tab/>
        <w:t>À nommer un correspondant national responsable de la biodiversité et de la santé afin d’améliorer</w:t>
      </w:r>
      <w:r w:rsidR="000E6FDA" w:rsidRPr="00EA71D3">
        <w:rPr>
          <w:lang w:val="fr-FR"/>
        </w:rPr>
        <w:t xml:space="preserve">, au niveau national, </w:t>
      </w:r>
      <w:r w:rsidR="003F4720" w:rsidRPr="00EA71D3">
        <w:rPr>
          <w:lang w:val="fr-FR"/>
        </w:rPr>
        <w:t>la coordination, l’échange de connaissances</w:t>
      </w:r>
      <w:r w:rsidR="000E6FDA" w:rsidRPr="00EA71D3">
        <w:rPr>
          <w:lang w:val="fr-FR"/>
        </w:rPr>
        <w:t xml:space="preserve">, </w:t>
      </w:r>
      <w:r w:rsidR="003F4720" w:rsidRPr="00EA71D3">
        <w:rPr>
          <w:lang w:val="fr-FR"/>
        </w:rPr>
        <w:t xml:space="preserve">la mise en œuvre et le partage </w:t>
      </w:r>
      <w:r w:rsidR="00EC0861" w:rsidRPr="00EA71D3">
        <w:rPr>
          <w:lang w:val="fr-FR"/>
        </w:rPr>
        <w:t>de bonnes</w:t>
      </w:r>
      <w:r w:rsidR="003F4720" w:rsidRPr="00EA71D3">
        <w:rPr>
          <w:lang w:val="fr-FR"/>
        </w:rPr>
        <w:t xml:space="preserve"> pratiques et </w:t>
      </w:r>
      <w:r w:rsidR="00EC0861" w:rsidRPr="00EA71D3">
        <w:rPr>
          <w:lang w:val="fr-FR"/>
        </w:rPr>
        <w:t xml:space="preserve">des </w:t>
      </w:r>
      <w:r w:rsidR="003F4720" w:rsidRPr="00EA71D3">
        <w:rPr>
          <w:lang w:val="fr-FR"/>
        </w:rPr>
        <w:t>enseignements tirés entre les acteurs du domaine de la biodiversité et de la santé, y compris ceux qui travaillent en santé humaine, animale et végétale, le secteur de l’environnement</w:t>
      </w:r>
      <w:r w:rsidR="000E6FDA" w:rsidRPr="00EA71D3">
        <w:rPr>
          <w:lang w:val="fr-FR"/>
        </w:rPr>
        <w:t xml:space="preserve"> </w:t>
      </w:r>
      <w:r w:rsidR="003F4720" w:rsidRPr="00EA71D3">
        <w:rPr>
          <w:lang w:val="fr-FR"/>
        </w:rPr>
        <w:t xml:space="preserve">et </w:t>
      </w:r>
      <w:r w:rsidR="00EC0861" w:rsidRPr="00EA71D3">
        <w:rPr>
          <w:lang w:val="fr-FR"/>
        </w:rPr>
        <w:t xml:space="preserve">les systèmes </w:t>
      </w:r>
      <w:r w:rsidR="00D32541" w:rsidRPr="00EA71D3">
        <w:rPr>
          <w:lang w:val="fr-FR"/>
        </w:rPr>
        <w:t>de médecine</w:t>
      </w:r>
      <w:r w:rsidR="00EC0861" w:rsidRPr="00EA71D3">
        <w:rPr>
          <w:lang w:val="fr-FR"/>
        </w:rPr>
        <w:t xml:space="preserve"> traditionnels</w:t>
      </w:r>
      <w:r w:rsidR="000E6FDA" w:rsidRPr="00EA71D3">
        <w:rPr>
          <w:lang w:val="fr-FR"/>
        </w:rPr>
        <w:t>,</w:t>
      </w:r>
      <w:r w:rsidR="003F4720" w:rsidRPr="00EA71D3">
        <w:rPr>
          <w:lang w:val="fr-FR"/>
        </w:rPr>
        <w:t xml:space="preserve"> et pour travailler de manière exhaustive avec les organismes et professionnels de la santé et des enjeux sanitaires à l’échelle nationale ;</w:t>
      </w:r>
      <w:r w:rsidR="00EC0861" w:rsidRPr="00EA71D3">
        <w:rPr>
          <w:lang w:val="fr-FR"/>
        </w:rPr>
        <w:t>]</w:t>
      </w:r>
    </w:p>
    <w:p w14:paraId="7DEC24F4" w14:textId="1117F2BB" w:rsidR="003F4720" w:rsidRPr="00EA71D3" w:rsidRDefault="002C644D" w:rsidP="003F4720">
      <w:pPr>
        <w:pStyle w:val="Para10"/>
        <w:numPr>
          <w:ilvl w:val="0"/>
          <w:numId w:val="0"/>
        </w:numPr>
        <w:tabs>
          <w:tab w:val="clear" w:pos="1134"/>
          <w:tab w:val="left" w:pos="1701"/>
        </w:tabs>
        <w:ind w:left="567" w:firstLine="567"/>
        <w:rPr>
          <w:rFonts w:eastAsia="DengXian"/>
          <w:kern w:val="2"/>
          <w:lang w:val="fr-FR" w:eastAsia="zh-CN"/>
          <w14:ligatures w14:val="standardContextual"/>
        </w:rPr>
      </w:pPr>
      <w:r w:rsidRPr="00EA71D3">
        <w:rPr>
          <w:lang w:val="fr-FR"/>
        </w:rPr>
        <w:t>[</w:t>
      </w:r>
      <w:r w:rsidR="003F4720" w:rsidRPr="00EA71D3">
        <w:rPr>
          <w:lang w:val="fr-FR"/>
        </w:rPr>
        <w:t>c)</w:t>
      </w:r>
      <w:r w:rsidR="003F4720" w:rsidRPr="00EA71D3">
        <w:rPr>
          <w:lang w:val="fr-FR"/>
        </w:rPr>
        <w:tab/>
        <w:t xml:space="preserve">À </w:t>
      </w:r>
      <w:r w:rsidR="00D32D4F" w:rsidRPr="00EA71D3">
        <w:rPr>
          <w:lang w:val="fr-FR"/>
        </w:rPr>
        <w:t xml:space="preserve">nommer </w:t>
      </w:r>
      <w:r w:rsidR="003F4720" w:rsidRPr="00EA71D3">
        <w:rPr>
          <w:rFonts w:eastAsia="DengXian"/>
          <w:kern w:val="2"/>
          <w:lang w:val="fr-FR" w:eastAsia="zh-CN"/>
          <w14:ligatures w14:val="standardContextual"/>
        </w:rPr>
        <w:t xml:space="preserve">un </w:t>
      </w:r>
      <w:r w:rsidR="00D32D4F" w:rsidRPr="00EA71D3">
        <w:rPr>
          <w:rFonts w:eastAsia="DengXian"/>
          <w:kern w:val="2"/>
          <w:lang w:val="fr-FR" w:eastAsia="zh-CN"/>
          <w14:ligatures w14:val="standardContextual"/>
        </w:rPr>
        <w:t xml:space="preserve">correspondant </w:t>
      </w:r>
      <w:r w:rsidR="003F4720" w:rsidRPr="00EA71D3">
        <w:rPr>
          <w:rFonts w:eastAsia="DengXian"/>
          <w:kern w:val="2"/>
          <w:lang w:val="fr-FR" w:eastAsia="zh-CN"/>
          <w14:ligatures w14:val="standardContextual"/>
        </w:rPr>
        <w:t xml:space="preserve">national </w:t>
      </w:r>
      <w:r w:rsidRPr="00EA71D3">
        <w:rPr>
          <w:rFonts w:eastAsia="DengXian"/>
          <w:kern w:val="2"/>
          <w:lang w:val="fr-FR" w:eastAsia="zh-CN"/>
          <w14:ligatures w14:val="standardContextual"/>
        </w:rPr>
        <w:t>de</w:t>
      </w:r>
      <w:r w:rsidR="003F4720" w:rsidRPr="00EA71D3">
        <w:rPr>
          <w:rFonts w:eastAsia="DengXian"/>
          <w:kern w:val="2"/>
          <w:lang w:val="fr-FR" w:eastAsia="zh-CN"/>
          <w14:ligatures w14:val="standardContextual"/>
        </w:rPr>
        <w:t xml:space="preserve"> la jeunesse sur la biodiversité et la santé publique, </w:t>
      </w:r>
      <w:r w:rsidRPr="00EA71D3">
        <w:rPr>
          <w:rFonts w:eastAsia="DengXian"/>
          <w:kern w:val="2"/>
          <w:lang w:val="fr-FR" w:eastAsia="zh-CN"/>
          <w14:ligatures w14:val="standardContextual"/>
        </w:rPr>
        <w:t>chargé notamment</w:t>
      </w:r>
      <w:r w:rsidR="00841E9D" w:rsidRPr="00EA71D3">
        <w:rPr>
          <w:rFonts w:eastAsia="DengXian"/>
          <w:kern w:val="2"/>
          <w:lang w:val="fr-FR" w:eastAsia="zh-CN"/>
          <w14:ligatures w14:val="standardContextual"/>
        </w:rPr>
        <w:t xml:space="preserve"> de faire </w:t>
      </w:r>
      <w:r w:rsidR="003F4720" w:rsidRPr="00EA71D3">
        <w:rPr>
          <w:rFonts w:eastAsia="DengXian"/>
          <w:kern w:val="2"/>
          <w:lang w:val="fr-FR" w:eastAsia="zh-CN"/>
          <w14:ligatures w14:val="standardContextual"/>
        </w:rPr>
        <w:t>rapport sur les contributions et les besoins des enfants et des jeunes en matière de</w:t>
      </w:r>
      <w:r w:rsidR="00841E9D" w:rsidRPr="00EA71D3">
        <w:rPr>
          <w:rFonts w:eastAsia="DengXian"/>
          <w:kern w:val="2"/>
          <w:lang w:val="fr-FR" w:eastAsia="zh-CN"/>
          <w14:ligatures w14:val="standardContextual"/>
        </w:rPr>
        <w:t xml:space="preserve"> bonne intendance </w:t>
      </w:r>
      <w:r w:rsidR="003F4720" w:rsidRPr="00EA71D3">
        <w:rPr>
          <w:rFonts w:eastAsia="DengXian"/>
          <w:kern w:val="2"/>
          <w:lang w:val="fr-FR" w:eastAsia="zh-CN"/>
          <w14:ligatures w14:val="standardContextual"/>
        </w:rPr>
        <w:t>de l’environnement, de santé et d’équité intergénérationnelle ;</w:t>
      </w:r>
      <w:r w:rsidR="00B17F04" w:rsidRPr="00EA71D3">
        <w:rPr>
          <w:rFonts w:eastAsia="DengXian"/>
          <w:kern w:val="2"/>
          <w:lang w:val="fr-FR" w:eastAsia="zh-CN"/>
          <w14:ligatures w14:val="standardContextual"/>
        </w:rPr>
        <w:t>]</w:t>
      </w:r>
    </w:p>
    <w:p w14:paraId="6752928F" w14:textId="3A02E85F" w:rsidR="003F4720" w:rsidRPr="00EA71D3" w:rsidRDefault="003F4720" w:rsidP="003F4720">
      <w:pPr>
        <w:pStyle w:val="Para10"/>
        <w:numPr>
          <w:ilvl w:val="0"/>
          <w:numId w:val="0"/>
        </w:numPr>
        <w:tabs>
          <w:tab w:val="clear" w:pos="1134"/>
          <w:tab w:val="left" w:pos="1701"/>
        </w:tabs>
        <w:ind w:left="567" w:firstLine="567"/>
        <w:rPr>
          <w:lang w:val="fr-FR"/>
        </w:rPr>
      </w:pPr>
      <w:r w:rsidRPr="00EA71D3">
        <w:rPr>
          <w:rFonts w:eastAsia="DengXian"/>
          <w:kern w:val="2"/>
          <w:lang w:val="fr-FR" w:eastAsia="zh-CN"/>
          <w14:ligatures w14:val="standardContextual"/>
        </w:rPr>
        <w:t>d)</w:t>
      </w:r>
      <w:r w:rsidRPr="00EA71D3">
        <w:rPr>
          <w:rFonts w:eastAsia="DengXian"/>
          <w:kern w:val="2"/>
          <w:lang w:val="fr-FR" w:eastAsia="zh-CN"/>
          <w14:ligatures w14:val="standardContextual"/>
        </w:rPr>
        <w:tab/>
      </w:r>
      <w:r w:rsidRPr="00EA71D3">
        <w:rPr>
          <w:lang w:val="fr-FR"/>
        </w:rPr>
        <w:t>À intégrer les interrelations entre la biodiversité et la santé dans les politiques, les programmes</w:t>
      </w:r>
      <w:r w:rsidR="00B17F04" w:rsidRPr="00EA71D3">
        <w:rPr>
          <w:lang w:val="fr-FR"/>
        </w:rPr>
        <w:t>[</w:t>
      </w:r>
      <w:r w:rsidRPr="00EA71D3">
        <w:rPr>
          <w:lang w:val="fr-FR"/>
        </w:rPr>
        <w:t xml:space="preserve"> et les comptes</w:t>
      </w:r>
      <w:r w:rsidR="00B17F04" w:rsidRPr="00EA71D3">
        <w:rPr>
          <w:lang w:val="fr-FR"/>
        </w:rPr>
        <w:t>]</w:t>
      </w:r>
      <w:r w:rsidRPr="00EA71D3">
        <w:rPr>
          <w:lang w:val="fr-FR"/>
        </w:rPr>
        <w:t xml:space="preserve"> relatifs à la biodiversité conformément à la décision 14/4 et, le cas échéant, dans leurs stratégies et plans d’action nationaux en matière de biodiversité </w:t>
      </w:r>
      <w:r w:rsidR="00B17F04" w:rsidRPr="00EA71D3">
        <w:rPr>
          <w:lang w:val="fr-FR"/>
        </w:rPr>
        <w:t>[</w:t>
      </w:r>
      <w:r w:rsidRPr="00EA71D3">
        <w:rPr>
          <w:lang w:val="fr-FR"/>
        </w:rPr>
        <w:t>en tenant compte des éléments du Plan d’action mondial</w:t>
      </w:r>
      <w:r w:rsidR="00B17F04" w:rsidRPr="00EA71D3">
        <w:rPr>
          <w:lang w:val="fr-FR"/>
        </w:rPr>
        <w:t>]</w:t>
      </w:r>
      <w:r w:rsidRPr="00EA71D3">
        <w:rPr>
          <w:lang w:val="fr-FR"/>
        </w:rPr>
        <w:t>, conformément à la section C du Cadre ;</w:t>
      </w:r>
    </w:p>
    <w:p w14:paraId="65CD63C5" w14:textId="654DF80E" w:rsidR="003F4720" w:rsidRPr="00EA71D3" w:rsidRDefault="003F4720" w:rsidP="003F4720">
      <w:pPr>
        <w:pStyle w:val="Para10"/>
        <w:numPr>
          <w:ilvl w:val="0"/>
          <w:numId w:val="0"/>
        </w:numPr>
        <w:tabs>
          <w:tab w:val="clear" w:pos="1134"/>
          <w:tab w:val="left" w:pos="1701"/>
        </w:tabs>
        <w:ind w:left="567" w:firstLine="567"/>
        <w:rPr>
          <w:lang w:val="fr-FR"/>
        </w:rPr>
      </w:pPr>
      <w:r w:rsidRPr="00EA71D3">
        <w:rPr>
          <w:rFonts w:eastAsia="DengXian"/>
          <w:kern w:val="2"/>
          <w:lang w:val="fr-FR" w:eastAsia="zh-CN"/>
          <w14:ligatures w14:val="standardContextual"/>
        </w:rPr>
        <w:t>e)</w:t>
      </w:r>
      <w:r w:rsidRPr="00EA71D3">
        <w:rPr>
          <w:rFonts w:eastAsia="DengXian"/>
          <w:kern w:val="2"/>
          <w:lang w:val="fr-FR" w:eastAsia="zh-CN"/>
          <w14:ligatures w14:val="standardContextual"/>
        </w:rPr>
        <w:tab/>
        <w:t>À r</w:t>
      </w:r>
      <w:r w:rsidRPr="00EA71D3">
        <w:rPr>
          <w:color w:val="000000" w:themeColor="text1"/>
          <w:lang w:val="fr-FR"/>
        </w:rPr>
        <w:t xml:space="preserve">econnaître la nécessité de s’attaquer d’urgence aux facteurs de perte de biodiversité afin de réduire les risques pour la santé, tout en contribuant à la mise en œuvre du Cadre, en particulier </w:t>
      </w:r>
      <w:r w:rsidR="002C644D" w:rsidRPr="00EA71D3">
        <w:rPr>
          <w:color w:val="000000" w:themeColor="text1"/>
          <w:lang w:val="fr-FR"/>
        </w:rPr>
        <w:t xml:space="preserve">le paragraphe 7 r) de </w:t>
      </w:r>
      <w:r w:rsidRPr="00EA71D3">
        <w:rPr>
          <w:color w:val="000000" w:themeColor="text1"/>
          <w:lang w:val="fr-FR"/>
        </w:rPr>
        <w:t>la section C et la cible 14 ;</w:t>
      </w:r>
    </w:p>
    <w:p w14:paraId="13796505" w14:textId="33A7143A" w:rsidR="003F4720" w:rsidRPr="00EA71D3" w:rsidRDefault="002C644D" w:rsidP="003F4720">
      <w:pPr>
        <w:pStyle w:val="Para10"/>
        <w:numPr>
          <w:ilvl w:val="0"/>
          <w:numId w:val="0"/>
        </w:numPr>
        <w:tabs>
          <w:tab w:val="clear" w:pos="1134"/>
          <w:tab w:val="left" w:pos="1701"/>
        </w:tabs>
        <w:ind w:left="567" w:firstLine="567"/>
        <w:rPr>
          <w:lang w:val="fr-FR"/>
        </w:rPr>
      </w:pPr>
      <w:r w:rsidRPr="00EA71D3">
        <w:rPr>
          <w:lang w:val="fr-FR"/>
        </w:rPr>
        <w:t>[</w:t>
      </w:r>
      <w:r w:rsidR="003F4720" w:rsidRPr="00EA71D3">
        <w:rPr>
          <w:lang w:val="fr-FR"/>
        </w:rPr>
        <w:t>4.</w:t>
      </w:r>
      <w:r w:rsidR="003F4720" w:rsidRPr="00EA71D3">
        <w:rPr>
          <w:i/>
          <w:iCs/>
          <w:lang w:val="fr-FR"/>
        </w:rPr>
        <w:tab/>
        <w:t>Invite</w:t>
      </w:r>
      <w:r w:rsidR="003F4720" w:rsidRPr="00EA71D3">
        <w:rPr>
          <w:lang w:val="fr-FR"/>
        </w:rPr>
        <w:t xml:space="preserve"> les autres gouvernements, </w:t>
      </w:r>
      <w:r w:rsidR="000E6FDA" w:rsidRPr="00EA71D3">
        <w:rPr>
          <w:lang w:val="fr-FR"/>
        </w:rPr>
        <w:t xml:space="preserve">les organes directeurs et les secrétariats des </w:t>
      </w:r>
      <w:r w:rsidR="003F4720" w:rsidRPr="00EA71D3">
        <w:rPr>
          <w:lang w:val="fr-FR"/>
        </w:rPr>
        <w:t xml:space="preserve">accords multilatéraux </w:t>
      </w:r>
      <w:r w:rsidR="006E7630" w:rsidRPr="00EA71D3">
        <w:rPr>
          <w:lang w:val="fr-FR"/>
        </w:rPr>
        <w:t xml:space="preserve">pertinents </w:t>
      </w:r>
      <w:r w:rsidR="003F4720" w:rsidRPr="00EA71D3">
        <w:rPr>
          <w:lang w:val="fr-FR"/>
        </w:rPr>
        <w:t xml:space="preserve">sur l’environnement et la santé et les organisations internationales concernées, y compris les membres de l’Alliance quadripartite </w:t>
      </w:r>
      <w:r w:rsidR="005E644C" w:rsidRPr="00EA71D3">
        <w:rPr>
          <w:lang w:val="fr-FR"/>
        </w:rPr>
        <w:t xml:space="preserve">sur </w:t>
      </w:r>
      <w:r w:rsidR="003F4720" w:rsidRPr="00EA71D3">
        <w:rPr>
          <w:lang w:val="fr-FR"/>
        </w:rPr>
        <w:t xml:space="preserve">l’approche « Une seule santé », </w:t>
      </w:r>
      <w:r w:rsidR="00B17F04" w:rsidRPr="00EA71D3">
        <w:rPr>
          <w:lang w:val="fr-FR"/>
        </w:rPr>
        <w:t>[</w:t>
      </w:r>
      <w:r w:rsidR="003F4720" w:rsidRPr="00EA71D3">
        <w:rPr>
          <w:lang w:val="fr-FR"/>
        </w:rPr>
        <w:t>à tirer parti, lorsqu’approprié, du Plan d’action mondial afin d’</w:t>
      </w:r>
      <w:r w:rsidR="00B17F04" w:rsidRPr="00EA71D3">
        <w:rPr>
          <w:lang w:val="fr-FR"/>
        </w:rPr>
        <w:t xml:space="preserve">][à] </w:t>
      </w:r>
      <w:r w:rsidR="003F4720" w:rsidRPr="00EA71D3">
        <w:rPr>
          <w:lang w:val="fr-FR"/>
        </w:rPr>
        <w:t xml:space="preserve">intégrer les interrelations entre la santé et la biodiversité dans leurs pays et territoires respectifs et entre les secteurs, </w:t>
      </w:r>
      <w:r w:rsidR="00B17F04" w:rsidRPr="00EA71D3">
        <w:rPr>
          <w:lang w:val="fr-FR"/>
        </w:rPr>
        <w:t>tout en respectant les priorités nationales autodé</w:t>
      </w:r>
      <w:r w:rsidR="00C34C35" w:rsidRPr="00EA71D3">
        <w:rPr>
          <w:lang w:val="fr-FR"/>
        </w:rPr>
        <w:t xml:space="preserve">terminées, </w:t>
      </w:r>
      <w:r w:rsidR="003F4720" w:rsidRPr="00EA71D3">
        <w:rPr>
          <w:lang w:val="fr-FR"/>
        </w:rPr>
        <w:t xml:space="preserve">et à soutenir davantage l’élaboration et la mise en œuvre de mesures, d’orientations et d’outils visant à promouvoir et à appuyer l’intégration des </w:t>
      </w:r>
      <w:r w:rsidR="005E644C" w:rsidRPr="00EA71D3">
        <w:rPr>
          <w:lang w:val="fr-FR"/>
        </w:rPr>
        <w:t xml:space="preserve">interrelations </w:t>
      </w:r>
      <w:r w:rsidR="003F4720" w:rsidRPr="00EA71D3">
        <w:rPr>
          <w:lang w:val="fr-FR"/>
        </w:rPr>
        <w:t>entre la biodiversité et la santé ;</w:t>
      </w:r>
      <w:r w:rsidR="00C34C35" w:rsidRPr="00EA71D3">
        <w:rPr>
          <w:lang w:val="fr-FR"/>
        </w:rPr>
        <w:t>]</w:t>
      </w:r>
    </w:p>
    <w:p w14:paraId="33252C3C" w14:textId="13226FA4" w:rsidR="003F4720" w:rsidRPr="00EA71D3" w:rsidRDefault="002C644D" w:rsidP="003F4720">
      <w:pPr>
        <w:pStyle w:val="Para10"/>
        <w:numPr>
          <w:ilvl w:val="0"/>
          <w:numId w:val="0"/>
        </w:numPr>
        <w:tabs>
          <w:tab w:val="clear" w:pos="1134"/>
          <w:tab w:val="left" w:pos="1701"/>
        </w:tabs>
        <w:ind w:left="567" w:firstLine="567"/>
        <w:rPr>
          <w:lang w:val="fr-FR"/>
        </w:rPr>
      </w:pPr>
      <w:r w:rsidRPr="00EA71D3">
        <w:rPr>
          <w:lang w:val="fr-FR"/>
        </w:rPr>
        <w:t>[</w:t>
      </w:r>
      <w:r w:rsidR="003F4720" w:rsidRPr="00EA71D3">
        <w:rPr>
          <w:lang w:val="fr-FR"/>
        </w:rPr>
        <w:t>5.</w:t>
      </w:r>
      <w:r w:rsidR="003F4720" w:rsidRPr="00EA71D3">
        <w:rPr>
          <w:i/>
          <w:iCs/>
          <w:lang w:val="fr-FR"/>
        </w:rPr>
        <w:tab/>
        <w:t xml:space="preserve">Invite les </w:t>
      </w:r>
      <w:r w:rsidR="003F4720" w:rsidRPr="00EA71D3">
        <w:rPr>
          <w:lang w:val="fr-FR"/>
        </w:rPr>
        <w:t>peuples autochtones et les communautés locales, les parties prenantes concernées, y compris le secteur privé et les universités, les femmes, les enfants et les jeunes, à contribuer à la mise en œuvre du Plan d’action mondial ;</w:t>
      </w:r>
      <w:r w:rsidR="00C34C35" w:rsidRPr="00EA71D3">
        <w:rPr>
          <w:lang w:val="fr-FR"/>
        </w:rPr>
        <w:t>]</w:t>
      </w:r>
    </w:p>
    <w:p w14:paraId="341ED536" w14:textId="2EF4E9BB" w:rsidR="003F4720" w:rsidRPr="00EA71D3" w:rsidRDefault="003F4720" w:rsidP="003F4720">
      <w:pPr>
        <w:pStyle w:val="Para10"/>
        <w:numPr>
          <w:ilvl w:val="0"/>
          <w:numId w:val="0"/>
        </w:numPr>
        <w:tabs>
          <w:tab w:val="clear" w:pos="1134"/>
          <w:tab w:val="left" w:pos="1701"/>
        </w:tabs>
        <w:ind w:left="567" w:firstLine="567"/>
        <w:rPr>
          <w:lang w:val="fr-FR"/>
        </w:rPr>
      </w:pPr>
      <w:r w:rsidRPr="00EA71D3">
        <w:rPr>
          <w:lang w:val="fr-FR"/>
        </w:rPr>
        <w:t>6.</w:t>
      </w:r>
      <w:r w:rsidRPr="00EA71D3">
        <w:rPr>
          <w:lang w:val="fr-FR"/>
        </w:rPr>
        <w:tab/>
      </w:r>
      <w:r w:rsidRPr="00EA71D3">
        <w:rPr>
          <w:i/>
          <w:iCs/>
          <w:lang w:val="fr-FR"/>
        </w:rPr>
        <w:t xml:space="preserve">Invite </w:t>
      </w:r>
      <w:r w:rsidRPr="00EA71D3">
        <w:rPr>
          <w:lang w:val="fr-FR"/>
        </w:rPr>
        <w:t>l’Organisation mondiale de la santé à tenir compte, lorsqu’approprié, des synergies dans les travaux qu’elle a entrepris en matière de santé et de biodiversité en vertu de son quatorzième programme général de travail 2025-2028 et des résolutions de l’Assemblée mondiale de la santé liées à l’approche « Une seule santé » et portant sur les facteurs environnementaux déterminant la santé, ainsi que dans les travaux entrepris en vertu de la Convention sur la diversité biologique ;</w:t>
      </w:r>
    </w:p>
    <w:p w14:paraId="1DE6432C" w14:textId="009388FA" w:rsidR="003F4720" w:rsidRPr="00EA71D3" w:rsidRDefault="002C644D" w:rsidP="003F4720">
      <w:pPr>
        <w:pStyle w:val="Para10"/>
        <w:numPr>
          <w:ilvl w:val="0"/>
          <w:numId w:val="0"/>
        </w:numPr>
        <w:tabs>
          <w:tab w:val="clear" w:pos="1134"/>
          <w:tab w:val="left" w:pos="1701"/>
        </w:tabs>
        <w:ind w:left="567" w:firstLine="567"/>
        <w:rPr>
          <w:lang w:val="fr-FR"/>
        </w:rPr>
      </w:pPr>
      <w:r w:rsidRPr="00EA71D3">
        <w:rPr>
          <w:lang w:val="fr-FR"/>
        </w:rPr>
        <w:t>[</w:t>
      </w:r>
      <w:r w:rsidR="003F4720" w:rsidRPr="00EA71D3">
        <w:rPr>
          <w:lang w:val="fr-FR"/>
        </w:rPr>
        <w:t>7.</w:t>
      </w:r>
      <w:r w:rsidR="003F4720" w:rsidRPr="00EA71D3">
        <w:rPr>
          <w:i/>
          <w:iCs/>
          <w:lang w:val="fr-FR"/>
        </w:rPr>
        <w:tab/>
      </w:r>
      <w:r w:rsidR="00C34C35" w:rsidRPr="00EA71D3">
        <w:rPr>
          <w:lang w:val="fr-FR"/>
        </w:rPr>
        <w:t>[</w:t>
      </w:r>
      <w:r w:rsidR="003F4720" w:rsidRPr="00EA71D3">
        <w:rPr>
          <w:i/>
          <w:iCs/>
          <w:lang w:val="fr-FR"/>
        </w:rPr>
        <w:t>Exhorte</w:t>
      </w:r>
      <w:r w:rsidR="00C34C35" w:rsidRPr="00EA71D3">
        <w:rPr>
          <w:i/>
          <w:iCs/>
          <w:lang w:val="fr-FR"/>
        </w:rPr>
        <w:t xml:space="preserve"> </w:t>
      </w:r>
      <w:r w:rsidR="00C34C35" w:rsidRPr="00EA71D3">
        <w:rPr>
          <w:iCs/>
          <w:lang w:val="fr-FR"/>
        </w:rPr>
        <w:t>les]</w:t>
      </w:r>
      <w:r w:rsidR="00C34C35" w:rsidRPr="00EA71D3">
        <w:rPr>
          <w:lang w:val="fr-FR"/>
        </w:rPr>
        <w:t>[</w:t>
      </w:r>
      <w:r w:rsidR="00C34C35" w:rsidRPr="00EA71D3">
        <w:rPr>
          <w:i/>
          <w:iCs/>
          <w:lang w:val="fr-FR"/>
        </w:rPr>
        <w:t xml:space="preserve">Demande </w:t>
      </w:r>
      <w:r w:rsidR="00C34C35" w:rsidRPr="00EA71D3">
        <w:rPr>
          <w:iCs/>
          <w:lang w:val="fr-FR"/>
        </w:rPr>
        <w:t>aux]</w:t>
      </w:r>
      <w:r w:rsidR="003F4720" w:rsidRPr="00EA71D3">
        <w:rPr>
          <w:i/>
          <w:iCs/>
          <w:lang w:val="fr-FR"/>
        </w:rPr>
        <w:t xml:space="preserve"> </w:t>
      </w:r>
      <w:r w:rsidR="003F4720" w:rsidRPr="00EA71D3">
        <w:rPr>
          <w:lang w:val="fr-FR"/>
        </w:rPr>
        <w:t xml:space="preserve">les Parties, </w:t>
      </w:r>
      <w:r w:rsidR="00C34C35" w:rsidRPr="00EA71D3">
        <w:rPr>
          <w:lang w:val="fr-FR"/>
        </w:rPr>
        <w:t>[</w:t>
      </w:r>
      <w:r w:rsidR="003F4720" w:rsidRPr="00EA71D3">
        <w:rPr>
          <w:lang w:val="fr-FR"/>
        </w:rPr>
        <w:t>conformément à l’article 20 de la Convention,</w:t>
      </w:r>
      <w:r w:rsidR="00C34C35" w:rsidRPr="00EA71D3">
        <w:rPr>
          <w:lang w:val="fr-FR"/>
        </w:rPr>
        <w:t>] et invite</w:t>
      </w:r>
      <w:r w:rsidR="003F4720" w:rsidRPr="00EA71D3">
        <w:rPr>
          <w:lang w:val="fr-FR"/>
        </w:rPr>
        <w:t xml:space="preserve"> les autres gouvernements, les accords multilatéraux pertinents sur l’environnement et la santé, les organisations concernées, les donateurs et les institutions financières pertinentes à fournir un soutien financier et technique, lorsqu’approprié, pour le renforcement et le développement des capacités </w:t>
      </w:r>
      <w:r w:rsidR="00C34C35" w:rsidRPr="00EA71D3">
        <w:rPr>
          <w:lang w:val="fr-FR"/>
        </w:rPr>
        <w:t>[</w:t>
      </w:r>
      <w:r w:rsidR="000E6FDA" w:rsidRPr="00EA71D3">
        <w:rPr>
          <w:lang w:val="fr-FR"/>
        </w:rPr>
        <w:t xml:space="preserve">et se doter des ressources adéquates </w:t>
      </w:r>
      <w:r w:rsidR="003F4720" w:rsidRPr="00EA71D3">
        <w:rPr>
          <w:lang w:val="fr-FR"/>
        </w:rPr>
        <w:t>en temps voulu</w:t>
      </w:r>
      <w:r w:rsidR="00C34C35" w:rsidRPr="00EA71D3">
        <w:rPr>
          <w:lang w:val="fr-FR"/>
        </w:rPr>
        <w:t>], [</w:t>
      </w:r>
      <w:r w:rsidR="000E6FDA" w:rsidRPr="00EA71D3">
        <w:rPr>
          <w:lang w:val="fr-FR"/>
        </w:rPr>
        <w:t xml:space="preserve">et </w:t>
      </w:r>
      <w:r w:rsidR="00A64FDF" w:rsidRPr="00EA71D3">
        <w:rPr>
          <w:lang w:val="fr-FR"/>
        </w:rPr>
        <w:t>pour aborder la question des interrelations entre la biodiversité et la santé, y compris]</w:t>
      </w:r>
      <w:r w:rsidR="003F4720" w:rsidRPr="00EA71D3">
        <w:rPr>
          <w:lang w:val="fr-FR"/>
        </w:rPr>
        <w:t xml:space="preserve"> pour </w:t>
      </w:r>
      <w:r w:rsidR="00A64FDF" w:rsidRPr="00EA71D3">
        <w:rPr>
          <w:lang w:val="fr-FR"/>
        </w:rPr>
        <w:t xml:space="preserve">[faciliter] </w:t>
      </w:r>
      <w:r w:rsidR="003F4720" w:rsidRPr="00EA71D3">
        <w:rPr>
          <w:lang w:val="fr-FR"/>
        </w:rPr>
        <w:t>la mise en œuvre efficace du Plan d’action mondial</w:t>
      </w:r>
      <w:r w:rsidR="000E6FDA" w:rsidRPr="00EA71D3">
        <w:rPr>
          <w:lang w:val="fr-FR"/>
        </w:rPr>
        <w:t>]</w:t>
      </w:r>
      <w:r w:rsidR="003F4720" w:rsidRPr="00EA71D3">
        <w:rPr>
          <w:lang w:val="fr-FR"/>
        </w:rPr>
        <w:t> ;</w:t>
      </w:r>
      <w:r w:rsidR="00A64FDF" w:rsidRPr="00EA71D3">
        <w:rPr>
          <w:lang w:val="fr-FR"/>
        </w:rPr>
        <w:t>]</w:t>
      </w:r>
      <w:r w:rsidR="003F4720" w:rsidRPr="00EA71D3">
        <w:rPr>
          <w:lang w:val="fr-FR"/>
        </w:rPr>
        <w:t xml:space="preserve"> </w:t>
      </w:r>
    </w:p>
    <w:p w14:paraId="48BA4A0B" w14:textId="7601F8C5" w:rsidR="003F4720" w:rsidRPr="00EA71D3" w:rsidRDefault="002C644D" w:rsidP="003F4720">
      <w:pPr>
        <w:pStyle w:val="Para10"/>
        <w:numPr>
          <w:ilvl w:val="0"/>
          <w:numId w:val="0"/>
        </w:numPr>
        <w:tabs>
          <w:tab w:val="clear" w:pos="1134"/>
          <w:tab w:val="left" w:pos="1701"/>
        </w:tabs>
        <w:ind w:left="567" w:firstLine="567"/>
        <w:rPr>
          <w:lang w:val="fr-FR"/>
        </w:rPr>
      </w:pPr>
      <w:r w:rsidRPr="00EA71D3">
        <w:rPr>
          <w:lang w:val="fr-FR"/>
        </w:rPr>
        <w:t>[</w:t>
      </w:r>
      <w:r w:rsidR="005415C5" w:rsidRPr="00EA71D3">
        <w:rPr>
          <w:lang w:val="fr-FR"/>
        </w:rPr>
        <w:t>8</w:t>
      </w:r>
      <w:r w:rsidR="003F4720" w:rsidRPr="00EA71D3">
        <w:rPr>
          <w:lang w:val="fr-FR"/>
        </w:rPr>
        <w:t>.</w:t>
      </w:r>
      <w:r w:rsidR="003F4720" w:rsidRPr="00EA71D3">
        <w:rPr>
          <w:i/>
          <w:iCs/>
          <w:lang w:val="fr-FR"/>
        </w:rPr>
        <w:tab/>
        <w:t xml:space="preserve">Prie </w:t>
      </w:r>
      <w:r w:rsidR="003F4720" w:rsidRPr="00EA71D3">
        <w:rPr>
          <w:lang w:val="fr-FR"/>
        </w:rPr>
        <w:t>le</w:t>
      </w:r>
      <w:r w:rsidR="003F4720" w:rsidRPr="00EA71D3">
        <w:rPr>
          <w:i/>
          <w:iCs/>
          <w:lang w:val="fr-FR"/>
        </w:rPr>
        <w:t xml:space="preserve"> </w:t>
      </w:r>
      <w:r w:rsidR="003F4720" w:rsidRPr="00EA71D3">
        <w:rPr>
          <w:lang w:val="fr-FR"/>
        </w:rPr>
        <w:t xml:space="preserve">Fonds pour l’environnement mondial de fournir une assistance financière </w:t>
      </w:r>
      <w:r w:rsidR="000D2F46" w:rsidRPr="00EA71D3">
        <w:rPr>
          <w:lang w:val="fr-FR"/>
        </w:rPr>
        <w:t>à tous les</w:t>
      </w:r>
      <w:r w:rsidR="003F4720" w:rsidRPr="00EA71D3">
        <w:rPr>
          <w:lang w:val="fr-FR"/>
        </w:rPr>
        <w:t xml:space="preserve"> pays </w:t>
      </w:r>
      <w:r w:rsidR="00B90351" w:rsidRPr="00EA71D3">
        <w:rPr>
          <w:lang w:val="fr-FR"/>
        </w:rPr>
        <w:t>[</w:t>
      </w:r>
      <w:r w:rsidR="003F4720" w:rsidRPr="00EA71D3">
        <w:rPr>
          <w:lang w:val="fr-FR"/>
        </w:rPr>
        <w:t>en développement</w:t>
      </w:r>
      <w:r w:rsidR="00B90351" w:rsidRPr="00EA71D3">
        <w:rPr>
          <w:lang w:val="fr-FR"/>
        </w:rPr>
        <w:t>]</w:t>
      </w:r>
      <w:r w:rsidR="000D2F46" w:rsidRPr="00EA71D3">
        <w:rPr>
          <w:lang w:val="fr-FR"/>
        </w:rPr>
        <w:t xml:space="preserve"> [admissibles]</w:t>
      </w:r>
      <w:r w:rsidR="003F4720" w:rsidRPr="00EA71D3">
        <w:rPr>
          <w:lang w:val="fr-FR"/>
        </w:rPr>
        <w:t xml:space="preserve">, </w:t>
      </w:r>
      <w:r w:rsidR="000E6FDA" w:rsidRPr="00EA71D3">
        <w:rPr>
          <w:lang w:val="fr-FR"/>
        </w:rPr>
        <w:t>sans [préjugé,] discrimination ou partialité</w:t>
      </w:r>
      <w:r w:rsidR="000D2F46" w:rsidRPr="00EA71D3">
        <w:rPr>
          <w:lang w:val="fr-FR"/>
        </w:rPr>
        <w:t xml:space="preserve">, </w:t>
      </w:r>
      <w:r w:rsidR="003F4720" w:rsidRPr="00EA71D3">
        <w:rPr>
          <w:lang w:val="fr-FR"/>
        </w:rPr>
        <w:t xml:space="preserve">y compris </w:t>
      </w:r>
      <w:r w:rsidR="003F1FBD" w:rsidRPr="00EA71D3">
        <w:rPr>
          <w:lang w:val="fr-FR"/>
        </w:rPr>
        <w:lastRenderedPageBreak/>
        <w:t xml:space="preserve">pour </w:t>
      </w:r>
      <w:r w:rsidR="003F4720" w:rsidRPr="00EA71D3">
        <w:rPr>
          <w:lang w:val="fr-FR"/>
        </w:rPr>
        <w:t xml:space="preserve">des activités de renforcement et de développement des capacités </w:t>
      </w:r>
      <w:r w:rsidR="00D931BA" w:rsidRPr="00EA71D3">
        <w:rPr>
          <w:lang w:val="fr-FR"/>
        </w:rPr>
        <w:t xml:space="preserve">en vue de </w:t>
      </w:r>
      <w:r w:rsidR="003F4720" w:rsidRPr="00EA71D3">
        <w:rPr>
          <w:lang w:val="fr-FR"/>
        </w:rPr>
        <w:t>la réalisation de projets nationaux, infranationaux et régionaux en lien avec le Plan d’action mondial ;</w:t>
      </w:r>
      <w:r w:rsidR="000D2F46" w:rsidRPr="00EA71D3">
        <w:rPr>
          <w:lang w:val="fr-FR"/>
        </w:rPr>
        <w:t>]</w:t>
      </w:r>
      <w:r w:rsidR="00E932AE" w:rsidRPr="00E932AE">
        <w:rPr>
          <w:rStyle w:val="FootnoteReference"/>
          <w:lang w:val="fr-FR"/>
        </w:rPr>
        <w:t xml:space="preserve"> </w:t>
      </w:r>
      <w:r w:rsidR="00E932AE" w:rsidRPr="00EA71D3">
        <w:rPr>
          <w:rStyle w:val="FootnoteReference"/>
          <w:lang w:val="fr-FR"/>
        </w:rPr>
        <w:footnoteReference w:id="9"/>
      </w:r>
    </w:p>
    <w:p w14:paraId="2DB75686" w14:textId="1F842141" w:rsidR="003F4720" w:rsidRPr="00EA71D3" w:rsidRDefault="002C644D" w:rsidP="003F4720">
      <w:pPr>
        <w:pStyle w:val="Para10"/>
        <w:numPr>
          <w:ilvl w:val="0"/>
          <w:numId w:val="0"/>
        </w:numPr>
        <w:tabs>
          <w:tab w:val="clear" w:pos="1134"/>
          <w:tab w:val="left" w:pos="1701"/>
        </w:tabs>
        <w:ind w:left="567" w:firstLine="567"/>
        <w:rPr>
          <w:lang w:val="fr-FR"/>
        </w:rPr>
      </w:pPr>
      <w:r w:rsidRPr="00EA71D3">
        <w:rPr>
          <w:lang w:val="fr-FR"/>
        </w:rPr>
        <w:t>[</w:t>
      </w:r>
      <w:r w:rsidR="003F4720" w:rsidRPr="00EA71D3">
        <w:rPr>
          <w:lang w:val="fr-FR"/>
        </w:rPr>
        <w:t>9.</w:t>
      </w:r>
      <w:r w:rsidR="003F4720" w:rsidRPr="00EA71D3">
        <w:rPr>
          <w:lang w:val="fr-FR"/>
        </w:rPr>
        <w:tab/>
      </w:r>
      <w:r w:rsidR="003F4720" w:rsidRPr="00EA71D3" w:rsidDel="00B9199E">
        <w:rPr>
          <w:i/>
          <w:iCs/>
          <w:lang w:val="fr-FR"/>
        </w:rPr>
        <w:t xml:space="preserve">Invite </w:t>
      </w:r>
      <w:r w:rsidR="003F4720" w:rsidRPr="00EA71D3">
        <w:rPr>
          <w:lang w:val="fr-FR"/>
        </w:rPr>
        <w:t>les Parties, les autres gouvernements, les accords multilatéraux pertinents sur l’environnement et les autres organisations à partager les mesures, les orientations et les outils, les exemples, les meilleures pratiques et les enseignements tirés de la mise en œuvre du Plan d’action mondial et de l’intégration des interrelations entre la biodiversité et la santé à tous les niveaux ;</w:t>
      </w:r>
      <w:r w:rsidR="000D2F46" w:rsidRPr="00EA71D3">
        <w:rPr>
          <w:lang w:val="fr-FR"/>
        </w:rPr>
        <w:t>]</w:t>
      </w:r>
      <w:r w:rsidR="00E932AE" w:rsidRPr="00E932AE">
        <w:rPr>
          <w:rStyle w:val="FootnoteReference"/>
          <w:lang w:val="fr-FR"/>
        </w:rPr>
        <w:t xml:space="preserve"> </w:t>
      </w:r>
      <w:r w:rsidR="00E932AE" w:rsidRPr="00EA71D3">
        <w:rPr>
          <w:rStyle w:val="FootnoteReference"/>
          <w:lang w:val="fr-FR"/>
        </w:rPr>
        <w:footnoteReference w:id="10"/>
      </w:r>
      <w:r w:rsidR="003F4720" w:rsidRPr="00EA71D3">
        <w:rPr>
          <w:lang w:val="fr-FR"/>
        </w:rPr>
        <w:t xml:space="preserve"> </w:t>
      </w:r>
    </w:p>
    <w:p w14:paraId="6D7F13F1" w14:textId="6D274466" w:rsidR="003F4720" w:rsidRPr="00EA71D3" w:rsidRDefault="002C644D" w:rsidP="003F4720">
      <w:pPr>
        <w:pStyle w:val="Para10"/>
        <w:numPr>
          <w:ilvl w:val="0"/>
          <w:numId w:val="0"/>
        </w:numPr>
        <w:tabs>
          <w:tab w:val="clear" w:pos="1134"/>
          <w:tab w:val="left" w:pos="1701"/>
        </w:tabs>
        <w:ind w:left="567" w:firstLine="567"/>
        <w:rPr>
          <w:lang w:val="fr-FR"/>
        </w:rPr>
      </w:pPr>
      <w:r w:rsidRPr="00EA71D3">
        <w:rPr>
          <w:lang w:val="fr-FR"/>
        </w:rPr>
        <w:t>[</w:t>
      </w:r>
      <w:r w:rsidR="003F4720" w:rsidRPr="00EA71D3">
        <w:rPr>
          <w:lang w:val="fr-FR"/>
        </w:rPr>
        <w:t>10.</w:t>
      </w:r>
      <w:r w:rsidR="003F4720" w:rsidRPr="00EA71D3">
        <w:rPr>
          <w:lang w:val="fr-FR"/>
        </w:rPr>
        <w:tab/>
      </w:r>
      <w:r w:rsidR="003F4720" w:rsidRPr="00EA71D3">
        <w:rPr>
          <w:i/>
          <w:iCs/>
          <w:lang w:val="fr-FR"/>
        </w:rPr>
        <w:t xml:space="preserve">Prie </w:t>
      </w:r>
      <w:r w:rsidR="003F4720" w:rsidRPr="00EA71D3">
        <w:rPr>
          <w:lang w:val="fr-FR"/>
        </w:rPr>
        <w:t>le Secrétaire exécutif, sous réserve de la disponibilité des ressources :</w:t>
      </w:r>
    </w:p>
    <w:p w14:paraId="3F2CE668" w14:textId="75C0FB67" w:rsidR="003F4720" w:rsidRPr="00EA71D3" w:rsidRDefault="003F4720" w:rsidP="003F4720">
      <w:pPr>
        <w:pStyle w:val="Para10"/>
        <w:numPr>
          <w:ilvl w:val="0"/>
          <w:numId w:val="0"/>
        </w:numPr>
        <w:tabs>
          <w:tab w:val="clear" w:pos="1134"/>
          <w:tab w:val="left" w:pos="1701"/>
        </w:tabs>
        <w:ind w:left="567" w:firstLine="567"/>
        <w:rPr>
          <w:lang w:val="fr-FR"/>
        </w:rPr>
      </w:pPr>
      <w:r w:rsidRPr="00EA71D3">
        <w:rPr>
          <w:lang w:val="fr-FR"/>
        </w:rPr>
        <w:t>a)</w:t>
      </w:r>
      <w:r w:rsidRPr="00EA71D3">
        <w:rPr>
          <w:lang w:val="fr-FR"/>
        </w:rPr>
        <w:tab/>
        <w:t>De terminer les travaux réalisés en vertu du paragraphe 13 a) de la décision </w:t>
      </w:r>
      <w:hyperlink r:id="rId20" w:history="1">
        <w:r w:rsidRPr="00EA71D3">
          <w:rPr>
            <w:rStyle w:val="Hyperlink"/>
            <w:color w:val="auto"/>
            <w:u w:val="none"/>
            <w:lang w:val="fr-FR"/>
          </w:rPr>
          <w:t>14/4</w:t>
        </w:r>
      </w:hyperlink>
      <w:r w:rsidRPr="00EA71D3">
        <w:rPr>
          <w:lang w:val="fr-FR"/>
        </w:rPr>
        <w:t xml:space="preserve"> sur l’élaboration d’indicateurs scientifiques intégrés, de valeurs mesurées et d’outils de suivi des progrès sur la diversité biologique et la santé, en tenant compte de la section III et du paragraphe 14 de l’annexe I et des renseignements mentionnés à l’annexe II de la présente décision, entre autres, et de préparer une note sur la manière dont ces indicateurs, valeurs mesurées et outils de suivi des progrès pourraient être utilisés pour assurer un suivi de la mise en œuvre du Plan d’action mondial ; </w:t>
      </w:r>
    </w:p>
    <w:p w14:paraId="38900650" w14:textId="3E7B3B68" w:rsidR="003F4720" w:rsidRPr="00EA71D3" w:rsidRDefault="003F4720" w:rsidP="003F4720">
      <w:pPr>
        <w:pStyle w:val="Para10"/>
        <w:numPr>
          <w:ilvl w:val="0"/>
          <w:numId w:val="0"/>
        </w:numPr>
        <w:tabs>
          <w:tab w:val="clear" w:pos="1134"/>
          <w:tab w:val="left" w:pos="1701"/>
        </w:tabs>
        <w:ind w:left="567" w:firstLine="567"/>
        <w:rPr>
          <w:lang w:val="fr-FR"/>
        </w:rPr>
      </w:pPr>
      <w:r w:rsidRPr="00EA71D3">
        <w:rPr>
          <w:lang w:val="fr-FR"/>
        </w:rPr>
        <w:t>b)</w:t>
      </w:r>
      <w:r w:rsidRPr="00EA71D3">
        <w:rPr>
          <w:lang w:val="fr-FR"/>
        </w:rPr>
        <w:tab/>
        <w:t xml:space="preserve">De favoriser, en collaboration avec des partenaires, les activités de renforcement des capacités, de coopération technique et scientifique et de transfert de technologies afin d’aider les Parties, les peuples autochtones et les communautés locales, ainsi que les parties prenantes, telles que les organisations concernées, les universités, </w:t>
      </w:r>
      <w:r w:rsidR="000E6FDA" w:rsidRPr="00EA71D3">
        <w:rPr>
          <w:lang w:val="fr-FR"/>
        </w:rPr>
        <w:t xml:space="preserve">ainsi que </w:t>
      </w:r>
      <w:r w:rsidRPr="00EA71D3">
        <w:rPr>
          <w:lang w:val="fr-FR"/>
        </w:rPr>
        <w:t xml:space="preserve">les femmes, les enfants, les jeunes et les personnes âgées, à adopter et à mettre en œuvre le Plan d’action mondial, notamment en organisant des ateliers régionaux et en facilitant les dialogues, en </w:t>
      </w:r>
      <w:r w:rsidR="000E6FDA" w:rsidRPr="00EA71D3">
        <w:rPr>
          <w:lang w:val="fr-FR"/>
        </w:rPr>
        <w:t>assurant la participation</w:t>
      </w:r>
      <w:r w:rsidRPr="00EA71D3">
        <w:rPr>
          <w:lang w:val="fr-FR"/>
        </w:rPr>
        <w:t xml:space="preserve"> </w:t>
      </w:r>
      <w:r w:rsidR="000E6FDA" w:rsidRPr="00EA71D3">
        <w:rPr>
          <w:lang w:val="fr-FR"/>
        </w:rPr>
        <w:t>d</w:t>
      </w:r>
      <w:r w:rsidRPr="00EA71D3">
        <w:rPr>
          <w:lang w:val="fr-FR"/>
        </w:rPr>
        <w:t xml:space="preserve">es peuples autochtones, </w:t>
      </w:r>
      <w:r w:rsidR="000E6FDA" w:rsidRPr="00EA71D3">
        <w:rPr>
          <w:lang w:val="fr-FR"/>
        </w:rPr>
        <w:t>d</w:t>
      </w:r>
      <w:r w:rsidRPr="00EA71D3">
        <w:rPr>
          <w:lang w:val="fr-FR"/>
        </w:rPr>
        <w:t xml:space="preserve">es communautés locales, </w:t>
      </w:r>
      <w:r w:rsidR="000E6FDA" w:rsidRPr="00EA71D3">
        <w:rPr>
          <w:lang w:val="fr-FR"/>
        </w:rPr>
        <w:t>d</w:t>
      </w:r>
      <w:r w:rsidRPr="00EA71D3">
        <w:rPr>
          <w:lang w:val="fr-FR"/>
        </w:rPr>
        <w:t xml:space="preserve">es femmes et </w:t>
      </w:r>
      <w:r w:rsidR="000E6FDA" w:rsidRPr="00EA71D3">
        <w:rPr>
          <w:lang w:val="fr-FR"/>
        </w:rPr>
        <w:t>d</w:t>
      </w:r>
      <w:r w:rsidRPr="00EA71D3">
        <w:rPr>
          <w:lang w:val="fr-FR"/>
        </w:rPr>
        <w:t xml:space="preserve">es jeunes, en collaboration avec, entre autres, les membres de l’Alliance quadripartite </w:t>
      </w:r>
      <w:r w:rsidR="00750D37" w:rsidRPr="00EA71D3">
        <w:rPr>
          <w:lang w:val="fr-FR"/>
        </w:rPr>
        <w:t xml:space="preserve">sur </w:t>
      </w:r>
      <w:r w:rsidRPr="00EA71D3">
        <w:rPr>
          <w:lang w:val="fr-FR"/>
        </w:rPr>
        <w:t xml:space="preserve">l’approche « Une seule santé » et </w:t>
      </w:r>
      <w:r w:rsidR="00A227D0" w:rsidRPr="00EA71D3">
        <w:rPr>
          <w:lang w:val="fr-FR"/>
        </w:rPr>
        <w:t xml:space="preserve">les </w:t>
      </w:r>
      <w:r w:rsidRPr="00EA71D3">
        <w:rPr>
          <w:lang w:val="fr-FR"/>
        </w:rPr>
        <w:t xml:space="preserve">autres </w:t>
      </w:r>
      <w:r w:rsidR="000E6FDA" w:rsidRPr="00EA71D3">
        <w:rPr>
          <w:lang w:val="fr-FR"/>
        </w:rPr>
        <w:t>secrétariats d’</w:t>
      </w:r>
      <w:r w:rsidRPr="00EA71D3">
        <w:rPr>
          <w:lang w:val="fr-FR"/>
        </w:rPr>
        <w:t xml:space="preserve">accords multilatéraux sur l’environnement ; </w:t>
      </w:r>
    </w:p>
    <w:p w14:paraId="084EFF6F" w14:textId="77777777" w:rsidR="003F4720" w:rsidRPr="00EA71D3" w:rsidRDefault="003F4720" w:rsidP="003F4720">
      <w:pPr>
        <w:pStyle w:val="Para10"/>
        <w:numPr>
          <w:ilvl w:val="0"/>
          <w:numId w:val="0"/>
        </w:numPr>
        <w:tabs>
          <w:tab w:val="clear" w:pos="1134"/>
          <w:tab w:val="left" w:pos="1701"/>
        </w:tabs>
        <w:ind w:left="567" w:firstLine="567"/>
        <w:rPr>
          <w:lang w:val="fr-FR"/>
        </w:rPr>
      </w:pPr>
      <w:r w:rsidRPr="00EA71D3">
        <w:rPr>
          <w:lang w:val="fr-FR"/>
        </w:rPr>
        <w:t>c)</w:t>
      </w:r>
      <w:r w:rsidRPr="00EA71D3">
        <w:rPr>
          <w:lang w:val="fr-FR"/>
        </w:rPr>
        <w:tab/>
        <w:t xml:space="preserve">De poursuivre les efforts de sensibilisation à tous les niveaux, notamment au moyen des processus pertinents des autres accords multilatéraux sur l’environnement et des autres organes intergouvernementaux, au sujet des interrelations importantes entre la biodiversité et la santé, y compris leur pertinence pour la mise en œuvre du Cadre ; </w:t>
      </w:r>
    </w:p>
    <w:p w14:paraId="59AA0D08" w14:textId="2E3D1A7A" w:rsidR="003F4720" w:rsidRPr="00EA71D3" w:rsidRDefault="003F4720" w:rsidP="003F4720">
      <w:pPr>
        <w:pStyle w:val="Para10"/>
        <w:numPr>
          <w:ilvl w:val="0"/>
          <w:numId w:val="0"/>
        </w:numPr>
        <w:tabs>
          <w:tab w:val="clear" w:pos="1134"/>
          <w:tab w:val="left" w:pos="1701"/>
        </w:tabs>
        <w:ind w:left="567" w:firstLine="567"/>
        <w:rPr>
          <w:lang w:val="fr-FR"/>
        </w:rPr>
      </w:pPr>
      <w:r w:rsidRPr="00EA71D3">
        <w:rPr>
          <w:lang w:val="fr-FR"/>
        </w:rPr>
        <w:t>d)</w:t>
      </w:r>
      <w:r w:rsidRPr="00EA71D3">
        <w:rPr>
          <w:lang w:val="fr-FR"/>
        </w:rPr>
        <w:tab/>
        <w:t xml:space="preserve">D’accroître et de renforcer la coopération avec les organisations internationales et les </w:t>
      </w:r>
      <w:r w:rsidR="000E6FDA" w:rsidRPr="00EA71D3">
        <w:rPr>
          <w:lang w:val="fr-FR"/>
        </w:rPr>
        <w:t>secrétariats d’</w:t>
      </w:r>
      <w:r w:rsidRPr="00EA71D3">
        <w:rPr>
          <w:lang w:val="fr-FR"/>
        </w:rPr>
        <w:t xml:space="preserve">autres accords multilatéraux sur l’environnement, la santé et les droits de la personne en ce qui concerne les interrelations entre la biodiversité et la santé ; </w:t>
      </w:r>
    </w:p>
    <w:p w14:paraId="6BC2BF39" w14:textId="625BDC98" w:rsidR="003F4720" w:rsidRPr="00EA71D3" w:rsidRDefault="003F4720" w:rsidP="003F4720">
      <w:pPr>
        <w:pStyle w:val="Para10"/>
        <w:numPr>
          <w:ilvl w:val="0"/>
          <w:numId w:val="0"/>
        </w:numPr>
        <w:tabs>
          <w:tab w:val="clear" w:pos="1134"/>
          <w:tab w:val="left" w:pos="1701"/>
        </w:tabs>
        <w:ind w:left="567" w:firstLine="567"/>
        <w:rPr>
          <w:lang w:val="fr-FR"/>
        </w:rPr>
      </w:pPr>
      <w:r w:rsidRPr="00EA71D3">
        <w:rPr>
          <w:lang w:val="fr-FR"/>
        </w:rPr>
        <w:t>e)</w:t>
      </w:r>
      <w:r w:rsidRPr="00EA71D3">
        <w:rPr>
          <w:lang w:val="fr-FR"/>
        </w:rPr>
        <w:tab/>
        <w:t>D’examiner, en consultation avec l’Organisation mondiale de la santé, la création d’une plateforme d’information en ligne pour rassembler les connaissances et les données d’expérience sur les politiques et les mesures liées à la biodiversité et à la santé, y compris, entre autres, les études de cas, les indicateurs, les évaluations et les méthodologies, afin de faciliter le partage des connaissances et le renforcement des capacités et ainsi d’appuyer davantage la mise en œuvre du Plan d’action mondial ;</w:t>
      </w:r>
    </w:p>
    <w:p w14:paraId="1BCA1209" w14:textId="1F5CC0A9" w:rsidR="000E6FDA" w:rsidRPr="00EA71D3" w:rsidRDefault="003F4720" w:rsidP="000E6FDA">
      <w:pPr>
        <w:tabs>
          <w:tab w:val="left" w:pos="1701"/>
        </w:tabs>
        <w:spacing w:after="160" w:line="259" w:lineRule="auto"/>
        <w:ind w:left="567" w:firstLine="567"/>
        <w:rPr>
          <w:lang w:val="fr-FR"/>
        </w:rPr>
      </w:pPr>
      <w:r w:rsidRPr="00EA71D3">
        <w:rPr>
          <w:lang w:val="fr-FR"/>
        </w:rPr>
        <w:t>f)</w:t>
      </w:r>
      <w:r w:rsidRPr="00EA71D3">
        <w:rPr>
          <w:lang w:val="fr-FR"/>
        </w:rPr>
        <w:tab/>
        <w:t>De rendre compte des résultats des travaux susmentionnés à l’Organe subsidiaire chargé de fournir des avis scientifiques, techniques et technologiques lors d’une rencontre qui aura lieu avant la dix-septième réunion de la Conférence des Parties, et à la soixante-dix-neuvième réunion de l’Assemblée mondiale de la santé.</w:t>
      </w:r>
      <w:r w:rsidR="000D2F46" w:rsidRPr="00EA71D3">
        <w:rPr>
          <w:lang w:val="fr-FR"/>
        </w:rPr>
        <w:t>]</w:t>
      </w:r>
      <w:r w:rsidR="000E6FDA" w:rsidRPr="00EA71D3">
        <w:rPr>
          <w:rStyle w:val="FootnoteReference"/>
          <w:lang w:val="fr-FR"/>
        </w:rPr>
        <w:t xml:space="preserve"> </w:t>
      </w:r>
      <w:r w:rsidR="00916FA8">
        <w:rPr>
          <w:vertAlign w:val="superscript"/>
        </w:rPr>
        <w:t>9</w:t>
      </w:r>
    </w:p>
    <w:p w14:paraId="292EED50" w14:textId="3222B4DE" w:rsidR="003F4720" w:rsidRPr="00EA71D3" w:rsidRDefault="003F4720" w:rsidP="003F4720">
      <w:pPr>
        <w:tabs>
          <w:tab w:val="left" w:pos="1701"/>
        </w:tabs>
        <w:spacing w:after="160" w:line="259" w:lineRule="auto"/>
        <w:ind w:left="567" w:firstLine="567"/>
        <w:rPr>
          <w:lang w:val="fr-FR"/>
        </w:rPr>
      </w:pPr>
    </w:p>
    <w:p w14:paraId="042B9BC1" w14:textId="77777777" w:rsidR="006F71CA" w:rsidRDefault="006F71CA" w:rsidP="000E6FDA">
      <w:pPr>
        <w:pStyle w:val="Para10"/>
        <w:numPr>
          <w:ilvl w:val="0"/>
          <w:numId w:val="0"/>
        </w:numPr>
        <w:rPr>
          <w:rFonts w:eastAsiaTheme="minorHAnsi"/>
          <w:lang w:val="fr-FR"/>
        </w:rPr>
      </w:pPr>
    </w:p>
    <w:p w14:paraId="3A3FC9F9" w14:textId="77777777" w:rsidR="00EA71D3" w:rsidRPr="00EA71D3" w:rsidRDefault="00EA71D3" w:rsidP="00EA71D3">
      <w:pPr>
        <w:rPr>
          <w:rFonts w:eastAsiaTheme="minorHAnsi"/>
          <w:lang w:val="fr-FR"/>
        </w:rPr>
      </w:pPr>
    </w:p>
    <w:p w14:paraId="11ACABD0" w14:textId="77777777" w:rsidR="00EA71D3" w:rsidRPr="00EA71D3" w:rsidRDefault="00EA71D3" w:rsidP="00EA71D3">
      <w:pPr>
        <w:rPr>
          <w:rFonts w:eastAsiaTheme="minorHAnsi"/>
          <w:lang w:val="fr-FR"/>
        </w:rPr>
      </w:pPr>
    </w:p>
    <w:p w14:paraId="4B996ED9" w14:textId="0524624E" w:rsidR="000C3D8D" w:rsidRPr="00EA71D3" w:rsidRDefault="00CA65BA" w:rsidP="009A429E">
      <w:pPr>
        <w:keepNext/>
        <w:rPr>
          <w:b/>
          <w:bCs/>
          <w:sz w:val="28"/>
          <w:szCs w:val="28"/>
          <w:lang w:val="fr-FR"/>
        </w:rPr>
      </w:pPr>
      <w:r w:rsidRPr="00EA71D3">
        <w:rPr>
          <w:b/>
          <w:bCs/>
          <w:sz w:val="28"/>
          <w:szCs w:val="28"/>
          <w:lang w:val="fr-FR"/>
        </w:rPr>
        <w:lastRenderedPageBreak/>
        <w:t>Annexe I</w:t>
      </w:r>
      <w:r w:rsidR="00461B93" w:rsidRPr="00EA71D3">
        <w:rPr>
          <w:rStyle w:val="FootnoteReference"/>
          <w:rFonts w:eastAsiaTheme="majorEastAsia"/>
          <w:b/>
          <w:bCs/>
          <w:sz w:val="24"/>
          <w:szCs w:val="24"/>
          <w:lang w:val="fr-FR"/>
        </w:rPr>
        <w:footnoteReference w:id="11"/>
      </w:r>
    </w:p>
    <w:p w14:paraId="12EED967" w14:textId="77777777" w:rsidR="009E6D43" w:rsidRPr="00EA71D3" w:rsidRDefault="009E6D43" w:rsidP="009E6D43">
      <w:pPr>
        <w:pStyle w:val="Title"/>
        <w:outlineLvl w:val="0"/>
        <w:rPr>
          <w:rFonts w:hint="eastAsia"/>
          <w:b w:val="0"/>
          <w:bCs w:val="0"/>
          <w:lang w:val="fr-FR"/>
        </w:rPr>
      </w:pPr>
      <w:bookmarkStart w:id="1" w:name="_Hlk160734646"/>
      <w:r w:rsidRPr="00EA71D3">
        <w:rPr>
          <w:lang w:val="fr-FR"/>
        </w:rPr>
        <w:t>Plan d’action mondial sur la biodiversité et la santé</w:t>
      </w:r>
    </w:p>
    <w:p w14:paraId="7016F44B" w14:textId="77777777" w:rsidR="009E6D43" w:rsidRPr="00EA71D3" w:rsidRDefault="009E6D43" w:rsidP="009E6D43">
      <w:pPr>
        <w:tabs>
          <w:tab w:val="left" w:pos="567"/>
        </w:tabs>
        <w:spacing w:before="120" w:after="120"/>
        <w:outlineLvl w:val="0"/>
        <w:rPr>
          <w:b/>
          <w:bCs/>
          <w:snapToGrid w:val="0"/>
          <w:sz w:val="28"/>
          <w:szCs w:val="28"/>
          <w:lang w:val="fr-FR"/>
        </w:rPr>
      </w:pPr>
      <w:r w:rsidRPr="00EA71D3">
        <w:rPr>
          <w:b/>
          <w:bCs/>
          <w:snapToGrid w:val="0"/>
          <w:sz w:val="28"/>
          <w:szCs w:val="28"/>
          <w:lang w:val="fr-FR"/>
        </w:rPr>
        <w:t>I.</w:t>
      </w:r>
      <w:r w:rsidRPr="00EA71D3">
        <w:rPr>
          <w:snapToGrid w:val="0"/>
          <w:sz w:val="28"/>
          <w:szCs w:val="28"/>
          <w:lang w:val="fr-FR"/>
        </w:rPr>
        <w:tab/>
      </w:r>
      <w:r w:rsidRPr="00EA71D3">
        <w:rPr>
          <w:b/>
          <w:bCs/>
          <w:snapToGrid w:val="0"/>
          <w:sz w:val="28"/>
          <w:szCs w:val="28"/>
          <w:lang w:val="fr-FR"/>
        </w:rPr>
        <w:t>Objet</w:t>
      </w:r>
    </w:p>
    <w:p w14:paraId="3BA6E412" w14:textId="77777777" w:rsidR="009E6D43" w:rsidRPr="00EA71D3" w:rsidRDefault="009E6D43" w:rsidP="009E6D43">
      <w:pPr>
        <w:pStyle w:val="CBD-Para1-Not-numbered"/>
        <w:rPr>
          <w:lang w:val="fr-FR"/>
        </w:rPr>
      </w:pPr>
      <w:r w:rsidRPr="00EA71D3">
        <w:rPr>
          <w:lang w:val="fr-FR"/>
        </w:rPr>
        <w:t>1.</w:t>
      </w:r>
      <w:r w:rsidRPr="00EA71D3">
        <w:rPr>
          <w:lang w:val="fr-FR"/>
        </w:rPr>
        <w:tab/>
        <w:t>Conformément aux décisions </w:t>
      </w:r>
      <w:hyperlink r:id="rId21">
        <w:r w:rsidRPr="00EA71D3">
          <w:rPr>
            <w:color w:val="0000FF"/>
            <w:szCs w:val="22"/>
            <w:u w:val="single"/>
            <w:lang w:val="fr-FR"/>
          </w:rPr>
          <w:t>XII/21</w:t>
        </w:r>
      </w:hyperlink>
      <w:r w:rsidRPr="00EA71D3">
        <w:rPr>
          <w:lang w:val="fr-FR"/>
        </w:rPr>
        <w:t xml:space="preserve"> du 17 octobre 2014, </w:t>
      </w:r>
      <w:hyperlink r:id="rId22">
        <w:r w:rsidRPr="00EA71D3">
          <w:rPr>
            <w:color w:val="0000FF"/>
            <w:szCs w:val="22"/>
            <w:u w:val="single"/>
            <w:lang w:val="fr-FR"/>
          </w:rPr>
          <w:t>XIII/6</w:t>
        </w:r>
      </w:hyperlink>
      <w:r w:rsidRPr="00EA71D3">
        <w:rPr>
          <w:lang w:val="fr-FR"/>
        </w:rPr>
        <w:t xml:space="preserve"> du 17 décembre 2016, </w:t>
      </w:r>
      <w:hyperlink r:id="rId23" w:history="1">
        <w:r w:rsidRPr="00EA71D3">
          <w:rPr>
            <w:rStyle w:val="Hyperlink"/>
            <w:color w:val="auto"/>
            <w:u w:val="none"/>
            <w:lang w:val="fr-FR"/>
          </w:rPr>
          <w:t>14/4</w:t>
        </w:r>
      </w:hyperlink>
      <w:r w:rsidRPr="00EA71D3">
        <w:rPr>
          <w:lang w:val="fr-FR"/>
        </w:rPr>
        <w:t xml:space="preserve"> du 22 novembre 2018 et </w:t>
      </w:r>
      <w:hyperlink r:id="rId24" w:history="1">
        <w:r w:rsidRPr="00EA71D3">
          <w:rPr>
            <w:rStyle w:val="Hyperlink"/>
            <w:lang w:val="fr-FR"/>
          </w:rPr>
          <w:t>15/29</w:t>
        </w:r>
      </w:hyperlink>
      <w:r w:rsidRPr="00EA71D3">
        <w:rPr>
          <w:lang w:val="fr-FR"/>
        </w:rPr>
        <w:t xml:space="preserve"> du 19 décembre 2022, et en complément de ces décisions, le Plan d’action mondial sur la biodiversité et la santé a pour objectif d’aider les Parties et les autres gouvernements de toutes les échelles, les organisations et initiatives pertinentes, les peuples autochtones et communautés locales, les femmes, les enfants, les jeunes, le secteur privé et les autres parties prenantes à intégrer les interrelations entre la biodiversité et la santé dans les politiques, stratégies, programmes et comptes nationaux, en tenant compte de la situation, des priorités et de la législation nationales, et d’une manière compatible avec les obligations internationales pertinentes. Le Plan vise en particulier à permettre aux autorités gouvernementales concernées de collaborer étroitement et de coordonner leurs travaux sur les interrelations entre la biodiversité et la santé.</w:t>
      </w:r>
    </w:p>
    <w:p w14:paraId="0C886613" w14:textId="7D5C0812" w:rsidR="009E6D43" w:rsidRPr="00EA71D3" w:rsidRDefault="009E6D43" w:rsidP="009E6D43">
      <w:pPr>
        <w:pStyle w:val="CBD-Para1-Not-numbered"/>
        <w:rPr>
          <w:lang w:val="fr-FR"/>
        </w:rPr>
      </w:pPr>
      <w:r w:rsidRPr="00EA71D3">
        <w:rPr>
          <w:lang w:val="fr-FR"/>
        </w:rPr>
        <w:t>2.</w:t>
      </w:r>
      <w:r w:rsidRPr="00EA71D3">
        <w:rPr>
          <w:lang w:val="fr-FR"/>
        </w:rPr>
        <w:tab/>
        <w:t xml:space="preserve">Le Plan d’action mondial comprend un ensemble de mesures volontaires qui peuvent être mises en œuvre à différents niveaux et à différentes échelles, du niveau international au niveau national et au niveau local et de façon multisectorielle ou secteur par secteur, avec une collaboration intersectorielle au niveau gouvernemental. Ces mesures permettent en outre la participation de la société civile, des peuples autochtones et des communautés locales, des femmes, des enfants, des jeunes, des personnes âgées et des personnes handicapées, </w:t>
      </w:r>
      <w:r w:rsidR="000E6FDA" w:rsidRPr="00EA71D3">
        <w:rPr>
          <w:lang w:val="fr-FR"/>
        </w:rPr>
        <w:t xml:space="preserve">ainsi que </w:t>
      </w:r>
      <w:r w:rsidRPr="00EA71D3">
        <w:rPr>
          <w:lang w:val="fr-FR"/>
        </w:rPr>
        <w:t>des universités</w:t>
      </w:r>
      <w:r w:rsidR="000E6FDA" w:rsidRPr="00EA71D3">
        <w:rPr>
          <w:lang w:val="fr-FR"/>
        </w:rPr>
        <w:t xml:space="preserve"> et</w:t>
      </w:r>
      <w:r w:rsidRPr="00EA71D3">
        <w:rPr>
          <w:lang w:val="fr-FR"/>
        </w:rPr>
        <w:t xml:space="preserve"> du secteur privé et des milieux financiers, entre autres. Compte tenu de la nature transversale des interrelations entre la biodiversité et la santé, d’autres instruments et processus multilatéraux devraient aussi être pris en compte lors de la mise en œuvre du Plan, dans le respect des obligations internationales pertinentes.</w:t>
      </w:r>
    </w:p>
    <w:p w14:paraId="67C0B114" w14:textId="726912F5" w:rsidR="009E6D43" w:rsidRPr="00EA71D3" w:rsidRDefault="009E6D43" w:rsidP="009E6D43">
      <w:pPr>
        <w:pStyle w:val="CBD-Para1-Not-numbered"/>
        <w:rPr>
          <w:lang w:val="fr-FR"/>
        </w:rPr>
      </w:pPr>
      <w:r w:rsidRPr="00EA71D3">
        <w:rPr>
          <w:lang w:val="fr-FR"/>
        </w:rPr>
        <w:t>3.</w:t>
      </w:r>
      <w:r w:rsidRPr="00EA71D3">
        <w:rPr>
          <w:lang w:val="fr-FR"/>
        </w:rPr>
        <w:tab/>
        <w:t>Le Plan d’action mondial s’appuie sur des travaux antérieurs entrepris dans le cadre de la Convention sur la diversité biologique</w:t>
      </w:r>
      <w:r w:rsidRPr="00EA71D3">
        <w:rPr>
          <w:vertAlign w:val="superscript"/>
          <w:lang w:val="fr-FR"/>
        </w:rPr>
        <w:footnoteReference w:id="12"/>
      </w:r>
      <w:r w:rsidRPr="00EA71D3">
        <w:rPr>
          <w:lang w:val="fr-FR"/>
        </w:rPr>
        <w:t xml:space="preserve">, notamment ceux réalisés conjointement avec l’Organisation mondiale de la santé sur les interrelations entre la biodiversité et la santé par l’entremise d’un programme de travail conjoint </w:t>
      </w:r>
      <w:r w:rsidR="000E6FDA" w:rsidRPr="00EA71D3">
        <w:rPr>
          <w:lang w:val="fr-FR"/>
        </w:rPr>
        <w:t>de</w:t>
      </w:r>
      <w:r w:rsidRPr="00EA71D3">
        <w:rPr>
          <w:lang w:val="fr-FR"/>
        </w:rPr>
        <w:t xml:space="preserve"> 2012 </w:t>
      </w:r>
      <w:r w:rsidR="000E6FDA" w:rsidRPr="00EA71D3">
        <w:rPr>
          <w:lang w:val="fr-FR"/>
        </w:rPr>
        <w:t>à</w:t>
      </w:r>
      <w:r w:rsidRPr="00EA71D3">
        <w:rPr>
          <w:lang w:val="fr-FR"/>
        </w:rPr>
        <w:t xml:space="preserve"> 2021. Le Plan est conçu pour compléter et appuyer la mise en œuvre des décisions antérieures de la Conférence des Parties en matière de biodiversité et de santé (décisions </w:t>
      </w:r>
      <w:hyperlink r:id="rId25" w:history="1">
        <w:r w:rsidRPr="00EA71D3">
          <w:rPr>
            <w:rStyle w:val="Hyperlink"/>
            <w:lang w:val="fr-FR"/>
          </w:rPr>
          <w:t>XII/21</w:t>
        </w:r>
      </w:hyperlink>
      <w:r w:rsidRPr="00EA71D3">
        <w:rPr>
          <w:lang w:val="fr-FR"/>
        </w:rPr>
        <w:t xml:space="preserve">, </w:t>
      </w:r>
      <w:hyperlink r:id="rId26" w:history="1">
        <w:r w:rsidRPr="00EA71D3">
          <w:rPr>
            <w:rStyle w:val="Hyperlink"/>
            <w:lang w:val="fr-FR"/>
          </w:rPr>
          <w:t>XIII/6</w:t>
        </w:r>
      </w:hyperlink>
      <w:r w:rsidRPr="00EA71D3">
        <w:rPr>
          <w:lang w:val="fr-FR"/>
        </w:rPr>
        <w:t xml:space="preserve">, </w:t>
      </w:r>
      <w:hyperlink r:id="rId27" w:history="1">
        <w:r w:rsidRPr="00EA71D3">
          <w:rPr>
            <w:rStyle w:val="Hyperlink"/>
            <w:color w:val="auto"/>
            <w:u w:val="none"/>
            <w:lang w:val="fr-FR"/>
          </w:rPr>
          <w:t>14/4</w:t>
        </w:r>
      </w:hyperlink>
      <w:r w:rsidRPr="00EA71D3">
        <w:rPr>
          <w:lang w:val="fr-FR"/>
        </w:rPr>
        <w:t xml:space="preserve"> et </w:t>
      </w:r>
      <w:hyperlink r:id="rId28" w:history="1">
        <w:r w:rsidRPr="00EA71D3">
          <w:rPr>
            <w:rStyle w:val="Hyperlink"/>
            <w:lang w:val="fr-FR"/>
          </w:rPr>
          <w:t>15/29</w:t>
        </w:r>
      </w:hyperlink>
      <w:r w:rsidRPr="00EA71D3">
        <w:rPr>
          <w:lang w:val="fr-FR"/>
        </w:rPr>
        <w:t>)</w:t>
      </w:r>
      <w:r w:rsidR="000E6FDA" w:rsidRPr="00EA71D3">
        <w:rPr>
          <w:lang w:val="fr-FR"/>
        </w:rPr>
        <w:t xml:space="preserve"> et </w:t>
      </w:r>
      <w:r w:rsidRPr="00EA71D3">
        <w:rPr>
          <w:lang w:val="fr-FR"/>
        </w:rPr>
        <w:t xml:space="preserve">vise à favoriser la réalisation des coavantages en matière de biodiversité et de santé découlant de la mise en œuvre </w:t>
      </w:r>
      <w:r w:rsidR="00644582" w:rsidRPr="00EA71D3">
        <w:rPr>
          <w:lang w:val="fr-FR"/>
        </w:rPr>
        <w:t xml:space="preserve">de la Convention et </w:t>
      </w:r>
      <w:r w:rsidRPr="00EA71D3">
        <w:rPr>
          <w:lang w:val="fr-FR"/>
        </w:rPr>
        <w:t>du Cadre mondial de la biodiversité de Kunming-Montréal</w:t>
      </w:r>
      <w:r w:rsidRPr="00EA71D3">
        <w:rPr>
          <w:rStyle w:val="FootnoteReference"/>
          <w:lang w:val="fr-FR"/>
        </w:rPr>
        <w:footnoteReference w:id="13"/>
      </w:r>
      <w:r w:rsidRPr="00EA71D3">
        <w:rPr>
          <w:lang w:val="fr-FR"/>
        </w:rPr>
        <w:t xml:space="preserve">. </w:t>
      </w:r>
    </w:p>
    <w:p w14:paraId="665645B9" w14:textId="723C9FD1" w:rsidR="009E6D43" w:rsidRPr="00EA71D3" w:rsidRDefault="009E6D43" w:rsidP="009E6D43">
      <w:pPr>
        <w:pStyle w:val="CBD-Para1-Not-numbered"/>
        <w:rPr>
          <w:lang w:val="fr-FR"/>
        </w:rPr>
      </w:pPr>
      <w:r w:rsidRPr="00EA71D3">
        <w:rPr>
          <w:lang w:val="fr-FR"/>
        </w:rPr>
        <w:t>4.</w:t>
      </w:r>
      <w:r w:rsidRPr="00EA71D3">
        <w:rPr>
          <w:lang w:val="fr-FR"/>
        </w:rPr>
        <w:tab/>
        <w:t xml:space="preserve">La mise en œuvre du Plan d’action mondial devrait être fondée sur la reconnaissance de l’importance des trois objectifs de la Convention, à savoir la conservation de la diversité biologique, l’utilisation durable de ses éléments et le partage juste et équitable des avantages découlant de l’exploitation des ressources génétiques, d’une manière équilibrée, afin que les travaux sur les interrelations entre la biodiversité et la santé se poursuivent. </w:t>
      </w:r>
      <w:r w:rsidR="000E6FDA" w:rsidRPr="00EA71D3">
        <w:rPr>
          <w:lang w:val="fr-FR"/>
        </w:rPr>
        <w:t>Il atteste aussi de la nécessité de mettre à disposition des moyens de mise en œuvre adéquats dans les pays en voie de développement</w:t>
      </w:r>
      <w:r w:rsidRPr="00EA71D3">
        <w:rPr>
          <w:lang w:val="fr-FR"/>
        </w:rPr>
        <w:t>, notamment des ressources financières suffisantes et prévisibles, un renforcement des capacités, la coopération scientifique et technique et le transfert de technologie, pour permettre la mise en œuvre du Plan et garantir l’équité. Le Plan souligne qu’il est urgent de lutter contre les inégalités en matière de santé mondiale et de renforcer les systèmes de santé dans les pays en développement et les pays dont l’économie est en transition, notamment par le biais de la coopération Nord-Sud, Sud-Sud et triangulaire.</w:t>
      </w:r>
    </w:p>
    <w:p w14:paraId="16BDB4E8" w14:textId="77777777" w:rsidR="009E6D43" w:rsidRPr="00EA71D3" w:rsidRDefault="009E6D43" w:rsidP="009E6D43">
      <w:pPr>
        <w:pStyle w:val="CBD-Para1-Not-numbered"/>
        <w:rPr>
          <w:lang w:val="fr-FR"/>
        </w:rPr>
      </w:pPr>
      <w:r w:rsidRPr="00EA71D3">
        <w:rPr>
          <w:lang w:val="fr-FR"/>
        </w:rPr>
        <w:lastRenderedPageBreak/>
        <w:t>5.</w:t>
      </w:r>
      <w:r w:rsidRPr="00EA71D3">
        <w:rPr>
          <w:lang w:val="fr-FR"/>
        </w:rPr>
        <w:tab/>
        <w:t>Aucune disposition du présent Plan d’action mondial ne doit être interprétée comme modifiant les droits et obligations d’une Partie en vertu de la Convention ou de tout autre accord international.</w:t>
      </w:r>
    </w:p>
    <w:p w14:paraId="06D1F4F0" w14:textId="77777777" w:rsidR="009E6D43" w:rsidRPr="00EA71D3" w:rsidRDefault="009E6D43" w:rsidP="009E6D43">
      <w:pPr>
        <w:pStyle w:val="CBD-Para1-Not-numbered"/>
        <w:keepNext/>
        <w:ind w:left="562"/>
        <w:rPr>
          <w:lang w:val="fr-FR"/>
        </w:rPr>
      </w:pPr>
      <w:r w:rsidRPr="00EA71D3">
        <w:rPr>
          <w:lang w:val="fr-FR"/>
        </w:rPr>
        <w:t>6.</w:t>
      </w:r>
      <w:r w:rsidRPr="00EA71D3">
        <w:rPr>
          <w:lang w:val="fr-FR"/>
        </w:rPr>
        <w:tab/>
        <w:t>Le Plan d’action mondial s’inspire également des aspects suivants :</w:t>
      </w:r>
    </w:p>
    <w:p w14:paraId="3FAE47B2" w14:textId="3E61AB6E" w:rsidR="009E6D43" w:rsidRPr="00EA71D3" w:rsidRDefault="009E6D43" w:rsidP="009E6D43">
      <w:pPr>
        <w:tabs>
          <w:tab w:val="left" w:pos="1701"/>
        </w:tabs>
        <w:spacing w:after="120"/>
        <w:ind w:left="567" w:firstLine="567"/>
        <w:rPr>
          <w:rFonts w:eastAsiaTheme="minorEastAsia"/>
          <w:kern w:val="2"/>
          <w:lang w:val="fr-FR"/>
          <w14:ligatures w14:val="standardContextual"/>
        </w:rPr>
      </w:pPr>
      <w:bookmarkStart w:id="2" w:name="_Toc70344429"/>
      <w:r w:rsidRPr="00EA71D3">
        <w:rPr>
          <w:lang w:val="fr-FR"/>
        </w:rPr>
        <w:t>a)</w:t>
      </w:r>
      <w:r w:rsidRPr="00EA71D3">
        <w:rPr>
          <w:lang w:val="fr-FR"/>
        </w:rPr>
        <w:tab/>
        <w:t>Les constatations de la Plateforme intergouvernementale scientifique et politique sur la biodiversité et les services écosystémiques, à savoir, notamment : i) que la nature sous-tend toutes les dimensions de la santé humaine et contribue aux aspects immatériels de la qualité de vie (inspiration et apprentissage, expériences physiques et psychologiques et identités de soutien), qui sont au cœur de la qualité de vie et de l’intégrité culturelle ; ii) que les contributions de la nature envers les personnes</w:t>
      </w:r>
      <w:r w:rsidRPr="00EA71D3">
        <w:rPr>
          <w:rFonts w:eastAsiaTheme="minorEastAsia"/>
          <w:kern w:val="2"/>
          <w:vertAlign w:val="superscript"/>
          <w:lang w:val="fr-FR" w:eastAsia="zh-CN"/>
        </w:rPr>
        <w:footnoteReference w:id="14"/>
      </w:r>
      <w:r w:rsidRPr="00EA71D3">
        <w:rPr>
          <w:lang w:val="fr-FR"/>
        </w:rPr>
        <w:t xml:space="preserve"> jouent un rôle essentiel dans la santé humaine en régulant les </w:t>
      </w:r>
      <w:r w:rsidR="000E6FDA" w:rsidRPr="00EA71D3">
        <w:rPr>
          <w:lang w:val="fr-FR"/>
        </w:rPr>
        <w:t>contributions</w:t>
      </w:r>
      <w:r w:rsidRPr="00EA71D3">
        <w:rPr>
          <w:lang w:val="fr-FR"/>
        </w:rPr>
        <w:t xml:space="preserve"> matériel</w:t>
      </w:r>
      <w:r w:rsidR="000E6FDA" w:rsidRPr="00EA71D3">
        <w:rPr>
          <w:lang w:val="fr-FR"/>
        </w:rPr>
        <w:t>le</w:t>
      </w:r>
      <w:r w:rsidRPr="00EA71D3">
        <w:rPr>
          <w:lang w:val="fr-FR"/>
        </w:rPr>
        <w:t>s et non matériel</w:t>
      </w:r>
      <w:r w:rsidR="000E6FDA" w:rsidRPr="00EA71D3">
        <w:rPr>
          <w:lang w:val="fr-FR"/>
        </w:rPr>
        <w:t>le</w:t>
      </w:r>
      <w:r w:rsidRPr="00EA71D3">
        <w:rPr>
          <w:lang w:val="fr-FR"/>
        </w:rPr>
        <w:t xml:space="preserve">s ; iii) qu’à l’échelle mondiale, les groupes sociaux disposent d’un accès inégal aux contributions de la nature envers les personnes ; iv) que le déclin des contributions de la nature envers les personnes menace la qualité de vie ; v) que la détérioration de la nature et la perturbation qui s’ensuit de ses avantages envers les personnes ont à la fois des répercussions directes et indirectes sur la santé publique et peuvent exacerber les inégalités existantes en matière d’accès aux soins de santé ou à de saines alimentations ; </w:t>
      </w:r>
      <w:r w:rsidRPr="00EA71D3">
        <w:rPr>
          <w:rFonts w:eastAsiaTheme="minorEastAsia"/>
          <w:kern w:val="2"/>
          <w:lang w:val="fr-FR" w:eastAsia="zh-CN"/>
          <w14:ligatures w14:val="standardContextual"/>
        </w:rPr>
        <w:t>et vi) que l’environnement mondial peut être sauvegardé par le renforcement de la coopération internationale et des mesures liées et pertinentes au niveau local </w:t>
      </w:r>
      <w:r w:rsidRPr="00EA71D3">
        <w:rPr>
          <w:rFonts w:eastAsiaTheme="minorEastAsia"/>
          <w:lang w:val="fr-FR" w:eastAsia="zh-CN"/>
        </w:rPr>
        <w:t>;</w:t>
      </w:r>
    </w:p>
    <w:p w14:paraId="1C014D76" w14:textId="1D20894A" w:rsidR="009E6D43" w:rsidRPr="00EA71D3" w:rsidRDefault="009E6D43" w:rsidP="009E6D43">
      <w:pPr>
        <w:tabs>
          <w:tab w:val="left" w:pos="1701"/>
        </w:tabs>
        <w:spacing w:after="120"/>
        <w:ind w:left="567" w:firstLine="567"/>
        <w:rPr>
          <w:rFonts w:eastAsiaTheme="minorEastAsia"/>
          <w:kern w:val="2"/>
          <w:lang w:val="fr-FR"/>
          <w14:ligatures w14:val="standardContextual"/>
        </w:rPr>
      </w:pPr>
      <w:r w:rsidRPr="00EA71D3">
        <w:rPr>
          <w:lang w:val="fr-FR"/>
        </w:rPr>
        <w:t>b)</w:t>
      </w:r>
      <w:r w:rsidRPr="00EA71D3">
        <w:rPr>
          <w:lang w:val="fr-FR"/>
        </w:rPr>
        <w:tab/>
        <w:t>Les constatations de la Plateforme intergouvernementale scientifique et politique sur la biodiversité et les services écosystémiques, notamment</w:t>
      </w:r>
      <w:r w:rsidR="000E6FDA" w:rsidRPr="00EA71D3">
        <w:rPr>
          <w:lang w:val="fr-FR"/>
        </w:rPr>
        <w:t xml:space="preserve"> le fait</w:t>
      </w:r>
      <w:r w:rsidRPr="00EA71D3">
        <w:rPr>
          <w:lang w:val="fr-FR"/>
        </w:rPr>
        <w:t xml:space="preserve"> que les changements climatiques </w:t>
      </w:r>
      <w:r w:rsidR="000E6FDA" w:rsidRPr="00EA71D3">
        <w:rPr>
          <w:lang w:val="fr-FR"/>
        </w:rPr>
        <w:t>menacent</w:t>
      </w:r>
      <w:r w:rsidRPr="00EA71D3">
        <w:rPr>
          <w:lang w:val="fr-FR"/>
        </w:rPr>
        <w:t xml:space="preserve"> le bien-être humain</w:t>
      </w:r>
      <w:r w:rsidR="000E6FDA" w:rsidRPr="00EA71D3">
        <w:rPr>
          <w:rStyle w:val="FootnoteReference"/>
          <w:rFonts w:eastAsiaTheme="minorEastAsia"/>
          <w:kern w:val="2"/>
          <w:lang w:val="fr-FR" w:eastAsia="zh-CN"/>
          <w14:ligatures w14:val="standardContextual"/>
        </w:rPr>
        <w:footnoteReference w:id="15"/>
      </w:r>
      <w:r w:rsidRPr="00EA71D3">
        <w:rPr>
          <w:lang w:val="fr-FR"/>
        </w:rPr>
        <w:t> ;</w:t>
      </w:r>
    </w:p>
    <w:p w14:paraId="79055A84" w14:textId="77777777" w:rsidR="009E6D43" w:rsidRPr="00EA71D3" w:rsidRDefault="009E6D43" w:rsidP="009E6D43">
      <w:pPr>
        <w:tabs>
          <w:tab w:val="left" w:pos="1701"/>
        </w:tabs>
        <w:spacing w:after="120"/>
        <w:ind w:left="567" w:firstLine="567"/>
        <w:rPr>
          <w:rFonts w:eastAsiaTheme="minorEastAsia"/>
          <w:kern w:val="2"/>
          <w:lang w:val="fr-FR"/>
          <w14:ligatures w14:val="standardContextual"/>
        </w:rPr>
      </w:pPr>
      <w:r w:rsidRPr="00EA71D3">
        <w:rPr>
          <w:lang w:val="fr-FR"/>
        </w:rPr>
        <w:t>c)</w:t>
      </w:r>
      <w:r w:rsidRPr="00EA71D3">
        <w:rPr>
          <w:lang w:val="fr-FR"/>
        </w:rPr>
        <w:tab/>
      </w:r>
      <w:r w:rsidRPr="00EA71D3">
        <w:rPr>
          <w:rFonts w:asciiTheme="majorBidi" w:hAnsiTheme="majorBidi"/>
          <w:lang w:val="fr-FR"/>
        </w:rPr>
        <w:t>L’</w:t>
      </w:r>
      <w:r w:rsidRPr="00EA71D3">
        <w:rPr>
          <w:rStyle w:val="cf01"/>
          <w:rFonts w:asciiTheme="majorBidi" w:hAnsiTheme="majorBidi"/>
          <w:i w:val="0"/>
          <w:iCs w:val="0"/>
          <w:sz w:val="22"/>
          <w:szCs w:val="22"/>
          <w:lang w:val="fr-FR"/>
        </w:rPr>
        <w:t>étude sur les déterminants autochtones de la santé dans le Programme de développement durable à l’horizon 2030</w:t>
      </w:r>
      <w:r w:rsidRPr="00EA71D3">
        <w:rPr>
          <w:rStyle w:val="FootnoteReference"/>
          <w:rFonts w:asciiTheme="majorBidi" w:eastAsiaTheme="majorEastAsia" w:hAnsiTheme="majorBidi" w:cstheme="majorBidi"/>
          <w:lang w:val="fr-FR"/>
        </w:rPr>
        <w:footnoteReference w:id="16"/>
      </w:r>
      <w:r w:rsidRPr="00EA71D3">
        <w:rPr>
          <w:rStyle w:val="cf11"/>
          <w:rFonts w:asciiTheme="majorBidi" w:hAnsiTheme="majorBidi"/>
          <w:i w:val="0"/>
          <w:iCs w:val="0"/>
          <w:sz w:val="22"/>
          <w:szCs w:val="22"/>
          <w:lang w:val="fr-FR"/>
        </w:rPr>
        <w:t>, accueillie par</w:t>
      </w:r>
      <w:r w:rsidRPr="00EA71D3">
        <w:rPr>
          <w:rStyle w:val="cf11"/>
          <w:i w:val="0"/>
          <w:iCs w:val="0"/>
          <w:lang w:val="fr-FR"/>
        </w:rPr>
        <w:t xml:space="preserve"> </w:t>
      </w:r>
      <w:r w:rsidRPr="00EA71D3">
        <w:rPr>
          <w:lang w:val="fr-FR"/>
        </w:rPr>
        <w:t xml:space="preserve">l’Instance permanente sur les questions autochtones ; </w:t>
      </w:r>
    </w:p>
    <w:p w14:paraId="5D6E7210" w14:textId="77777777" w:rsidR="009E6D43" w:rsidRPr="00EA71D3" w:rsidDel="00024301" w:rsidRDefault="009E6D43" w:rsidP="009E6D43">
      <w:pPr>
        <w:tabs>
          <w:tab w:val="left" w:pos="1701"/>
        </w:tabs>
        <w:spacing w:after="120"/>
        <w:ind w:left="567" w:firstLine="567"/>
        <w:rPr>
          <w:rFonts w:asciiTheme="majorBidi" w:eastAsiaTheme="minorEastAsia" w:hAnsiTheme="majorBidi" w:cstheme="majorBidi"/>
          <w:kern w:val="2"/>
          <w:lang w:val="fr-FR"/>
          <w14:ligatures w14:val="standardContextual"/>
        </w:rPr>
      </w:pPr>
      <w:r w:rsidRPr="00EA71D3">
        <w:rPr>
          <w:lang w:val="fr-FR"/>
        </w:rPr>
        <w:t>d)</w:t>
      </w:r>
      <w:r w:rsidRPr="00EA71D3">
        <w:rPr>
          <w:rFonts w:asciiTheme="majorBidi" w:hAnsiTheme="majorBidi"/>
          <w:lang w:val="fr-FR"/>
        </w:rPr>
        <w:tab/>
        <w:t xml:space="preserve">Les enseignements tirés de la pandémie de la maladie à coronavirus (COVID-19) et d’autres zoonoses émergentes, qui ont mis davantage en lumière l’importance de la relation entre la santé et le bien-être et la biodiversité ; le besoin urgent de préserver, de restaurer et d’utiliser de façon durable la biodiversité ; </w:t>
      </w:r>
      <w:r w:rsidRPr="00EA71D3">
        <w:rPr>
          <w:rFonts w:asciiTheme="majorBidi" w:eastAsiaTheme="minorEastAsia" w:hAnsiTheme="majorBidi" w:cstheme="majorBidi"/>
          <w:lang w:val="fr-FR" w:eastAsia="zh-CN"/>
        </w:rPr>
        <w:t xml:space="preserve">la nécessité de remédier aux inégalités en matière de santé mondiale, notamment en ce qui concerne l’accès équitable aux médicaments, aux vaccins, aux diagnostics et aux équipements médicaux ; et la nécessité de renforcer la collaboration et la coopération mondiales pour assurer une reprise durable et </w:t>
      </w:r>
      <w:r w:rsidRPr="00EA71D3">
        <w:rPr>
          <w:rFonts w:asciiTheme="majorBidi" w:hAnsiTheme="majorBidi"/>
          <w:lang w:val="fr-FR"/>
        </w:rPr>
        <w:t>inclusive, contribuant ainsi à minimiser le risque d’émergence de futures maladies d’origine zoonotique.</w:t>
      </w:r>
    </w:p>
    <w:p w14:paraId="711AB03E" w14:textId="77777777" w:rsidR="009E6D43" w:rsidRPr="00EA71D3" w:rsidRDefault="009E6D43" w:rsidP="009E6D43">
      <w:pPr>
        <w:pStyle w:val="CBD-Para1-Not-numbered"/>
        <w:keepNext/>
        <w:ind w:left="562"/>
        <w:rPr>
          <w:rFonts w:eastAsiaTheme="minorEastAsia"/>
          <w:lang w:val="fr-FR"/>
        </w:rPr>
      </w:pPr>
      <w:r w:rsidRPr="00EA71D3">
        <w:rPr>
          <w:lang w:val="fr-FR"/>
        </w:rPr>
        <w:t>7.</w:t>
      </w:r>
      <w:r w:rsidRPr="00EA71D3">
        <w:rPr>
          <w:lang w:val="fr-FR"/>
        </w:rPr>
        <w:tab/>
        <w:t>Les éléments suivants sont reconnus :</w:t>
      </w:r>
    </w:p>
    <w:p w14:paraId="27E831F6" w14:textId="77777777" w:rsidR="009E6D43" w:rsidRPr="00EA71D3" w:rsidRDefault="009E6D43" w:rsidP="009E6D43">
      <w:pPr>
        <w:tabs>
          <w:tab w:val="left" w:pos="1701"/>
        </w:tabs>
        <w:spacing w:after="120"/>
        <w:ind w:left="567" w:firstLine="567"/>
        <w:rPr>
          <w:rFonts w:asciiTheme="majorBidi" w:eastAsiaTheme="minorEastAsia" w:hAnsiTheme="majorBidi" w:cstheme="majorBidi"/>
          <w:kern w:val="2"/>
          <w:lang w:val="fr-FR"/>
          <w14:ligatures w14:val="standardContextual"/>
        </w:rPr>
      </w:pPr>
      <w:r w:rsidRPr="00EA71D3">
        <w:rPr>
          <w:rFonts w:asciiTheme="majorBidi" w:hAnsiTheme="majorBidi"/>
          <w:lang w:val="fr-FR"/>
        </w:rPr>
        <w:t>a)</w:t>
      </w:r>
      <w:r w:rsidRPr="00EA71D3">
        <w:rPr>
          <w:rFonts w:asciiTheme="majorBidi" w:hAnsiTheme="majorBidi"/>
          <w:lang w:val="fr-FR"/>
        </w:rPr>
        <w:tab/>
        <w:t xml:space="preserve">La perte de biodiversité, la dégradation des écosystèmes et les résultats défavorables sur la santé partagent de nombreux facteurs déterminants communs, y compris les déterminants des changements environnementaux, qui découlent d’une panoplie de causes sous-jacentes et reposent sur les valeurs et comportements sociaux ; </w:t>
      </w:r>
    </w:p>
    <w:p w14:paraId="11D17287" w14:textId="77777777" w:rsidR="009E6D43" w:rsidRPr="00EA71D3" w:rsidRDefault="009E6D43" w:rsidP="009E6D43">
      <w:pPr>
        <w:tabs>
          <w:tab w:val="left" w:pos="1701"/>
        </w:tabs>
        <w:spacing w:after="120"/>
        <w:ind w:left="567" w:firstLine="567"/>
        <w:rPr>
          <w:rFonts w:asciiTheme="majorBidi" w:eastAsiaTheme="minorEastAsia" w:hAnsiTheme="majorBidi" w:cstheme="majorBidi"/>
          <w:kern w:val="2"/>
          <w:lang w:val="fr-FR"/>
          <w14:ligatures w14:val="standardContextual"/>
        </w:rPr>
      </w:pPr>
      <w:r w:rsidRPr="00EA71D3">
        <w:rPr>
          <w:rFonts w:asciiTheme="majorBidi" w:hAnsiTheme="majorBidi"/>
          <w:lang w:val="fr-FR"/>
        </w:rPr>
        <w:t>b)</w:t>
      </w:r>
      <w:r w:rsidRPr="00EA71D3">
        <w:rPr>
          <w:rFonts w:asciiTheme="majorBidi" w:hAnsiTheme="majorBidi"/>
          <w:lang w:val="fr-FR"/>
        </w:rPr>
        <w:tab/>
        <w:t>La biodiversité est un déterminant environnemental clé de la santé humaine</w:t>
      </w:r>
      <w:r w:rsidRPr="00EA71D3">
        <w:rPr>
          <w:rFonts w:asciiTheme="majorBidi" w:eastAsiaTheme="minorEastAsia" w:hAnsiTheme="majorBidi" w:cstheme="majorBidi"/>
          <w:kern w:val="2"/>
          <w:vertAlign w:val="superscript"/>
          <w:lang w:val="fr-FR" w:eastAsia="zh-CN"/>
        </w:rPr>
        <w:footnoteReference w:id="17"/>
      </w:r>
      <w:r w:rsidRPr="00EA71D3">
        <w:rPr>
          <w:rFonts w:asciiTheme="majorBidi" w:hAnsiTheme="majorBidi"/>
          <w:lang w:val="fr-FR"/>
        </w:rPr>
        <w:t xml:space="preserve">, et la conservation, la restauration et l’utilisation durable de la biodiversité peuvent être bénéfiques pour </w:t>
      </w:r>
      <w:r w:rsidRPr="00EA71D3">
        <w:rPr>
          <w:rFonts w:asciiTheme="majorBidi" w:hAnsiTheme="majorBidi"/>
          <w:lang w:val="fr-FR"/>
        </w:rPr>
        <w:lastRenderedPageBreak/>
        <w:t>la santé en préservant les services écosystémiques, ce qui contribue à la satisfaction des besoins psychologiques de rapprochement avec la nature et à la concrétisation de la vision de vivre en harmonie avec la nature d’ici 2050 ;</w:t>
      </w:r>
    </w:p>
    <w:p w14:paraId="2B235573" w14:textId="77777777" w:rsidR="009E6D43" w:rsidRPr="00EA71D3" w:rsidRDefault="009E6D43" w:rsidP="009E6D43">
      <w:pPr>
        <w:tabs>
          <w:tab w:val="left" w:pos="1701"/>
        </w:tabs>
        <w:spacing w:after="120"/>
        <w:ind w:left="567" w:firstLine="567"/>
        <w:rPr>
          <w:rFonts w:asciiTheme="majorBidi" w:hAnsiTheme="majorBidi"/>
          <w:lang w:val="fr-FR"/>
        </w:rPr>
      </w:pPr>
      <w:r w:rsidRPr="00EA71D3">
        <w:rPr>
          <w:rFonts w:asciiTheme="majorBidi" w:hAnsiTheme="majorBidi"/>
          <w:lang w:val="fr-FR"/>
        </w:rPr>
        <w:t>c)</w:t>
      </w:r>
      <w:r w:rsidRPr="00EA71D3">
        <w:rPr>
          <w:rFonts w:asciiTheme="majorBidi" w:hAnsiTheme="majorBidi"/>
          <w:lang w:val="fr-FR"/>
        </w:rPr>
        <w:tab/>
        <w:t>La relation entre la perte de biodiversité, l’émergence et la propagation de maladies transmissibles et non transmissibles et la croissance des inégalités en matière de santé est bien connue, tout comme le rôle de la conservation, de la restauration et de l’utilisation durable de la biodiversité dans la prévention, la réduction et la gestion proactive des risques liés aux maladies transmissibles et non transmissibles ;</w:t>
      </w:r>
    </w:p>
    <w:p w14:paraId="0591DD4B" w14:textId="77777777" w:rsidR="009E6D43" w:rsidRPr="00EA71D3" w:rsidRDefault="009E6D43" w:rsidP="009E6D43">
      <w:pPr>
        <w:tabs>
          <w:tab w:val="left" w:pos="1701"/>
        </w:tabs>
        <w:spacing w:after="120"/>
        <w:ind w:left="567" w:firstLine="567"/>
        <w:rPr>
          <w:rFonts w:asciiTheme="majorBidi" w:eastAsiaTheme="minorEastAsia" w:hAnsiTheme="majorBidi" w:cstheme="majorBidi"/>
          <w:kern w:val="2"/>
          <w:lang w:val="fr-FR"/>
          <w14:ligatures w14:val="standardContextual"/>
        </w:rPr>
      </w:pPr>
      <w:r w:rsidRPr="00EA71D3">
        <w:rPr>
          <w:rFonts w:asciiTheme="majorBidi" w:hAnsiTheme="majorBidi"/>
          <w:lang w:val="fr-FR"/>
        </w:rPr>
        <w:t>[d)</w:t>
      </w:r>
      <w:r w:rsidRPr="00EA71D3">
        <w:rPr>
          <w:rFonts w:asciiTheme="majorBidi" w:hAnsiTheme="majorBidi"/>
          <w:lang w:val="fr-FR"/>
        </w:rPr>
        <w:tab/>
      </w:r>
      <w:r w:rsidRPr="00EA71D3">
        <w:rPr>
          <w:rFonts w:asciiTheme="majorBidi" w:eastAsiaTheme="minorEastAsia" w:hAnsiTheme="majorBidi" w:cstheme="majorBidi"/>
          <w:color w:val="000000" w:themeColor="text1"/>
          <w:lang w:val="fr-FR" w:eastAsia="zh-CN"/>
        </w:rPr>
        <w:t>Plusieurs facteurs liés à l’homme sont très probablement à l’origine des zoonoses, notamment l’augmentation de la demande humaine de protéines animales, l’intensification non durable de l’agriculture, l’utilisation et l’exploitation accrues des espèces sauvages, l’utilisation non durable des ressources naturelles accélérée par l’urbanisation, le changement d’affectation des terres et les industries extractives, l’augmentation des voyages et des transports, les modifications de l’approvisionnement alimentaire et les changement climatiques</w:t>
      </w:r>
      <w:r w:rsidRPr="00EA71D3">
        <w:rPr>
          <w:rStyle w:val="FootnoteReference"/>
          <w:rFonts w:asciiTheme="majorBidi" w:hAnsiTheme="majorBidi" w:cstheme="majorBidi"/>
          <w:color w:val="000000" w:themeColor="text1"/>
          <w:lang w:val="fr-FR" w:eastAsia="zh-CN"/>
        </w:rPr>
        <w:footnoteReference w:id="18"/>
      </w:r>
      <w:r w:rsidRPr="00EA71D3">
        <w:rPr>
          <w:rFonts w:asciiTheme="majorBidi" w:eastAsiaTheme="minorEastAsia" w:hAnsiTheme="majorBidi" w:cstheme="majorBidi"/>
          <w:color w:val="000000" w:themeColor="text1"/>
          <w:lang w:val="fr-FR" w:eastAsia="zh-CN"/>
        </w:rPr>
        <w:t> ;]</w:t>
      </w:r>
    </w:p>
    <w:p w14:paraId="47E348C8" w14:textId="1537DA1D" w:rsidR="009E6D43" w:rsidRPr="00EA71D3" w:rsidRDefault="009E6D43" w:rsidP="009E6D43">
      <w:pPr>
        <w:tabs>
          <w:tab w:val="left" w:pos="1701"/>
        </w:tabs>
        <w:spacing w:after="120"/>
        <w:ind w:left="567" w:firstLine="567"/>
        <w:rPr>
          <w:kern w:val="2"/>
          <w:lang w:val="fr-FR"/>
          <w14:ligatures w14:val="standardContextual"/>
        </w:rPr>
      </w:pPr>
      <w:r w:rsidRPr="00EA71D3">
        <w:rPr>
          <w:lang w:val="fr-FR"/>
        </w:rPr>
        <w:t>e)</w:t>
      </w:r>
      <w:r w:rsidRPr="00EA71D3">
        <w:rPr>
          <w:lang w:val="fr-FR"/>
        </w:rPr>
        <w:tab/>
      </w:r>
      <w:r w:rsidRPr="00EA71D3">
        <w:rPr>
          <w:rFonts w:eastAsiaTheme="minorEastAsia"/>
          <w:kern w:val="2"/>
          <w:lang w:val="fr-FR" w:eastAsia="zh-CN"/>
          <w14:ligatures w14:val="standardContextual"/>
        </w:rPr>
        <w:t>Le développement durable dans ses trois dimensions (sociale, économique et environnementale) et la protection de l’environnement, y compris des écosystèmes, contribuent au bien-être de l’homme et à la pleine jouissance de tous les droits de la personne, y compris le droit à la santé et le droit à un environnement propre, sain et durable</w:t>
      </w:r>
      <w:r w:rsidR="000E6FDA" w:rsidRPr="00EA71D3">
        <w:rPr>
          <w:rStyle w:val="FootnoteReference"/>
          <w:rFonts w:eastAsiaTheme="minorEastAsia"/>
          <w:kern w:val="2"/>
          <w:lang w:val="fr-FR" w:eastAsia="zh-CN"/>
          <w14:ligatures w14:val="standardContextual"/>
        </w:rPr>
        <w:footnoteReference w:id="19"/>
      </w:r>
      <w:r w:rsidRPr="00EA71D3">
        <w:rPr>
          <w:rFonts w:eastAsiaTheme="minorEastAsia"/>
          <w:kern w:val="2"/>
          <w:lang w:val="fr-FR" w:eastAsia="zh-CN"/>
          <w14:ligatures w14:val="standardContextual"/>
        </w:rPr>
        <w:t>, pour les générations actuelles et futures, et les favorisent ;</w:t>
      </w:r>
    </w:p>
    <w:p w14:paraId="756C05E2" w14:textId="6AE4B07D" w:rsidR="009E6D43" w:rsidRPr="00EA71D3" w:rsidRDefault="009E6D43" w:rsidP="009E6D43">
      <w:pPr>
        <w:tabs>
          <w:tab w:val="left" w:pos="1701"/>
        </w:tabs>
        <w:spacing w:after="120"/>
        <w:ind w:left="567" w:firstLine="567"/>
        <w:rPr>
          <w:lang w:val="fr-FR"/>
        </w:rPr>
      </w:pPr>
      <w:r w:rsidRPr="00EA71D3">
        <w:rPr>
          <w:lang w:val="fr-FR"/>
        </w:rPr>
        <w:t>f)</w:t>
      </w:r>
      <w:r w:rsidRPr="00EA71D3">
        <w:rPr>
          <w:lang w:val="fr-FR"/>
        </w:rPr>
        <w:tab/>
        <w:t xml:space="preserve">Il est essentiel d’assurer </w:t>
      </w:r>
      <w:r w:rsidRPr="00EA71D3">
        <w:rPr>
          <w:lang w:val="fr-FR" w:eastAsia="zh-CN"/>
        </w:rPr>
        <w:t xml:space="preserve">le partage juste et équitable des avantages découlant de l’utilisation des ressources génétiques et de </w:t>
      </w:r>
      <w:r w:rsidR="000E6FDA" w:rsidRPr="00EA71D3">
        <w:rPr>
          <w:lang w:val="fr-FR" w:eastAsia="zh-CN"/>
        </w:rPr>
        <w:t>l’</w:t>
      </w:r>
      <w:r w:rsidRPr="00EA71D3">
        <w:rPr>
          <w:lang w:val="fr-FR" w:eastAsia="zh-CN"/>
        </w:rPr>
        <w:t xml:space="preserve">information </w:t>
      </w:r>
      <w:r w:rsidR="000E6FDA" w:rsidRPr="00EA71D3">
        <w:rPr>
          <w:lang w:val="fr-FR" w:eastAsia="zh-CN"/>
        </w:rPr>
        <w:t>de</w:t>
      </w:r>
      <w:r w:rsidRPr="00EA71D3">
        <w:rPr>
          <w:lang w:val="fr-FR" w:eastAsia="zh-CN"/>
        </w:rPr>
        <w:t xml:space="preserve"> </w:t>
      </w:r>
      <w:r w:rsidR="000E6FDA" w:rsidRPr="00EA71D3">
        <w:rPr>
          <w:lang w:val="fr-FR" w:eastAsia="zh-CN"/>
        </w:rPr>
        <w:t>séquençage</w:t>
      </w:r>
      <w:r w:rsidRPr="00EA71D3">
        <w:rPr>
          <w:lang w:val="fr-FR" w:eastAsia="zh-CN"/>
        </w:rPr>
        <w:t xml:space="preserve"> numérique </w:t>
      </w:r>
      <w:r w:rsidR="000E6FDA" w:rsidRPr="00EA71D3">
        <w:rPr>
          <w:lang w:val="fr-FR" w:eastAsia="zh-CN"/>
        </w:rPr>
        <w:t>sur</w:t>
      </w:r>
      <w:r w:rsidRPr="00EA71D3">
        <w:rPr>
          <w:lang w:val="fr-FR" w:eastAsia="zh-CN"/>
        </w:rPr>
        <w:t xml:space="preserve"> </w:t>
      </w:r>
      <w:r w:rsidR="000E6FDA" w:rsidRPr="00EA71D3">
        <w:rPr>
          <w:lang w:val="fr-FR" w:eastAsia="zh-CN"/>
        </w:rPr>
        <w:t>les</w:t>
      </w:r>
      <w:r w:rsidRPr="00EA71D3">
        <w:rPr>
          <w:lang w:val="fr-FR" w:eastAsia="zh-CN"/>
        </w:rPr>
        <w:t xml:space="preserve"> ressources génétiques et aux connaissances traditionnelles sur les ressources génétiques, y compris pour les Parties qui fournissent des ressources génétiques pour la recherche et le développement dans le domaine de la santé, pour rendre les systèmes de santé plus équitables </w:t>
      </w:r>
      <w:r w:rsidRPr="00EA71D3">
        <w:rPr>
          <w:lang w:val="fr-FR"/>
        </w:rPr>
        <w:t>;</w:t>
      </w:r>
    </w:p>
    <w:p w14:paraId="4C2A9827" w14:textId="77777777" w:rsidR="009E6D43" w:rsidRPr="00EA71D3" w:rsidRDefault="009E6D43" w:rsidP="009E6D43">
      <w:pPr>
        <w:tabs>
          <w:tab w:val="left" w:pos="1701"/>
        </w:tabs>
        <w:spacing w:after="120"/>
        <w:ind w:left="567" w:firstLine="567"/>
        <w:rPr>
          <w:rFonts w:eastAsiaTheme="minorEastAsia"/>
          <w:kern w:val="2"/>
          <w:lang w:val="fr-FR"/>
          <w14:ligatures w14:val="standardContextual"/>
        </w:rPr>
      </w:pPr>
      <w:r w:rsidRPr="00EA71D3">
        <w:rPr>
          <w:lang w:val="fr-FR"/>
        </w:rPr>
        <w:t>g)</w:t>
      </w:r>
      <w:r w:rsidRPr="00EA71D3">
        <w:rPr>
          <w:lang w:val="fr-FR"/>
        </w:rPr>
        <w:tab/>
        <w:t>Dans le contexte où on cherche à garantir des vies saines et promouvoir le bien-être pour tous, à tout âge (objectif de développement durable n</w:t>
      </w:r>
      <w:r w:rsidRPr="00EA71D3">
        <w:rPr>
          <w:vertAlign w:val="superscript"/>
          <w:lang w:val="fr-FR"/>
        </w:rPr>
        <w:t>o</w:t>
      </w:r>
      <w:r w:rsidRPr="00EA71D3">
        <w:rPr>
          <w:lang w:val="fr-FR"/>
        </w:rPr>
        <w:t xml:space="preserve"> 3), les enfants, les jeunes, les personnes âgées et les personnes aux prises </w:t>
      </w:r>
      <w:r w:rsidRPr="00EA71D3">
        <w:rPr>
          <w:rFonts w:eastAsiaTheme="minorEastAsia"/>
          <w:kern w:val="2"/>
          <w:lang w:val="fr-FR" w:eastAsia="zh-CN"/>
          <w14:ligatures w14:val="standardContextual"/>
        </w:rPr>
        <w:t xml:space="preserve">avec des problèmes de santé préexistants </w:t>
      </w:r>
      <w:r w:rsidRPr="00EA71D3">
        <w:rPr>
          <w:lang w:val="fr-FR"/>
        </w:rPr>
        <w:t>sont plus vulnérables physiquement, mentalement et émotionnellement à la dégradation de l’environnement et aux changements environnementaux ;</w:t>
      </w:r>
      <w:bookmarkEnd w:id="2"/>
    </w:p>
    <w:p w14:paraId="191BDD1F" w14:textId="77777777" w:rsidR="009E6D43" w:rsidRPr="00EA71D3" w:rsidRDefault="009E6D43" w:rsidP="009E6D43">
      <w:pPr>
        <w:tabs>
          <w:tab w:val="left" w:pos="1701"/>
        </w:tabs>
        <w:spacing w:after="120"/>
        <w:ind w:left="567" w:firstLine="567"/>
        <w:rPr>
          <w:rFonts w:asciiTheme="majorBidi" w:eastAsiaTheme="minorEastAsia" w:hAnsiTheme="majorBidi" w:cstheme="majorBidi"/>
          <w:color w:val="000000" w:themeColor="text1"/>
          <w:lang w:val="fr-FR" w:eastAsia="zh-CN"/>
        </w:rPr>
      </w:pPr>
      <w:r w:rsidRPr="00EA71D3">
        <w:rPr>
          <w:lang w:val="fr-FR"/>
        </w:rPr>
        <w:t>h)</w:t>
      </w:r>
      <w:r w:rsidRPr="00EA71D3">
        <w:rPr>
          <w:lang w:val="fr-FR"/>
        </w:rPr>
        <w:tab/>
      </w:r>
      <w:r w:rsidRPr="00EA71D3">
        <w:rPr>
          <w:rFonts w:asciiTheme="majorBidi" w:eastAsiaTheme="minorEastAsia" w:hAnsiTheme="majorBidi" w:cstheme="majorBidi"/>
          <w:color w:val="000000" w:themeColor="text1"/>
          <w:lang w:val="fr-FR" w:eastAsia="zh-CN"/>
        </w:rPr>
        <w:t xml:space="preserve">La perte de biodiversité et les facteurs qui y contribuent directement constituent une menace pour la santé des animaux et des personnes et la préservation des végétaux ; </w:t>
      </w:r>
    </w:p>
    <w:p w14:paraId="5CFEB6A4" w14:textId="2E719B69" w:rsidR="009E6D43" w:rsidRPr="00EA71D3" w:rsidRDefault="009E6D43" w:rsidP="009E6D43">
      <w:pPr>
        <w:tabs>
          <w:tab w:val="left" w:pos="1701"/>
        </w:tabs>
        <w:spacing w:after="120"/>
        <w:ind w:left="567" w:firstLine="567"/>
        <w:rPr>
          <w:rFonts w:eastAsiaTheme="minorEastAsia"/>
          <w:kern w:val="2"/>
          <w:lang w:val="fr-FR"/>
          <w14:ligatures w14:val="standardContextual"/>
        </w:rPr>
      </w:pPr>
      <w:r w:rsidRPr="00EA71D3">
        <w:rPr>
          <w:lang w:val="fr-FR"/>
        </w:rPr>
        <w:t>i)</w:t>
      </w:r>
      <w:r w:rsidRPr="00EA71D3">
        <w:rPr>
          <w:lang w:val="fr-FR"/>
        </w:rPr>
        <w:tab/>
        <w:t>La dégradation de l’environnement et la perte de biodiversité contribuent aux iniquités en matière de santé, en particulier pour les</w:t>
      </w:r>
      <w:r w:rsidRPr="00EA71D3">
        <w:rPr>
          <w:kern w:val="2"/>
          <w:lang w:val="fr-FR" w:eastAsia="zh-CN"/>
          <w14:ligatures w14:val="standardContextual"/>
        </w:rPr>
        <w:t xml:space="preserve"> personnes en situation de vulnérabilité, notamment les femmes, les enfants, les jeunes, les personnes âgées et les personnes handicapées</w:t>
      </w:r>
      <w:r w:rsidRPr="00EA71D3">
        <w:rPr>
          <w:lang w:val="fr-FR"/>
        </w:rPr>
        <w:t>, et ont des répercussions défavorables graves sur la santé des peuples autochtones et des communautés locales et sur leur relation unique d’interdépendance avec les écosystèmes locaux, y compris leur santé physique, mentale, émotionnelle et spirituelle</w:t>
      </w:r>
      <w:r w:rsidR="0011499D" w:rsidRPr="00EA71D3">
        <w:rPr>
          <w:lang w:val="fr-FR"/>
        </w:rPr>
        <w:t xml:space="preserve"> ;</w:t>
      </w:r>
      <w:r w:rsidRPr="00EA71D3">
        <w:rPr>
          <w:lang w:val="fr-FR"/>
        </w:rPr>
        <w:t xml:space="preserve"> sur leurs moyens d’existence</w:t>
      </w:r>
      <w:r w:rsidR="0011499D" w:rsidRPr="00EA71D3">
        <w:rPr>
          <w:lang w:val="fr-FR"/>
        </w:rPr>
        <w:t xml:space="preserve"> ;</w:t>
      </w:r>
      <w:r w:rsidRPr="00EA71D3">
        <w:rPr>
          <w:lang w:val="fr-FR"/>
        </w:rPr>
        <w:t xml:space="preserve"> sur leurs modes alimentaires</w:t>
      </w:r>
      <w:r w:rsidR="0011499D" w:rsidRPr="00EA71D3">
        <w:rPr>
          <w:lang w:val="fr-FR"/>
        </w:rPr>
        <w:t xml:space="preserve"> ;</w:t>
      </w:r>
      <w:r w:rsidRPr="00EA71D3">
        <w:rPr>
          <w:lang w:val="fr-FR"/>
        </w:rPr>
        <w:t xml:space="preserve"> et sur </w:t>
      </w:r>
      <w:r w:rsidRPr="00EA71D3">
        <w:rPr>
          <w:kern w:val="2"/>
          <w:lang w:val="fr-FR" w:eastAsia="zh-CN"/>
          <w14:ligatures w14:val="standardContextual"/>
        </w:rPr>
        <w:t>leurs systèmes de médecine traditionnelle </w:t>
      </w:r>
      <w:r w:rsidRPr="00EA71D3">
        <w:rPr>
          <w:lang w:val="fr-FR"/>
        </w:rPr>
        <w:t>;</w:t>
      </w:r>
    </w:p>
    <w:p w14:paraId="32B19D40" w14:textId="2EAB8134" w:rsidR="009E6D43" w:rsidRPr="00EA71D3" w:rsidRDefault="009E6D43" w:rsidP="009E6D43">
      <w:pPr>
        <w:tabs>
          <w:tab w:val="left" w:pos="1701"/>
        </w:tabs>
        <w:spacing w:after="120"/>
        <w:ind w:left="567" w:firstLine="567"/>
        <w:rPr>
          <w:rFonts w:eastAsiaTheme="minorEastAsia"/>
          <w:b/>
          <w:bCs/>
          <w:kern w:val="2"/>
          <w:sz w:val="24"/>
          <w:lang w:val="fr-FR"/>
          <w14:ligatures w14:val="standardContextual"/>
        </w:rPr>
      </w:pPr>
      <w:r w:rsidRPr="00EA71D3">
        <w:rPr>
          <w:lang w:val="fr-FR"/>
        </w:rPr>
        <w:t>j)</w:t>
      </w:r>
      <w:r w:rsidRPr="00EA71D3">
        <w:rPr>
          <w:lang w:val="fr-FR"/>
        </w:rPr>
        <w:tab/>
        <w:t xml:space="preserve">Une coordination plus efficace et plus intégrée des politiques en matière de biodiversité et de santé, notamment grâce à l’amélioration des communications, du dialogue et de la collaboration entre les ministères gouvernementaux et tous les gouvernements et secteurs est nécessaire. Cet aspect comprend la nécessité de renforcer la dimension environnementale de l’approche « Une seule santé » </w:t>
      </w:r>
      <w:r w:rsidRPr="00EA71D3">
        <w:rPr>
          <w:rFonts w:eastAsiaTheme="minorEastAsia"/>
          <w:kern w:val="2"/>
          <w:lang w:val="fr-FR" w:eastAsia="zh-CN"/>
          <w14:ligatures w14:val="standardContextual"/>
        </w:rPr>
        <w:t xml:space="preserve">ou d’autres approches globales, tout en reconnaissant la nécessité de renforcer la coopération internationale en vue de résoudre les problèmes particuliers rencontrés par les pays en développement dans la mise en œuvre </w:t>
      </w:r>
      <w:r w:rsidRPr="00EA71D3">
        <w:rPr>
          <w:lang w:val="fr-FR"/>
        </w:rPr>
        <w:t xml:space="preserve">de l’approche « Une seule santé » </w:t>
      </w:r>
      <w:r w:rsidRPr="00EA71D3">
        <w:rPr>
          <w:rFonts w:eastAsiaTheme="minorEastAsia"/>
          <w:kern w:val="2"/>
          <w:lang w:val="fr-FR" w:eastAsia="zh-CN"/>
          <w14:ligatures w14:val="standardContextual"/>
        </w:rPr>
        <w:t xml:space="preserve">ou d’autres approches globales, notamment </w:t>
      </w:r>
      <w:r w:rsidRPr="00EA71D3">
        <w:rPr>
          <w:rFonts w:eastAsiaTheme="minorEastAsia"/>
          <w:kern w:val="2"/>
          <w:lang w:val="fr-FR" w:eastAsia="zh-CN"/>
          <w14:ligatures w14:val="standardContextual"/>
        </w:rPr>
        <w:lastRenderedPageBreak/>
        <w:t xml:space="preserve">par le renforcement des capacités de surveillance sanitaire et </w:t>
      </w:r>
      <w:r w:rsidR="003211F2" w:rsidRPr="00EA71D3">
        <w:rPr>
          <w:rFonts w:eastAsiaTheme="minorEastAsia"/>
          <w:kern w:val="2"/>
          <w:lang w:val="fr-FR" w:eastAsia="zh-CN"/>
          <w14:ligatures w14:val="standardContextual"/>
        </w:rPr>
        <w:t xml:space="preserve">des mesures </w:t>
      </w:r>
      <w:r w:rsidRPr="00EA71D3">
        <w:rPr>
          <w:rFonts w:eastAsiaTheme="minorEastAsia"/>
          <w:kern w:val="2"/>
          <w:lang w:val="fr-FR" w:eastAsia="zh-CN"/>
          <w14:ligatures w14:val="standardContextual"/>
        </w:rPr>
        <w:t>favorisant des interventions équitables, en fonction des circonstances et des priorités nationales</w:t>
      </w:r>
      <w:r w:rsidRPr="00EA71D3">
        <w:rPr>
          <w:lang w:val="fr-FR"/>
        </w:rPr>
        <w:t>.</w:t>
      </w:r>
    </w:p>
    <w:p w14:paraId="62EA7AC3" w14:textId="77777777" w:rsidR="009E6D43" w:rsidRPr="00EA71D3" w:rsidRDefault="009E6D43" w:rsidP="009E6D43">
      <w:pPr>
        <w:keepNext/>
        <w:spacing w:before="120" w:after="120"/>
        <w:ind w:left="561" w:hanging="561"/>
        <w:jc w:val="left"/>
        <w:outlineLvl w:val="0"/>
        <w:rPr>
          <w:rFonts w:eastAsiaTheme="minorEastAsia"/>
          <w:b/>
          <w:bCs/>
          <w:kern w:val="2"/>
          <w:sz w:val="24"/>
          <w:lang w:val="fr-FR"/>
          <w14:ligatures w14:val="standardContextual"/>
        </w:rPr>
      </w:pPr>
      <w:r w:rsidRPr="00EA71D3">
        <w:rPr>
          <w:b/>
          <w:bCs/>
          <w:sz w:val="28"/>
          <w:szCs w:val="28"/>
          <w:lang w:val="fr-FR"/>
        </w:rPr>
        <w:t>II.</w:t>
      </w:r>
      <w:r w:rsidRPr="00EA71D3">
        <w:rPr>
          <w:b/>
          <w:bCs/>
          <w:sz w:val="28"/>
          <w:szCs w:val="28"/>
          <w:lang w:val="fr-FR"/>
        </w:rPr>
        <w:tab/>
        <w:t>Considérations et outils permettant de soutenir la mise en œuvre du Plan d’action mondial sur la biodiversité et la santé</w:t>
      </w:r>
    </w:p>
    <w:p w14:paraId="587474DD" w14:textId="77777777" w:rsidR="009E6D43" w:rsidRPr="00EA71D3" w:rsidDel="00D263DD" w:rsidRDefault="009E6D43" w:rsidP="009E6D43">
      <w:pPr>
        <w:pStyle w:val="CBD-Para1-Not-numbered"/>
        <w:rPr>
          <w:lang w:val="fr-FR"/>
        </w:rPr>
      </w:pPr>
      <w:r w:rsidRPr="00EA71D3">
        <w:rPr>
          <w:lang w:val="fr-FR"/>
        </w:rPr>
        <w:t>8.</w:t>
      </w:r>
      <w:r w:rsidRPr="00EA71D3">
        <w:rPr>
          <w:lang w:val="fr-FR"/>
        </w:rPr>
        <w:tab/>
        <w:t xml:space="preserve">Compte tenu de la nature transversale des interrelations entre la biodiversité et la santé, la mise en œuvre du Plan d’action mondial devrait être réalisée en prenant en considération les circonstances nationales et dans le respect des obligations et des accords internationaux. </w:t>
      </w:r>
    </w:p>
    <w:p w14:paraId="06B41CF4" w14:textId="77777777" w:rsidR="009E6D43" w:rsidRPr="00EA71D3" w:rsidRDefault="009E6D43" w:rsidP="009E6D43">
      <w:pPr>
        <w:pStyle w:val="CBD-Para1-Not-numbered"/>
        <w:rPr>
          <w:lang w:val="fr-FR"/>
        </w:rPr>
      </w:pPr>
      <w:r w:rsidRPr="00EA71D3">
        <w:rPr>
          <w:lang w:val="fr-FR"/>
        </w:rPr>
        <w:t>9.</w:t>
      </w:r>
      <w:r w:rsidRPr="00EA71D3">
        <w:rPr>
          <w:lang w:val="fr-FR"/>
        </w:rPr>
        <w:tab/>
        <w:t>Le Plan d’action mondial incarne le jugement selon lequel la santé de l’environnement et celle de toutes les espèces sont interreliées et interdépendantes, et qu’une démarche pangouvernementale et de l’ensemble de la société est nécessaire pour intégrer ce jugement dans les politiques, stratégies, programmes et comptes nationaux. Le concept d’interrelations entre la biodiversité et la santé doit prendre en considération les niveaux systémiques individuels et collectifs parmi et entre les divers espèces et écosystèmes, et les multiples dimensions de la santé et du bien-être. Les éléments du Plan doivent viser à permettre une gouvernance accrue de l’environnement, des animaux, des plantes et des autres taxa et à réaliser la vision de vivre en harmonie avec la nature d’ici 2050.</w:t>
      </w:r>
    </w:p>
    <w:p w14:paraId="46C767E0" w14:textId="0F4FD7AA" w:rsidR="009E6D43" w:rsidRPr="00EA71D3" w:rsidRDefault="009E6D43" w:rsidP="009E6D43">
      <w:pPr>
        <w:pStyle w:val="CBD-Para1-Not-numbered"/>
        <w:rPr>
          <w:lang w:val="fr-FR"/>
        </w:rPr>
      </w:pPr>
      <w:r w:rsidRPr="00EA71D3">
        <w:rPr>
          <w:lang w:val="fr-FR"/>
        </w:rPr>
        <w:t>10.</w:t>
      </w:r>
      <w:r w:rsidRPr="00EA71D3">
        <w:rPr>
          <w:lang w:val="fr-FR"/>
        </w:rPr>
        <w:tab/>
        <w:t>La mise en œuvre du Plan d’action mondial peut en outre être appuyée par une compilation de ressources, y compris une liste des outils et ressources qui peuvent faciliter sa mise en œuvre</w:t>
      </w:r>
      <w:r w:rsidR="000E6FDA" w:rsidRPr="00EA71D3">
        <w:rPr>
          <w:rStyle w:val="FootnoteReference"/>
          <w:lang w:val="fr-FR"/>
        </w:rPr>
        <w:footnoteReference w:id="20"/>
      </w:r>
      <w:r w:rsidR="000E6FDA" w:rsidRPr="00EA71D3">
        <w:rPr>
          <w:lang w:val="fr-FR"/>
        </w:rPr>
        <w:t>.</w:t>
      </w:r>
    </w:p>
    <w:p w14:paraId="6AE8CECB" w14:textId="77777777" w:rsidR="009E6D43" w:rsidRPr="00EA71D3" w:rsidRDefault="009E6D43" w:rsidP="009E6D43">
      <w:pPr>
        <w:tabs>
          <w:tab w:val="left" w:pos="1134"/>
        </w:tabs>
        <w:spacing w:before="120" w:after="120"/>
        <w:ind w:left="567" w:hanging="567"/>
        <w:jc w:val="left"/>
        <w:rPr>
          <w:rFonts w:eastAsiaTheme="minorEastAsia"/>
          <w:b/>
          <w:bCs/>
          <w:kern w:val="2"/>
          <w:sz w:val="28"/>
          <w:szCs w:val="28"/>
          <w:lang w:val="fr-FR"/>
          <w14:ligatures w14:val="standardContextual"/>
        </w:rPr>
      </w:pPr>
      <w:r w:rsidRPr="00EA71D3">
        <w:rPr>
          <w:b/>
          <w:bCs/>
          <w:sz w:val="28"/>
          <w:szCs w:val="28"/>
          <w:lang w:val="fr-FR"/>
        </w:rPr>
        <w:t>III.</w:t>
      </w:r>
      <w:r w:rsidRPr="00EA71D3">
        <w:rPr>
          <w:b/>
          <w:bCs/>
          <w:sz w:val="28"/>
          <w:szCs w:val="28"/>
          <w:lang w:val="fr-FR"/>
        </w:rPr>
        <w:tab/>
        <w:t>Mesures visant à intégrer les interrelations entre la biodiversité et la santé dans les politiques, stratégies, programmes et comptes nationaux</w:t>
      </w:r>
    </w:p>
    <w:p w14:paraId="00523A76" w14:textId="77777777" w:rsidR="009E6D43" w:rsidRPr="00EA71D3" w:rsidRDefault="009E6D43" w:rsidP="009E6D43">
      <w:pPr>
        <w:pStyle w:val="CBD-Para1-Not-numbered"/>
        <w:rPr>
          <w:b/>
          <w:bCs/>
          <w:lang w:val="fr-FR"/>
        </w:rPr>
      </w:pPr>
      <w:r w:rsidRPr="00EA71D3">
        <w:rPr>
          <w:lang w:val="fr-FR"/>
        </w:rPr>
        <w:t>11.</w:t>
      </w:r>
      <w:r w:rsidRPr="00EA71D3">
        <w:rPr>
          <w:lang w:val="fr-FR"/>
        </w:rPr>
        <w:tab/>
        <w:t xml:space="preserve">Les mesures volontaires présentées ci-dessous peuvent être prises par les gouvernements, au niveau approprié, en tenant compte des circonstances nationales et dans le respect des obligations internationales pertinentes et, lorsque pertinent, par d’autres acteurs, afin d’intégrer les interrelations entre la biodiversité et la santé, en vue de produire des avantages pour la santé et l’environnement. Les mesures générales proposées (section A) peuvent être complétées de mesures visant à intégrer les interrelations entre la biodiversité et la santé dans la mise en œuvre du Cadre (section B). </w:t>
      </w:r>
    </w:p>
    <w:p w14:paraId="6D9965F4" w14:textId="77777777" w:rsidR="009E6D43" w:rsidRPr="00EA71D3" w:rsidRDefault="009E6D43" w:rsidP="009E6D43">
      <w:pPr>
        <w:tabs>
          <w:tab w:val="left" w:pos="567"/>
        </w:tabs>
        <w:spacing w:before="120" w:after="120"/>
        <w:outlineLvl w:val="1"/>
        <w:rPr>
          <w:b/>
          <w:bCs/>
          <w:snapToGrid w:val="0"/>
          <w:sz w:val="24"/>
          <w:szCs w:val="24"/>
          <w:lang w:val="fr-FR"/>
        </w:rPr>
      </w:pPr>
      <w:r w:rsidRPr="00EA71D3">
        <w:rPr>
          <w:b/>
          <w:bCs/>
          <w:snapToGrid w:val="0"/>
          <w:sz w:val="24"/>
          <w:szCs w:val="24"/>
          <w:lang w:val="fr-FR"/>
        </w:rPr>
        <w:t>A.</w:t>
      </w:r>
      <w:r w:rsidRPr="00EA71D3">
        <w:rPr>
          <w:b/>
          <w:bCs/>
          <w:snapToGrid w:val="0"/>
          <w:sz w:val="24"/>
          <w:szCs w:val="24"/>
          <w:lang w:val="fr-FR"/>
        </w:rPr>
        <w:tab/>
        <w:t>Mesures générales</w:t>
      </w:r>
    </w:p>
    <w:p w14:paraId="30E93E79" w14:textId="77777777" w:rsidR="009E6D43" w:rsidRPr="00EA71D3" w:rsidRDefault="009E6D43" w:rsidP="009E6D43">
      <w:pPr>
        <w:pStyle w:val="CBD-Para1-Not-numbered"/>
        <w:rPr>
          <w:lang w:val="fr-FR"/>
        </w:rPr>
      </w:pPr>
      <w:r w:rsidRPr="00EA71D3">
        <w:rPr>
          <w:lang w:val="fr-FR"/>
        </w:rPr>
        <w:t>12.</w:t>
      </w:r>
      <w:r w:rsidRPr="00EA71D3">
        <w:rPr>
          <w:lang w:val="fr-FR"/>
        </w:rPr>
        <w:tab/>
        <w:t>Les mesures générales proposées comprennent ce qui suit :</w:t>
      </w:r>
    </w:p>
    <w:p w14:paraId="7F0E8158" w14:textId="77777777" w:rsidR="009E6D43" w:rsidRPr="00EA71D3" w:rsidRDefault="009E6D43" w:rsidP="009E6D43">
      <w:pPr>
        <w:tabs>
          <w:tab w:val="left" w:pos="1701"/>
        </w:tabs>
        <w:spacing w:after="120"/>
        <w:ind w:left="567" w:firstLine="567"/>
        <w:rPr>
          <w:rFonts w:asciiTheme="majorBidi" w:eastAsiaTheme="minorEastAsia" w:hAnsiTheme="majorBidi" w:cstheme="majorBidi"/>
          <w:kern w:val="2"/>
          <w:lang w:val="fr-FR"/>
          <w14:ligatures w14:val="standardContextual"/>
        </w:rPr>
      </w:pPr>
      <w:r w:rsidRPr="00EA71D3">
        <w:rPr>
          <w:rFonts w:asciiTheme="majorBidi" w:hAnsiTheme="majorBidi"/>
          <w:lang w:val="fr-FR"/>
        </w:rPr>
        <w:t>a)</w:t>
      </w:r>
      <w:r w:rsidRPr="00EA71D3">
        <w:rPr>
          <w:rFonts w:asciiTheme="majorBidi" w:hAnsiTheme="majorBidi"/>
          <w:lang w:val="fr-FR"/>
        </w:rPr>
        <w:tab/>
        <w:t>Évaluer les interrelations entre la biodiversité et la santé, y compris les contributions de la nature envers les personnes qui sont liées à la santé, les déterminants environnementaux de la santé et la charge de morbidité environnementale</w:t>
      </w:r>
      <w:r w:rsidRPr="00EA71D3">
        <w:rPr>
          <w:rFonts w:asciiTheme="majorBidi" w:eastAsiaTheme="minorEastAsia" w:hAnsiTheme="majorBidi" w:cstheme="majorBidi"/>
          <w:kern w:val="2"/>
          <w:vertAlign w:val="superscript"/>
          <w:lang w:val="fr-FR" w:eastAsia="zh-CN"/>
        </w:rPr>
        <w:footnoteReference w:id="21"/>
      </w:r>
      <w:r w:rsidRPr="00EA71D3">
        <w:rPr>
          <w:rFonts w:asciiTheme="majorBidi" w:hAnsiTheme="majorBidi"/>
          <w:lang w:val="fr-FR"/>
        </w:rPr>
        <w:t xml:space="preserve"> à l’échelle nationale, en tenant compte de la diversité bioculturelle</w:t>
      </w:r>
      <w:r w:rsidRPr="00EA71D3">
        <w:rPr>
          <w:rFonts w:eastAsiaTheme="minorEastAsia"/>
          <w:kern w:val="2"/>
          <w:vertAlign w:val="superscript"/>
          <w:lang w:val="fr-FR" w:eastAsia="zh-CN"/>
        </w:rPr>
        <w:footnoteReference w:id="22"/>
      </w:r>
      <w:r w:rsidRPr="00EA71D3">
        <w:rPr>
          <w:rFonts w:asciiTheme="majorBidi" w:hAnsiTheme="majorBidi"/>
          <w:lang w:val="fr-FR"/>
        </w:rPr>
        <w:t xml:space="preserve">, </w:t>
      </w:r>
      <w:r w:rsidRPr="00EA71D3">
        <w:rPr>
          <w:rFonts w:asciiTheme="majorBidi" w:hAnsiTheme="majorBidi"/>
          <w:color w:val="000000" w:themeColor="text1"/>
          <w:lang w:val="fr-FR"/>
        </w:rPr>
        <w:t xml:space="preserve">des divers systèmes de valeurs et d’une compréhension approfondie de la santé et du bien-être, y compris la </w:t>
      </w:r>
      <w:r w:rsidRPr="00EA71D3">
        <w:rPr>
          <w:rFonts w:asciiTheme="majorBidi" w:eastAsiaTheme="minorEastAsia" w:hAnsiTheme="majorBidi" w:cstheme="majorBidi"/>
          <w:color w:val="000000" w:themeColor="text1"/>
          <w:kern w:val="2"/>
          <w:lang w:val="fr-FR" w:eastAsia="zh-CN"/>
          <w14:ligatures w14:val="standardContextual"/>
        </w:rPr>
        <w:t>santé physique, sexuelle, reproductive et mentale ;</w:t>
      </w:r>
      <w:r w:rsidRPr="00EA71D3">
        <w:rPr>
          <w:rFonts w:asciiTheme="majorBidi" w:hAnsiTheme="majorBidi"/>
          <w:color w:val="000000" w:themeColor="text1"/>
          <w:lang w:val="fr-FR"/>
        </w:rPr>
        <w:t xml:space="preserve"> le développement cognitif ; l’apprentissage ; les identités de soutien</w:t>
      </w:r>
      <w:r w:rsidRPr="00EA71D3">
        <w:rPr>
          <w:rFonts w:asciiTheme="majorBidi" w:eastAsiaTheme="minorEastAsia" w:hAnsiTheme="majorBidi" w:cstheme="majorBidi"/>
          <w:color w:val="000000" w:themeColor="text1"/>
          <w:kern w:val="2"/>
          <w:vertAlign w:val="superscript"/>
          <w:lang w:val="fr-FR" w:eastAsia="zh-CN"/>
        </w:rPr>
        <w:footnoteReference w:id="23"/>
      </w:r>
      <w:r w:rsidRPr="00EA71D3">
        <w:rPr>
          <w:rFonts w:asciiTheme="majorBidi" w:hAnsiTheme="majorBidi"/>
          <w:color w:val="000000" w:themeColor="text1"/>
          <w:lang w:val="fr-FR"/>
        </w:rPr>
        <w:t xml:space="preserve"> </w:t>
      </w:r>
      <w:r w:rsidRPr="00EA71D3">
        <w:rPr>
          <w:rFonts w:asciiTheme="majorBidi" w:hAnsiTheme="majorBidi"/>
          <w:lang w:val="fr-FR"/>
        </w:rPr>
        <w:t>et les déterminants sociaux de la santé ;</w:t>
      </w:r>
    </w:p>
    <w:p w14:paraId="6A85018E" w14:textId="77777777" w:rsidR="009E6D43" w:rsidRPr="00EA71D3" w:rsidRDefault="009E6D43" w:rsidP="009E6D43">
      <w:pPr>
        <w:tabs>
          <w:tab w:val="left" w:pos="1701"/>
        </w:tabs>
        <w:spacing w:after="120"/>
        <w:ind w:left="567" w:firstLine="567"/>
        <w:rPr>
          <w:rFonts w:asciiTheme="minorHAnsi" w:eastAsiaTheme="minorEastAsia" w:hAnsiTheme="minorHAnsi" w:cstheme="minorBidi"/>
          <w:kern w:val="2"/>
          <w:lang w:val="fr-FR"/>
          <w14:ligatures w14:val="standardContextual"/>
        </w:rPr>
      </w:pPr>
      <w:r w:rsidRPr="00EA71D3">
        <w:rPr>
          <w:rFonts w:asciiTheme="majorBidi" w:hAnsiTheme="majorBidi"/>
          <w:color w:val="000000" w:themeColor="text1"/>
          <w:lang w:val="fr-FR"/>
        </w:rPr>
        <w:t>b)</w:t>
      </w:r>
      <w:r w:rsidRPr="00EA71D3">
        <w:rPr>
          <w:rFonts w:asciiTheme="majorBidi" w:hAnsiTheme="majorBidi"/>
          <w:color w:val="000000" w:themeColor="text1"/>
          <w:lang w:val="fr-FR"/>
        </w:rPr>
        <w:tab/>
        <w:t xml:space="preserve">Encourager et favoriser les dialogues nationaux et les plateformes et événements de partage des connaissances afin de renforcer les capacités dans tous les secteurs et de tous les acteurs en matière d’interrelations entre la biodiversité et la santé, dans le but de mettre sur pied des centres </w:t>
      </w:r>
      <w:r w:rsidRPr="00EA71D3">
        <w:rPr>
          <w:rFonts w:asciiTheme="majorBidi" w:hAnsiTheme="majorBidi"/>
          <w:color w:val="000000" w:themeColor="text1"/>
          <w:lang w:val="fr-FR"/>
        </w:rPr>
        <w:lastRenderedPageBreak/>
        <w:t xml:space="preserve">d’expertise, en soulignant le rôle positif de la biodiversité dans tous les aspects de la santé et du bien-être ; </w:t>
      </w:r>
    </w:p>
    <w:p w14:paraId="0B9996B5" w14:textId="4C54E53A" w:rsidR="009E6D43" w:rsidRPr="00EA71D3" w:rsidRDefault="009E6D43" w:rsidP="009E6D43">
      <w:pPr>
        <w:tabs>
          <w:tab w:val="left" w:pos="1701"/>
        </w:tabs>
        <w:spacing w:after="120"/>
        <w:ind w:left="567" w:firstLine="567"/>
        <w:rPr>
          <w:rFonts w:asciiTheme="minorHAnsi" w:eastAsiaTheme="minorEastAsia" w:hAnsiTheme="minorHAnsi" w:cstheme="minorBidi"/>
          <w:kern w:val="2"/>
          <w:lang w:val="fr-FR"/>
          <w14:ligatures w14:val="standardContextual"/>
        </w:rPr>
      </w:pPr>
      <w:r w:rsidRPr="00EA71D3">
        <w:rPr>
          <w:rFonts w:asciiTheme="majorBidi" w:hAnsiTheme="majorBidi"/>
          <w:color w:val="000000" w:themeColor="text1"/>
          <w:lang w:val="fr-FR"/>
        </w:rPr>
        <w:t>c)</w:t>
      </w:r>
      <w:r w:rsidRPr="00EA71D3">
        <w:rPr>
          <w:rFonts w:asciiTheme="majorBidi" w:hAnsiTheme="majorBidi"/>
          <w:color w:val="000000" w:themeColor="text1"/>
          <w:lang w:val="fr-FR"/>
        </w:rPr>
        <w:tab/>
        <w:t>Prom</w:t>
      </w:r>
      <w:r w:rsidRPr="00EA71D3">
        <w:rPr>
          <w:lang w:val="fr-FR"/>
        </w:rPr>
        <w:t xml:space="preserve">ouvoir, </w:t>
      </w:r>
      <w:r w:rsidRPr="00EA71D3">
        <w:rPr>
          <w:rFonts w:asciiTheme="majorBidi" w:eastAsiaTheme="minorEastAsia" w:hAnsiTheme="majorBidi" w:cstheme="majorBidi"/>
          <w:color w:val="000000" w:themeColor="text1"/>
          <w:kern w:val="2"/>
          <w:lang w:val="fr-FR" w:eastAsia="zh-CN"/>
          <w14:ligatures w14:val="standardContextual"/>
        </w:rPr>
        <w:t xml:space="preserve">en tenant compte de l’approche « Une seule santé » et d’autres approches globales, </w:t>
      </w:r>
      <w:r w:rsidRPr="00EA71D3">
        <w:rPr>
          <w:lang w:val="fr-FR"/>
        </w:rPr>
        <w:t xml:space="preserve">la coordination des politiques et l’intégration des interrelations entre la biodiversité et la santé </w:t>
      </w:r>
      <w:r w:rsidRPr="00EA71D3">
        <w:rPr>
          <w:rFonts w:asciiTheme="majorBidi" w:eastAsiaTheme="minorEastAsia" w:hAnsiTheme="majorBidi" w:cstheme="majorBidi"/>
          <w:color w:val="000000" w:themeColor="text1"/>
          <w:kern w:val="2"/>
          <w:lang w:val="fr-FR" w:eastAsia="zh-CN"/>
          <w14:ligatures w14:val="standardContextual"/>
        </w:rPr>
        <w:t>dans</w:t>
      </w:r>
      <w:r w:rsidR="000E6FDA" w:rsidRPr="00EA71D3">
        <w:rPr>
          <w:rFonts w:asciiTheme="majorBidi" w:eastAsiaTheme="minorEastAsia" w:hAnsiTheme="majorBidi" w:cstheme="majorBidi"/>
          <w:color w:val="000000" w:themeColor="text1"/>
          <w:kern w:val="2"/>
          <w:lang w:val="fr-FR" w:eastAsia="zh-CN"/>
          <w14:ligatures w14:val="standardContextual"/>
        </w:rPr>
        <w:t xml:space="preserve"> : </w:t>
      </w:r>
      <w:r w:rsidRPr="00EA71D3">
        <w:rPr>
          <w:rFonts w:asciiTheme="majorBidi" w:eastAsiaTheme="minorEastAsia" w:hAnsiTheme="majorBidi" w:cstheme="majorBidi"/>
          <w:color w:val="000000" w:themeColor="text1"/>
          <w:kern w:val="2"/>
          <w:lang w:val="fr-FR" w:eastAsia="zh-CN"/>
          <w14:ligatures w14:val="standardContextual"/>
        </w:rPr>
        <w:t xml:space="preserve">les </w:t>
      </w:r>
      <w:r w:rsidRPr="00EA71D3">
        <w:rPr>
          <w:color w:val="000000" w:themeColor="text1"/>
          <w:lang w:val="fr-FR" w:eastAsia="zh-CN"/>
        </w:rPr>
        <w:t>stratégies relatives aux secteurs ayant une grande incidence sur la biodiversité</w:t>
      </w:r>
      <w:r w:rsidR="000E6FDA" w:rsidRPr="00EA71D3">
        <w:rPr>
          <w:color w:val="000000" w:themeColor="text1"/>
          <w:lang w:val="fr-FR" w:eastAsia="zh-CN"/>
        </w:rPr>
        <w:t xml:space="preserve">, </w:t>
      </w:r>
      <w:r w:rsidRPr="00EA71D3">
        <w:rPr>
          <w:lang w:val="fr-FR"/>
        </w:rPr>
        <w:t>les stratégies et plans d’action nationaux en matière de biodiversité</w:t>
      </w:r>
      <w:r w:rsidR="000E6FDA" w:rsidRPr="00EA71D3">
        <w:rPr>
          <w:lang w:val="fr-FR"/>
        </w:rPr>
        <w:t xml:space="preserve">, </w:t>
      </w:r>
      <w:r w:rsidRPr="00EA71D3">
        <w:rPr>
          <w:lang w:val="fr-FR"/>
        </w:rPr>
        <w:t>les plans liés à la santé mentale, à la nutrition, à l’agriculture, à la lutte contre les maladies transmissibles et non transmissibles et le développement des enfants </w:t>
      </w:r>
      <w:r w:rsidR="000E6FDA" w:rsidRPr="00EA71D3">
        <w:rPr>
          <w:lang w:val="fr-FR"/>
        </w:rPr>
        <w:t>ainsi que</w:t>
      </w:r>
      <w:r w:rsidRPr="00EA71D3">
        <w:rPr>
          <w:lang w:val="fr-FR"/>
        </w:rPr>
        <w:t xml:space="preserve"> </w:t>
      </w:r>
      <w:r w:rsidR="000E6FDA" w:rsidRPr="00EA71D3">
        <w:rPr>
          <w:lang w:val="fr-FR"/>
        </w:rPr>
        <w:t xml:space="preserve">dans </w:t>
      </w:r>
      <w:r w:rsidRPr="00EA71D3">
        <w:rPr>
          <w:lang w:val="fr-FR"/>
        </w:rPr>
        <w:t>les politiques de développement économique et durable</w:t>
      </w:r>
      <w:r w:rsidR="000E6FDA" w:rsidRPr="00EA71D3">
        <w:rPr>
          <w:lang w:val="fr-FR"/>
        </w:rPr>
        <w:t xml:space="preserve">, </w:t>
      </w:r>
      <w:r w:rsidRPr="00EA71D3">
        <w:rPr>
          <w:lang w:val="fr-FR"/>
        </w:rPr>
        <w:t>les politiques liées à la santé des animaux et à la préservation des végétaux</w:t>
      </w:r>
      <w:r w:rsidR="000E6FDA" w:rsidRPr="00EA71D3">
        <w:rPr>
          <w:lang w:val="fr-FR"/>
        </w:rPr>
        <w:t xml:space="preserve">, </w:t>
      </w:r>
      <w:r w:rsidRPr="00EA71D3">
        <w:rPr>
          <w:rFonts w:asciiTheme="majorBidi" w:eastAsiaTheme="minorEastAsia" w:hAnsiTheme="majorBidi" w:cstheme="majorBidi"/>
          <w:color w:val="000000" w:themeColor="text1"/>
          <w:kern w:val="2"/>
          <w:lang w:val="fr-FR" w:eastAsia="zh-CN"/>
          <w14:ligatures w14:val="standardContextual"/>
        </w:rPr>
        <w:t xml:space="preserve">les </w:t>
      </w:r>
      <w:r w:rsidRPr="00EA71D3" w:rsidDel="00884DDF">
        <w:rPr>
          <w:rFonts w:asciiTheme="majorBidi" w:eastAsiaTheme="minorEastAsia" w:hAnsiTheme="majorBidi" w:cstheme="majorBidi"/>
          <w:color w:val="000000" w:themeColor="text1"/>
          <w:kern w:val="2"/>
          <w:lang w:val="fr-FR" w:eastAsia="zh-CN"/>
          <w14:ligatures w14:val="standardContextual"/>
        </w:rPr>
        <w:t xml:space="preserve">plans de </w:t>
      </w:r>
      <w:r w:rsidRPr="00EA71D3">
        <w:rPr>
          <w:rFonts w:eastAsiaTheme="minorEastAsia"/>
          <w:lang w:val="fr-FR" w:eastAsia="zh-CN"/>
        </w:rPr>
        <w:t>réduction des risques de catastrophe, de secours et de redressement</w:t>
      </w:r>
      <w:r w:rsidR="000E6FDA" w:rsidRPr="00EA71D3">
        <w:rPr>
          <w:rFonts w:eastAsiaTheme="minorEastAsia"/>
          <w:lang w:val="fr-FR" w:eastAsia="zh-CN"/>
        </w:rPr>
        <w:t>,</w:t>
      </w:r>
      <w:r w:rsidRPr="00EA71D3">
        <w:rPr>
          <w:rFonts w:eastAsiaTheme="minorEastAsia"/>
          <w:lang w:val="fr-FR" w:eastAsia="zh-CN"/>
        </w:rPr>
        <w:t xml:space="preserve"> </w:t>
      </w:r>
      <w:r w:rsidRPr="00EA71D3" w:rsidDel="00884DDF">
        <w:rPr>
          <w:rFonts w:asciiTheme="majorBidi" w:eastAsiaTheme="minorEastAsia" w:hAnsiTheme="majorBidi" w:cstheme="majorBidi"/>
          <w:color w:val="000000" w:themeColor="text1"/>
          <w:kern w:val="2"/>
          <w:lang w:val="fr-FR" w:eastAsia="zh-CN"/>
          <w14:ligatures w14:val="standardContextual"/>
        </w:rPr>
        <w:t>les plans d</w:t>
      </w:r>
      <w:r w:rsidRPr="00EA71D3">
        <w:rPr>
          <w:rFonts w:asciiTheme="majorBidi" w:eastAsiaTheme="minorEastAsia" w:hAnsiTheme="majorBidi" w:cstheme="majorBidi"/>
          <w:color w:val="000000" w:themeColor="text1"/>
          <w:kern w:val="2"/>
          <w:lang w:val="fr-FR" w:eastAsia="zh-CN"/>
          <w14:ligatures w14:val="standardContextual"/>
        </w:rPr>
        <w:t>’</w:t>
      </w:r>
      <w:r w:rsidRPr="00EA71D3" w:rsidDel="00884DDF">
        <w:rPr>
          <w:rFonts w:asciiTheme="majorBidi" w:eastAsiaTheme="minorEastAsia" w:hAnsiTheme="majorBidi" w:cstheme="majorBidi"/>
          <w:color w:val="000000" w:themeColor="text1"/>
          <w:kern w:val="2"/>
          <w:lang w:val="fr-FR" w:eastAsia="zh-CN"/>
          <w14:ligatures w14:val="standardContextual"/>
        </w:rPr>
        <w:t xml:space="preserve">action </w:t>
      </w:r>
      <w:r w:rsidRPr="00EA71D3">
        <w:rPr>
          <w:rFonts w:asciiTheme="majorBidi" w:eastAsiaTheme="minorEastAsia" w:hAnsiTheme="majorBidi" w:cstheme="majorBidi"/>
          <w:color w:val="000000" w:themeColor="text1"/>
          <w:kern w:val="2"/>
          <w:lang w:val="fr-FR" w:eastAsia="zh-CN"/>
          <w14:ligatures w14:val="standardContextual"/>
        </w:rPr>
        <w:t xml:space="preserve">visant à prévenir les pandémies, à s’y préparer et à intervenir lorsqu’elles interviennent </w:t>
      </w:r>
      <w:r w:rsidRPr="00EA71D3" w:rsidDel="00446644">
        <w:rPr>
          <w:rFonts w:eastAsiaTheme="minorEastAsia"/>
          <w:kern w:val="2"/>
          <w:lang w:val="fr-FR" w:eastAsia="zh-CN"/>
          <w14:ligatures w14:val="standardContextual"/>
        </w:rPr>
        <w:t xml:space="preserve">et les politiques </w:t>
      </w:r>
      <w:r w:rsidRPr="00EA71D3">
        <w:rPr>
          <w:rFonts w:eastAsiaTheme="minorEastAsia"/>
          <w:kern w:val="2"/>
          <w:lang w:val="fr-FR" w:eastAsia="zh-CN"/>
          <w14:ligatures w14:val="standardContextual"/>
        </w:rPr>
        <w:t xml:space="preserve">relatives à la </w:t>
      </w:r>
      <w:r w:rsidRPr="00EA71D3" w:rsidDel="00446644">
        <w:rPr>
          <w:rFonts w:eastAsiaTheme="minorEastAsia"/>
          <w:kern w:val="2"/>
          <w:lang w:val="fr-FR" w:eastAsia="zh-CN"/>
          <w14:ligatures w14:val="standardContextual"/>
        </w:rPr>
        <w:t xml:space="preserve">durabilité </w:t>
      </w:r>
      <w:r w:rsidRPr="00EA71D3">
        <w:rPr>
          <w:rFonts w:eastAsiaTheme="minorEastAsia"/>
          <w:kern w:val="2"/>
          <w:lang w:val="fr-FR" w:eastAsia="zh-CN"/>
          <w14:ligatures w14:val="standardContextual"/>
        </w:rPr>
        <w:t xml:space="preserve">du </w:t>
      </w:r>
      <w:r w:rsidRPr="00EA71D3" w:rsidDel="00446644">
        <w:rPr>
          <w:rFonts w:eastAsiaTheme="minorEastAsia"/>
          <w:kern w:val="2"/>
          <w:lang w:val="fr-FR" w:eastAsia="zh-CN"/>
          <w14:ligatures w14:val="standardContextual"/>
        </w:rPr>
        <w:t xml:space="preserve">secteur de la </w:t>
      </w:r>
      <w:r w:rsidRPr="00EA71D3">
        <w:rPr>
          <w:rFonts w:eastAsiaTheme="minorEastAsia"/>
          <w:kern w:val="2"/>
          <w:lang w:val="fr-FR" w:eastAsia="zh-CN"/>
          <w14:ligatures w14:val="standardContextual"/>
        </w:rPr>
        <w:t>santé </w:t>
      </w:r>
      <w:r w:rsidRPr="00EA71D3">
        <w:rPr>
          <w:lang w:val="fr-FR"/>
        </w:rPr>
        <w:t>;</w:t>
      </w:r>
    </w:p>
    <w:p w14:paraId="1E37435F" w14:textId="77777777" w:rsidR="009E6D43" w:rsidRPr="00EA71D3" w:rsidRDefault="009E6D43" w:rsidP="009E6D43">
      <w:pPr>
        <w:tabs>
          <w:tab w:val="left" w:pos="1701"/>
        </w:tabs>
        <w:spacing w:after="120"/>
        <w:ind w:left="567" w:firstLine="567"/>
        <w:rPr>
          <w:rFonts w:asciiTheme="majorBidi" w:eastAsiaTheme="minorEastAsia" w:hAnsiTheme="majorBidi" w:cstheme="majorBidi"/>
          <w:color w:val="000000" w:themeColor="text1"/>
          <w:kern w:val="2"/>
          <w:lang w:val="fr-FR"/>
          <w14:ligatures w14:val="standardContextual"/>
        </w:rPr>
      </w:pPr>
      <w:r w:rsidRPr="00EA71D3">
        <w:rPr>
          <w:rFonts w:asciiTheme="majorBidi" w:hAnsiTheme="majorBidi"/>
          <w:color w:val="000000" w:themeColor="text1"/>
          <w:lang w:val="fr-FR"/>
        </w:rPr>
        <w:t>d)</w:t>
      </w:r>
      <w:r w:rsidRPr="00EA71D3">
        <w:rPr>
          <w:rFonts w:asciiTheme="majorBidi" w:hAnsiTheme="majorBidi"/>
          <w:color w:val="000000" w:themeColor="text1"/>
          <w:lang w:val="fr-FR"/>
        </w:rPr>
        <w:tab/>
        <w:t>Mettre au point et, lorsque nécessaire, renforcer les mécanismes de coordination nationale des interrelations entre la biodiversité et la santé, qui sont à la fois interdisciplinaires et interministériels, en veillant à la participation de tous les acteurs, y compris les peuples autochtones et les communautés locales, </w:t>
      </w:r>
      <w:r w:rsidRPr="00EA71D3">
        <w:rPr>
          <w:rFonts w:asciiTheme="majorBidi" w:eastAsiaTheme="minorEastAsia" w:hAnsiTheme="majorBidi" w:cstheme="majorBidi"/>
          <w:color w:val="000000" w:themeColor="text1"/>
          <w:kern w:val="2"/>
          <w:lang w:val="fr-FR" w:eastAsia="zh-CN"/>
          <w14:ligatures w14:val="standardContextual"/>
        </w:rPr>
        <w:t xml:space="preserve"> les femmes, les enfants, les jeunes et les personnes âgées, </w:t>
      </w:r>
      <w:r w:rsidRPr="00EA71D3">
        <w:rPr>
          <w:rFonts w:asciiTheme="majorBidi" w:hAnsiTheme="majorBidi"/>
          <w:color w:val="000000" w:themeColor="text1"/>
          <w:lang w:val="fr-FR"/>
        </w:rPr>
        <w:t>et nommer un correspondant national responsable de la biodiversité et de la santé pour faciliter le processus ;</w:t>
      </w:r>
    </w:p>
    <w:p w14:paraId="49204E08" w14:textId="3D8D434D" w:rsidR="009E6D43" w:rsidRPr="00EA71D3" w:rsidRDefault="009E6D43" w:rsidP="009E6D43">
      <w:pPr>
        <w:tabs>
          <w:tab w:val="left" w:pos="1701"/>
        </w:tabs>
        <w:spacing w:after="120"/>
        <w:ind w:left="567" w:firstLine="567"/>
        <w:rPr>
          <w:rFonts w:asciiTheme="majorBidi" w:eastAsiaTheme="minorEastAsia" w:hAnsiTheme="majorBidi" w:cstheme="majorBidi"/>
          <w:color w:val="000000" w:themeColor="text1"/>
          <w:kern w:val="2"/>
          <w:lang w:val="fr-FR" w:eastAsia="zh-CN"/>
          <w14:ligatures w14:val="standardContextual"/>
        </w:rPr>
      </w:pPr>
      <w:r w:rsidRPr="00EA71D3">
        <w:rPr>
          <w:rFonts w:asciiTheme="majorBidi" w:hAnsiTheme="majorBidi"/>
          <w:color w:val="000000" w:themeColor="text1"/>
          <w:lang w:val="fr-FR"/>
        </w:rPr>
        <w:t>e)</w:t>
      </w:r>
      <w:r w:rsidRPr="00EA71D3">
        <w:rPr>
          <w:rFonts w:asciiTheme="majorBidi" w:hAnsiTheme="majorBidi"/>
          <w:color w:val="000000" w:themeColor="text1"/>
          <w:lang w:val="fr-FR"/>
        </w:rPr>
        <w:tab/>
        <w:t xml:space="preserve">Envisager la nomination </w:t>
      </w:r>
      <w:r w:rsidRPr="00EA71D3">
        <w:rPr>
          <w:rFonts w:asciiTheme="majorBidi" w:eastAsiaTheme="minorEastAsia" w:hAnsiTheme="majorBidi" w:cstheme="majorBidi"/>
          <w:color w:val="000000" w:themeColor="text1"/>
          <w:kern w:val="2"/>
          <w:lang w:val="fr-FR" w:eastAsia="zh-CN"/>
          <w14:ligatures w14:val="standardContextual"/>
        </w:rPr>
        <w:t xml:space="preserve">d’un correspondant national chargé </w:t>
      </w:r>
      <w:r w:rsidR="000E6FDA" w:rsidRPr="00EA71D3">
        <w:rPr>
          <w:rFonts w:asciiTheme="majorBidi" w:eastAsiaTheme="minorEastAsia" w:hAnsiTheme="majorBidi" w:cstheme="majorBidi"/>
          <w:color w:val="000000" w:themeColor="text1"/>
          <w:kern w:val="2"/>
          <w:lang w:val="fr-FR" w:eastAsia="zh-CN"/>
          <w14:ligatures w14:val="standardContextual"/>
        </w:rPr>
        <w:t>de</w:t>
      </w:r>
      <w:r w:rsidRPr="00EA71D3">
        <w:rPr>
          <w:rFonts w:asciiTheme="majorBidi" w:eastAsiaTheme="minorEastAsia" w:hAnsiTheme="majorBidi" w:cstheme="majorBidi"/>
          <w:color w:val="000000" w:themeColor="text1"/>
          <w:kern w:val="2"/>
          <w:lang w:val="fr-FR" w:eastAsia="zh-CN"/>
          <w14:ligatures w14:val="standardContextual"/>
        </w:rPr>
        <w:t xml:space="preserve"> la biodiversité et </w:t>
      </w:r>
      <w:r w:rsidR="000E6FDA" w:rsidRPr="00EA71D3">
        <w:rPr>
          <w:rFonts w:asciiTheme="majorBidi" w:eastAsiaTheme="minorEastAsia" w:hAnsiTheme="majorBidi" w:cstheme="majorBidi"/>
          <w:color w:val="000000" w:themeColor="text1"/>
          <w:kern w:val="2"/>
          <w:lang w:val="fr-FR" w:eastAsia="zh-CN"/>
          <w14:ligatures w14:val="standardContextual"/>
        </w:rPr>
        <w:t xml:space="preserve">de </w:t>
      </w:r>
      <w:r w:rsidRPr="00EA71D3">
        <w:rPr>
          <w:rFonts w:asciiTheme="majorBidi" w:eastAsiaTheme="minorEastAsia" w:hAnsiTheme="majorBidi" w:cstheme="majorBidi"/>
          <w:color w:val="000000" w:themeColor="text1"/>
          <w:kern w:val="2"/>
          <w:lang w:val="fr-FR" w:eastAsia="zh-CN"/>
          <w14:ligatures w14:val="standardContextual"/>
        </w:rPr>
        <w:t>la santé publique</w:t>
      </w:r>
      <w:r w:rsidR="000E6FDA" w:rsidRPr="00EA71D3">
        <w:rPr>
          <w:rFonts w:asciiTheme="majorBidi" w:eastAsiaTheme="minorEastAsia" w:hAnsiTheme="majorBidi" w:cstheme="majorBidi"/>
          <w:color w:val="000000" w:themeColor="text1"/>
          <w:kern w:val="2"/>
          <w:lang w:val="fr-FR" w:eastAsia="zh-CN"/>
          <w14:ligatures w14:val="standardContextual"/>
        </w:rPr>
        <w:t xml:space="preserve">, devant notamment </w:t>
      </w:r>
      <w:r w:rsidRPr="00EA71D3">
        <w:rPr>
          <w:rFonts w:asciiTheme="majorBidi" w:eastAsiaTheme="minorEastAsia" w:hAnsiTheme="majorBidi" w:cstheme="majorBidi"/>
          <w:color w:val="000000" w:themeColor="text1"/>
          <w:kern w:val="2"/>
          <w:lang w:val="fr-FR" w:eastAsia="zh-CN"/>
          <w14:ligatures w14:val="standardContextual"/>
        </w:rPr>
        <w:t xml:space="preserve">rendre compte des contributions et des besoins des femmes et des jeunes filles en matière de bonne intendance de l’environnement et d’égalité entre les sexes ; </w:t>
      </w:r>
    </w:p>
    <w:p w14:paraId="775E5D6C" w14:textId="7EC3A694" w:rsidR="009E6D43" w:rsidRPr="00EA71D3" w:rsidRDefault="009E6D43" w:rsidP="009E6D43">
      <w:pPr>
        <w:tabs>
          <w:tab w:val="left" w:pos="1701"/>
        </w:tabs>
        <w:spacing w:after="120"/>
        <w:ind w:left="567" w:firstLine="567"/>
        <w:rPr>
          <w:rFonts w:asciiTheme="majorBidi" w:eastAsiaTheme="minorEastAsia" w:hAnsiTheme="majorBidi" w:cstheme="majorBidi"/>
          <w:color w:val="000000" w:themeColor="text1"/>
          <w:kern w:val="2"/>
          <w:lang w:val="fr-FR"/>
          <w14:ligatures w14:val="standardContextual"/>
        </w:rPr>
      </w:pPr>
      <w:r w:rsidRPr="00EA71D3">
        <w:rPr>
          <w:rFonts w:asciiTheme="majorBidi" w:eastAsiaTheme="minorEastAsia" w:hAnsiTheme="majorBidi" w:cstheme="majorBidi"/>
          <w:color w:val="000000" w:themeColor="text1"/>
          <w:kern w:val="2"/>
          <w:lang w:val="fr-FR" w:eastAsia="zh-CN"/>
          <w14:ligatures w14:val="standardContextual"/>
        </w:rPr>
        <w:t>f)</w:t>
      </w:r>
      <w:r w:rsidRPr="00EA71D3">
        <w:rPr>
          <w:rFonts w:asciiTheme="majorBidi" w:eastAsiaTheme="minorEastAsia" w:hAnsiTheme="majorBidi" w:cstheme="majorBidi"/>
          <w:color w:val="000000" w:themeColor="text1"/>
          <w:kern w:val="2"/>
          <w:lang w:val="fr-FR" w:eastAsia="zh-CN"/>
          <w14:ligatures w14:val="standardContextual"/>
        </w:rPr>
        <w:tab/>
      </w:r>
      <w:r w:rsidRPr="00EA71D3">
        <w:rPr>
          <w:rFonts w:eastAsiaTheme="minorEastAsia"/>
          <w:lang w:val="fr-FR" w:eastAsia="zh-CN"/>
        </w:rPr>
        <w:t xml:space="preserve">Prendre des mesures pour assurer la participation pleine et effective des enfants et des jeunes à la prise de décisions et de mesures relatives à la biodiversité et à la santé, et </w:t>
      </w:r>
      <w:r w:rsidRPr="00EA71D3">
        <w:rPr>
          <w:rFonts w:asciiTheme="majorBidi" w:eastAsiaTheme="minorEastAsia" w:hAnsiTheme="majorBidi" w:cstheme="majorBidi"/>
          <w:color w:val="000000" w:themeColor="text1"/>
          <w:kern w:val="2"/>
          <w:lang w:val="fr-FR" w:eastAsia="zh-CN"/>
          <w14:ligatures w14:val="standardContextual"/>
        </w:rPr>
        <w:t xml:space="preserve">envisager de nommer </w:t>
      </w:r>
      <w:r w:rsidRPr="00EA71D3">
        <w:rPr>
          <w:rFonts w:asciiTheme="majorBidi" w:hAnsiTheme="majorBidi"/>
          <w:color w:val="000000" w:themeColor="text1"/>
          <w:lang w:val="fr-FR"/>
        </w:rPr>
        <w:t xml:space="preserve">un correspondant national </w:t>
      </w:r>
      <w:r w:rsidR="000E6FDA" w:rsidRPr="00EA71D3">
        <w:rPr>
          <w:rFonts w:asciiTheme="majorBidi" w:hAnsiTheme="majorBidi"/>
          <w:color w:val="000000" w:themeColor="text1"/>
          <w:lang w:val="fr-FR"/>
        </w:rPr>
        <w:t>de</w:t>
      </w:r>
      <w:r w:rsidRPr="00EA71D3">
        <w:rPr>
          <w:rFonts w:asciiTheme="majorBidi" w:hAnsiTheme="majorBidi"/>
          <w:color w:val="000000" w:themeColor="text1"/>
          <w:lang w:val="fr-FR"/>
        </w:rPr>
        <w:t xml:space="preserve"> la jeunesse </w:t>
      </w:r>
      <w:r w:rsidR="000E6FDA" w:rsidRPr="00EA71D3">
        <w:rPr>
          <w:rFonts w:asciiTheme="majorBidi" w:hAnsiTheme="majorBidi"/>
          <w:color w:val="000000" w:themeColor="text1"/>
          <w:lang w:val="fr-FR"/>
        </w:rPr>
        <w:t>chargé des questions de</w:t>
      </w:r>
      <w:r w:rsidRPr="00EA71D3">
        <w:rPr>
          <w:rFonts w:asciiTheme="majorBidi" w:hAnsiTheme="majorBidi"/>
          <w:color w:val="000000" w:themeColor="text1"/>
          <w:lang w:val="fr-FR"/>
        </w:rPr>
        <w:t xml:space="preserve"> biodiversité et de santé publique, et, entre autres, de rendre compte des contributions et des besoins des enfants et des jeunes en ce qui a trait à la bonne intendance de l’environnement et à l’équité intergénérationnelle ; </w:t>
      </w:r>
    </w:p>
    <w:p w14:paraId="7A32F43D" w14:textId="77777777" w:rsidR="009E6D43" w:rsidRPr="00EA71D3" w:rsidRDefault="009E6D43" w:rsidP="009E6D43">
      <w:pPr>
        <w:tabs>
          <w:tab w:val="left" w:pos="1701"/>
        </w:tabs>
        <w:spacing w:after="120"/>
        <w:ind w:left="567" w:firstLine="567"/>
        <w:rPr>
          <w:rFonts w:asciiTheme="majorBidi" w:eastAsiaTheme="minorEastAsia" w:hAnsiTheme="majorBidi" w:cstheme="majorBidi"/>
          <w:color w:val="000000" w:themeColor="text1"/>
          <w:kern w:val="2"/>
          <w:lang w:val="fr-FR"/>
          <w14:ligatures w14:val="standardContextual"/>
        </w:rPr>
      </w:pPr>
      <w:r w:rsidRPr="00EA71D3">
        <w:rPr>
          <w:rFonts w:asciiTheme="majorBidi" w:hAnsiTheme="majorBidi"/>
          <w:color w:val="000000" w:themeColor="text1"/>
          <w:lang w:val="fr-FR"/>
        </w:rPr>
        <w:t>g)</w:t>
      </w:r>
      <w:r w:rsidRPr="00EA71D3">
        <w:rPr>
          <w:rFonts w:asciiTheme="majorBidi" w:hAnsiTheme="majorBidi"/>
          <w:color w:val="000000" w:themeColor="text1"/>
          <w:lang w:val="fr-FR"/>
        </w:rPr>
        <w:tab/>
        <w:t xml:space="preserve">Intégrer les interrelations entre la biodiversité et la santé dans les évaluations portant sur le développement durable, y compris les </w:t>
      </w:r>
      <w:r w:rsidRPr="00EA71D3">
        <w:rPr>
          <w:rFonts w:asciiTheme="majorBidi" w:hAnsiTheme="majorBidi"/>
          <w:snapToGrid w:val="0"/>
          <w:szCs w:val="18"/>
          <w:lang w:val="fr-FR"/>
        </w:rPr>
        <w:t xml:space="preserve">études d’impact environnemental, les évaluations environnementales stratégiques, les évaluations de santé, les évaluations de l’incidence sur la santé, les évaluations socioéconomiques et les autres évaluations pertinentes, </w:t>
      </w:r>
      <w:r w:rsidRPr="00EA71D3">
        <w:rPr>
          <w:rFonts w:asciiTheme="majorBidi" w:hAnsiTheme="majorBidi"/>
          <w:color w:val="000000" w:themeColor="text1"/>
          <w:lang w:val="fr-FR"/>
        </w:rPr>
        <w:t>en particulier en :</w:t>
      </w:r>
    </w:p>
    <w:p w14:paraId="0FD0B9AE" w14:textId="77777777" w:rsidR="009E6D43" w:rsidRPr="00EA71D3" w:rsidRDefault="009E6D43" w:rsidP="009E6D43">
      <w:pPr>
        <w:tabs>
          <w:tab w:val="left" w:pos="1701"/>
        </w:tabs>
        <w:spacing w:after="120"/>
        <w:ind w:left="1701" w:hanging="567"/>
        <w:rPr>
          <w:rFonts w:asciiTheme="majorBidi" w:hAnsiTheme="majorBidi" w:cstheme="majorBidi"/>
          <w:snapToGrid w:val="0"/>
          <w:szCs w:val="18"/>
          <w:lang w:val="fr-FR"/>
        </w:rPr>
      </w:pPr>
      <w:r w:rsidRPr="00EA71D3">
        <w:rPr>
          <w:rFonts w:asciiTheme="majorBidi" w:hAnsiTheme="majorBidi"/>
          <w:snapToGrid w:val="0"/>
          <w:szCs w:val="18"/>
          <w:lang w:val="fr-FR"/>
        </w:rPr>
        <w:t>i)</w:t>
      </w:r>
      <w:r w:rsidRPr="00EA71D3">
        <w:rPr>
          <w:rFonts w:asciiTheme="majorBidi" w:hAnsiTheme="majorBidi"/>
          <w:snapToGrid w:val="0"/>
          <w:szCs w:val="18"/>
          <w:lang w:val="fr-FR"/>
        </w:rPr>
        <w:tab/>
        <w:t>Tenant compte des risques posés par la perte de biodiversité pour la santé et le bien-être dans les évaluations susmentionnées en guise d’outils précieux pour orienter la prise de décisions ;</w:t>
      </w:r>
    </w:p>
    <w:p w14:paraId="557002E1" w14:textId="77777777" w:rsidR="009E6D43" w:rsidRPr="00EA71D3" w:rsidRDefault="009E6D43" w:rsidP="009E6D43">
      <w:pPr>
        <w:tabs>
          <w:tab w:val="left" w:pos="1701"/>
        </w:tabs>
        <w:spacing w:after="120"/>
        <w:ind w:left="1701" w:hanging="567"/>
        <w:rPr>
          <w:rFonts w:asciiTheme="majorBidi" w:hAnsiTheme="majorBidi" w:cstheme="majorBidi"/>
          <w:snapToGrid w:val="0"/>
          <w:szCs w:val="18"/>
          <w:lang w:val="fr-FR"/>
        </w:rPr>
      </w:pPr>
      <w:r w:rsidRPr="00EA71D3">
        <w:rPr>
          <w:rFonts w:asciiTheme="majorBidi" w:hAnsiTheme="majorBidi"/>
          <w:snapToGrid w:val="0"/>
          <w:szCs w:val="18"/>
          <w:lang w:val="fr-FR"/>
        </w:rPr>
        <w:t>ii)</w:t>
      </w:r>
      <w:r w:rsidRPr="00EA71D3">
        <w:rPr>
          <w:rFonts w:asciiTheme="majorBidi" w:hAnsiTheme="majorBidi"/>
          <w:snapToGrid w:val="0"/>
          <w:szCs w:val="18"/>
          <w:lang w:val="fr-FR"/>
        </w:rPr>
        <w:tab/>
        <w:t>Incluant diverses parties prenantes</w:t>
      </w:r>
      <w:r w:rsidRPr="00EA71D3">
        <w:rPr>
          <w:rFonts w:asciiTheme="majorBidi" w:hAnsiTheme="majorBidi" w:cstheme="majorBidi"/>
          <w:snapToGrid w:val="0"/>
          <w:szCs w:val="18"/>
          <w:vertAlign w:val="superscript"/>
          <w:lang w:val="fr-FR"/>
        </w:rPr>
        <w:footnoteReference w:id="24"/>
      </w:r>
      <w:r w:rsidRPr="00EA71D3">
        <w:rPr>
          <w:rFonts w:asciiTheme="majorBidi" w:hAnsiTheme="majorBidi"/>
          <w:snapToGrid w:val="0"/>
          <w:szCs w:val="18"/>
          <w:lang w:val="fr-FR"/>
        </w:rPr>
        <w:t xml:space="preserve"> dans les processus d’examen préliminaire, de définition du champ d’application, de révision, de prise de décision et de suivi pour les évaluations et les rapports nationaux ;</w:t>
      </w:r>
    </w:p>
    <w:p w14:paraId="452B5432" w14:textId="77777777" w:rsidR="009E6D43" w:rsidRPr="00EA71D3" w:rsidRDefault="009E6D43" w:rsidP="009E6D43">
      <w:pPr>
        <w:tabs>
          <w:tab w:val="left" w:pos="1701"/>
        </w:tabs>
        <w:spacing w:after="120"/>
        <w:ind w:left="1701" w:hanging="567"/>
        <w:rPr>
          <w:rFonts w:asciiTheme="majorBidi" w:eastAsiaTheme="minorEastAsia" w:hAnsiTheme="majorBidi" w:cstheme="majorBidi"/>
          <w:color w:val="000000" w:themeColor="text1"/>
          <w:kern w:val="2"/>
          <w:lang w:val="fr-FR"/>
          <w14:ligatures w14:val="standardContextual"/>
        </w:rPr>
      </w:pPr>
      <w:r w:rsidRPr="00EA71D3">
        <w:rPr>
          <w:rFonts w:asciiTheme="majorBidi" w:hAnsiTheme="majorBidi"/>
          <w:lang w:val="fr-FR"/>
        </w:rPr>
        <w:t>iii)</w:t>
      </w:r>
      <w:r w:rsidRPr="00EA71D3">
        <w:rPr>
          <w:rFonts w:asciiTheme="majorBidi" w:hAnsiTheme="majorBidi"/>
          <w:lang w:val="fr-FR"/>
        </w:rPr>
        <w:tab/>
        <w:t>Incluant des facteurs complets d’examen préalable qui reflètent les grandes interrelations entre la biodiversité et la santé dans les évaluations  ;</w:t>
      </w:r>
      <w:r w:rsidRPr="00EA71D3">
        <w:rPr>
          <w:rFonts w:asciiTheme="majorBidi" w:hAnsiTheme="majorBidi"/>
          <w:color w:val="000000" w:themeColor="text1"/>
          <w:lang w:val="fr-FR"/>
        </w:rPr>
        <w:t xml:space="preserve"> </w:t>
      </w:r>
    </w:p>
    <w:p w14:paraId="2A49CF91" w14:textId="77777777" w:rsidR="009E6D43" w:rsidRPr="00EA71D3" w:rsidRDefault="009E6D43" w:rsidP="009E6D43">
      <w:pPr>
        <w:tabs>
          <w:tab w:val="left" w:pos="1701"/>
        </w:tabs>
        <w:spacing w:after="120"/>
        <w:ind w:left="1701" w:hanging="567"/>
        <w:rPr>
          <w:rFonts w:asciiTheme="majorBidi" w:eastAsiaTheme="minorEastAsia" w:hAnsiTheme="majorBidi" w:cstheme="majorBidi"/>
          <w:color w:val="000000" w:themeColor="text1"/>
          <w:kern w:val="2"/>
          <w:lang w:val="fr-FR"/>
          <w14:ligatures w14:val="standardContextual"/>
        </w:rPr>
      </w:pPr>
      <w:r w:rsidRPr="00EA71D3">
        <w:rPr>
          <w:rFonts w:asciiTheme="majorBidi" w:hAnsiTheme="majorBidi"/>
          <w:color w:val="000000" w:themeColor="text1"/>
          <w:lang w:val="fr-FR"/>
        </w:rPr>
        <w:t>iv)</w:t>
      </w:r>
      <w:r w:rsidRPr="00EA71D3">
        <w:rPr>
          <w:rFonts w:asciiTheme="majorBidi" w:hAnsiTheme="majorBidi"/>
          <w:color w:val="000000" w:themeColor="text1"/>
          <w:lang w:val="fr-FR"/>
        </w:rPr>
        <w:tab/>
        <w:t>S’assurant que les évaluations, ainsi que les cadres de surveillance, de reddition de comptes et d’examen nationaux, tiennent compte de la diminution et de la dégradation de la biodiversité dans le contexte de l’équité entre les générations, de l’égalité des sexes et de la santé des générations futures, plus particulièrement la capacité des enfants à naître, grandir, se développer et être en parfaite santé physique et mentale ;</w:t>
      </w:r>
    </w:p>
    <w:p w14:paraId="6CACB980" w14:textId="77777777" w:rsidR="009E6D43" w:rsidRPr="00EA71D3" w:rsidRDefault="009E6D43" w:rsidP="009E6D43">
      <w:pPr>
        <w:pStyle w:val="CBD-para2-notnumbered"/>
        <w:rPr>
          <w:color w:val="000000" w:themeColor="text1"/>
          <w:lang w:val="fr-FR"/>
        </w:rPr>
      </w:pPr>
      <w:r w:rsidRPr="00EA71D3">
        <w:rPr>
          <w:color w:val="000000" w:themeColor="text1"/>
          <w:lang w:val="fr-FR"/>
        </w:rPr>
        <w:t>h)</w:t>
      </w:r>
      <w:r w:rsidRPr="00EA71D3">
        <w:rPr>
          <w:color w:val="000000" w:themeColor="text1"/>
          <w:lang w:val="fr-FR"/>
        </w:rPr>
        <w:tab/>
      </w:r>
      <w:r w:rsidRPr="00EA71D3">
        <w:rPr>
          <w:lang w:val="fr-FR"/>
        </w:rPr>
        <w:t xml:space="preserve">Appuyer la recherche sur les interrelations entre la biodiversité et la santé afin de combler les lacunes dans les connaissances, améliorer </w:t>
      </w:r>
      <w:r w:rsidRPr="00EA71D3">
        <w:rPr>
          <w:lang w:val="fr-FR" w:eastAsia="zh-CN"/>
        </w:rPr>
        <w:t xml:space="preserve">l’accès aux données scientifiques probantes </w:t>
      </w:r>
      <w:r w:rsidRPr="00EA71D3">
        <w:rPr>
          <w:lang w:val="fr-FR"/>
        </w:rPr>
        <w:t xml:space="preserve">et aux bonnes pratiques par une </w:t>
      </w:r>
      <w:r w:rsidRPr="00EA71D3">
        <w:rPr>
          <w:lang w:val="fr-FR" w:eastAsia="zh-CN"/>
        </w:rPr>
        <w:t xml:space="preserve">éducation et une recherche transformatrices et transdisciplinaires, </w:t>
      </w:r>
      <w:r w:rsidRPr="00EA71D3">
        <w:rPr>
          <w:lang w:val="fr-FR" w:eastAsia="zh-CN"/>
        </w:rPr>
        <w:lastRenderedPageBreak/>
        <w:t>respecter les connaissances traditionnelles des peuples autochtones et des communautés locales[, et avec leur consentement préalable, libre et éclairé] [y compris par leur participation pleine et effective à la prise de décisions, dans le respect de la législation nationale et des instruments internationaux pertinents] ;</w:t>
      </w:r>
      <w:r w:rsidRPr="00EA71D3">
        <w:rPr>
          <w:lang w:val="fr-FR"/>
        </w:rPr>
        <w:t xml:space="preserve"> </w:t>
      </w:r>
    </w:p>
    <w:p w14:paraId="39555CCF" w14:textId="77777777" w:rsidR="009E6D43" w:rsidRPr="00EA71D3" w:rsidRDefault="009E6D43" w:rsidP="009E6D43">
      <w:pPr>
        <w:pStyle w:val="CBD-para2-notnumbered"/>
        <w:rPr>
          <w:color w:val="000000" w:themeColor="text1"/>
          <w:lang w:val="fr-FR"/>
        </w:rPr>
      </w:pPr>
      <w:r w:rsidRPr="00EA71D3">
        <w:rPr>
          <w:color w:val="000000" w:themeColor="text1"/>
          <w:lang w:val="fr-FR"/>
        </w:rPr>
        <w:t>i)</w:t>
      </w:r>
      <w:r w:rsidRPr="00EA71D3">
        <w:rPr>
          <w:color w:val="000000" w:themeColor="text1"/>
          <w:lang w:val="fr-FR"/>
        </w:rPr>
        <w:tab/>
      </w:r>
      <w:r w:rsidRPr="00EA71D3">
        <w:rPr>
          <w:lang w:val="fr-FR"/>
        </w:rPr>
        <w:t xml:space="preserve">Améliorer la compréhension de l’approche « Une seule santé » et des autres approches globales et mettre l’accent sur les interrelations entre la biodiversité et la santé en introduisant celles-ci dans les programmes d’apprentissage des professionnels des domaines des soins de santé et de la médecine, de la santé publique et mondiale, de la santé des animaux, de la biodiversité et de l’environnement, </w:t>
      </w:r>
      <w:r w:rsidRPr="00EA71D3">
        <w:rPr>
          <w:lang w:val="fr-FR" w:eastAsia="zh-CN"/>
        </w:rPr>
        <w:t xml:space="preserve">de la planification spatiale urbaine, y compris pour les espaces verts et bleus, et dans d’autres domaines pertinents, </w:t>
      </w:r>
      <w:r w:rsidRPr="00EA71D3">
        <w:rPr>
          <w:lang w:val="fr-FR"/>
        </w:rPr>
        <w:t>dans le cadre de la formation continue et de l’approfondissement perpétuel des compétences ;</w:t>
      </w:r>
    </w:p>
    <w:p w14:paraId="1AD64E0A" w14:textId="77777777" w:rsidR="009E6D43" w:rsidRPr="00EA71D3" w:rsidRDefault="009E6D43" w:rsidP="009E6D43">
      <w:pPr>
        <w:pStyle w:val="CBD-para2-notnumbered"/>
        <w:rPr>
          <w:lang w:val="fr-FR"/>
        </w:rPr>
      </w:pPr>
      <w:r w:rsidRPr="00EA71D3">
        <w:rPr>
          <w:lang w:val="fr-FR"/>
        </w:rPr>
        <w:t>j)</w:t>
      </w:r>
      <w:r w:rsidRPr="00EA71D3">
        <w:rPr>
          <w:lang w:val="fr-FR"/>
        </w:rPr>
        <w:tab/>
        <w:t xml:space="preserve">Encourager, lorsqu’approprié, </w:t>
      </w:r>
      <w:r w:rsidRPr="00EA71D3">
        <w:rPr>
          <w:color w:val="000000" w:themeColor="text1"/>
          <w:lang w:val="fr-FR"/>
        </w:rPr>
        <w:t>en collaboration avec les organisations du domaine de la santé, l’intégration de mesures, indicateurs et outils liés à la biodiversité dans les stratégies, plans et programmes sanitaires et, réciproquement, l’intégration de mesures, indicateurs et outils liés à la santé dans les stratégies, plans et programmes en matière de biodiversité, dans le cadre des mandats existants ;</w:t>
      </w:r>
    </w:p>
    <w:p w14:paraId="2A7C8B22" w14:textId="77777777" w:rsidR="009E6D43" w:rsidRPr="00EA71D3" w:rsidRDefault="009E6D43" w:rsidP="009E6D43">
      <w:pPr>
        <w:pStyle w:val="CBD-para2-notnumbered"/>
        <w:rPr>
          <w:rStyle w:val="ui-provider"/>
          <w:lang w:val="fr-FR"/>
        </w:rPr>
      </w:pPr>
      <w:r w:rsidRPr="00EA71D3">
        <w:rPr>
          <w:color w:val="000000" w:themeColor="text1"/>
          <w:lang w:val="fr-FR"/>
        </w:rPr>
        <w:t>k)</w:t>
      </w:r>
      <w:r w:rsidRPr="00EA71D3">
        <w:rPr>
          <w:color w:val="000000" w:themeColor="text1"/>
          <w:lang w:val="fr-FR"/>
        </w:rPr>
        <w:tab/>
        <w:t>E</w:t>
      </w:r>
      <w:r w:rsidRPr="00EA71D3">
        <w:rPr>
          <w:rStyle w:val="ui-provider"/>
          <w:lang w:val="fr-FR"/>
        </w:rPr>
        <w:t>ncourager l’élaboration de documents d’information sectoriels, tel que des fiches d’information, afin d’intégrer les interrelations entre la biodiversité et la santé dans les secteurs pertinents[</w:t>
      </w:r>
      <w:r w:rsidRPr="00EA71D3">
        <w:rPr>
          <w:rStyle w:val="FootnoteReference"/>
          <w:lang w:val="fr-FR"/>
        </w:rPr>
        <w:footnoteReference w:id="25"/>
      </w:r>
      <w:r w:rsidRPr="00EA71D3">
        <w:rPr>
          <w:rStyle w:val="ui-provider"/>
          <w:lang w:val="fr-FR"/>
        </w:rPr>
        <w:t xml:space="preserve">] ; </w:t>
      </w:r>
    </w:p>
    <w:p w14:paraId="06F2655B" w14:textId="77777777" w:rsidR="009E6D43" w:rsidRPr="00EA71D3" w:rsidRDefault="009E6D43" w:rsidP="009E6D43">
      <w:pPr>
        <w:pStyle w:val="CBD-para2-notnumbered"/>
        <w:rPr>
          <w:color w:val="000000" w:themeColor="text1"/>
          <w:lang w:val="fr-FR"/>
        </w:rPr>
      </w:pPr>
      <w:r w:rsidRPr="00EA71D3">
        <w:rPr>
          <w:color w:val="000000" w:themeColor="text1"/>
          <w:lang w:val="fr-FR"/>
        </w:rPr>
        <w:t>l)</w:t>
      </w:r>
      <w:r w:rsidRPr="00EA71D3">
        <w:rPr>
          <w:color w:val="000000" w:themeColor="text1"/>
          <w:lang w:val="fr-FR"/>
        </w:rPr>
        <w:tab/>
        <w:t>Améliorer la coopération internationale afin d’aider les pays en développement à relever les défis particuliers auxquels ils sont confrontés en matière d’environnement et de santé, y compris en mettant en œuvre l’initiative « Une seule santé » et d’autres approches globales, dans le respect des lois internationales et nationales applicables ;</w:t>
      </w:r>
    </w:p>
    <w:p w14:paraId="1C270AE9" w14:textId="77777777" w:rsidR="009E6D43" w:rsidRPr="00EA71D3" w:rsidRDefault="009E6D43" w:rsidP="009E6D43">
      <w:pPr>
        <w:pStyle w:val="CBD-para2-notnumbered"/>
        <w:rPr>
          <w:color w:val="000000" w:themeColor="text1"/>
          <w:lang w:val="fr-FR"/>
        </w:rPr>
      </w:pPr>
      <w:r w:rsidRPr="00EA71D3">
        <w:rPr>
          <w:color w:val="000000" w:themeColor="text1"/>
          <w:lang w:val="fr-FR"/>
        </w:rPr>
        <w:t>m)</w:t>
      </w:r>
      <w:r w:rsidRPr="00EA71D3">
        <w:rPr>
          <w:color w:val="000000" w:themeColor="text1"/>
          <w:lang w:val="fr-FR"/>
        </w:rPr>
        <w:tab/>
        <w:t>Favoriser la coopération entre les correspondants nationaux des accords multilatéraux pertinents sur l’environnement et la santé en ce qui a trait aux mesures liées aux interrelations entre la biodiversité et la santé, notamment grâce à la participation de l’ensemble de la société à des événements intersectoriels.</w:t>
      </w:r>
    </w:p>
    <w:p w14:paraId="20DA3EA0" w14:textId="77777777" w:rsidR="009E6D43" w:rsidRPr="00EA71D3" w:rsidRDefault="009E6D43" w:rsidP="009E6D43">
      <w:pPr>
        <w:keepNext/>
        <w:spacing w:after="160"/>
        <w:ind w:left="567" w:hanging="567"/>
        <w:jc w:val="left"/>
        <w:outlineLvl w:val="1"/>
        <w:rPr>
          <w:rFonts w:eastAsiaTheme="minorEastAsia"/>
          <w:b/>
          <w:bCs/>
          <w:kern w:val="2"/>
          <w:sz w:val="24"/>
          <w:szCs w:val="24"/>
          <w:lang w:val="fr-FR"/>
          <w14:ligatures w14:val="standardContextual"/>
        </w:rPr>
      </w:pPr>
      <w:r w:rsidRPr="00EA71D3">
        <w:rPr>
          <w:b/>
          <w:bCs/>
          <w:sz w:val="24"/>
          <w:szCs w:val="24"/>
          <w:lang w:val="fr-FR"/>
        </w:rPr>
        <w:t>B.</w:t>
      </w:r>
      <w:r w:rsidRPr="00EA71D3">
        <w:rPr>
          <w:rFonts w:asciiTheme="minorHAnsi" w:hAnsiTheme="minorHAnsi"/>
          <w:sz w:val="24"/>
          <w:szCs w:val="24"/>
          <w:lang w:val="fr-FR"/>
        </w:rPr>
        <w:tab/>
      </w:r>
      <w:r w:rsidRPr="00EA71D3">
        <w:rPr>
          <w:b/>
          <w:bCs/>
          <w:sz w:val="24"/>
          <w:szCs w:val="24"/>
          <w:lang w:val="fr-FR"/>
        </w:rPr>
        <w:t>Mesures visant à intégrer les interrelations entre la biodiversité et la santé dans la mise en œuvre du Cadre mondial de la biodiversité de Kunming-Montréal</w:t>
      </w:r>
    </w:p>
    <w:p w14:paraId="6FA13984" w14:textId="320679AA" w:rsidR="009E6D43" w:rsidRPr="00EA71D3" w:rsidRDefault="009E6D43" w:rsidP="009E6D43">
      <w:pPr>
        <w:pStyle w:val="CBD-Para1-Not-numbered"/>
        <w:rPr>
          <w:lang w:val="fr-FR"/>
        </w:rPr>
      </w:pPr>
      <w:r w:rsidRPr="00EA71D3">
        <w:rPr>
          <w:lang w:val="fr-FR"/>
        </w:rPr>
        <w:t>1</w:t>
      </w:r>
      <w:r w:rsidR="00E932AE">
        <w:rPr>
          <w:rFonts w:hint="eastAsia"/>
          <w:lang w:val="fr-FR" w:eastAsia="zh-CN"/>
        </w:rPr>
        <w:t>3</w:t>
      </w:r>
      <w:r w:rsidRPr="00EA71D3">
        <w:rPr>
          <w:lang w:val="fr-FR"/>
        </w:rPr>
        <w:t>.</w:t>
      </w:r>
      <w:r w:rsidRPr="00EA71D3">
        <w:rPr>
          <w:lang w:val="fr-FR"/>
        </w:rPr>
        <w:tab/>
        <w:t>Les interrelations entre la biodiversité et la santé sont prises en compte dans le Cadre à titre de l’une des questions relatives à sa mise en œuvre, comme suit :</w:t>
      </w:r>
    </w:p>
    <w:p w14:paraId="17288267" w14:textId="77777777" w:rsidR="009E6D43" w:rsidRPr="00EA71D3" w:rsidRDefault="009E6D43" w:rsidP="009E6D43">
      <w:pPr>
        <w:tabs>
          <w:tab w:val="left" w:pos="1134"/>
        </w:tabs>
        <w:spacing w:before="120" w:after="120"/>
        <w:ind w:left="1134"/>
        <w:rPr>
          <w:snapToGrid w:val="0"/>
          <w:szCs w:val="18"/>
          <w:lang w:val="fr-FR"/>
        </w:rPr>
      </w:pPr>
      <w:r w:rsidRPr="00EA71D3">
        <w:rPr>
          <w:snapToGrid w:val="0"/>
          <w:szCs w:val="18"/>
          <w:lang w:val="fr-FR"/>
        </w:rPr>
        <w:t>Le Cadre reconnaît les liens entre la biodiversité, la santé et les trois objectifs de la Convention. Sa mise en œuvre tient compte de l’approche « Une seule santé », parmi d’autres approches holistiques fondées sur la science, qui encouragent la collaboration entre de multiples secteurs, disciplines et communautés, et qui visent à améliorer et à préserver durablement la santé des personnes, des animaux, des plantes et des écosystèmes, en reconnaissant la nécessité d’un accès équitable aux outils et aux technologies, notamment aux médicaments, aux vaccins et aux autres produits de santé liés à la biodiversité, tout en soulignant la nécessité urgente de réduire les pressions exercées sur la biodiversité et de lutter contre la dégradation de l’environnement afin de réduire les risques pour la santé et, en tant que de besoin, d’élaborer des dispositions pratiques en matière d’accès et de partage des avantages</w:t>
      </w:r>
      <w:r w:rsidRPr="00EA71D3">
        <w:rPr>
          <w:rStyle w:val="FootnoteReference"/>
          <w:snapToGrid w:val="0"/>
          <w:szCs w:val="18"/>
          <w:lang w:val="fr-FR"/>
        </w:rPr>
        <w:footnoteReference w:id="26"/>
      </w:r>
      <w:r w:rsidRPr="00EA71D3">
        <w:rPr>
          <w:snapToGrid w:val="0"/>
          <w:szCs w:val="18"/>
          <w:lang w:val="fr-FR"/>
        </w:rPr>
        <w:t>.</w:t>
      </w:r>
    </w:p>
    <w:p w14:paraId="081F703B" w14:textId="7B4AE417" w:rsidR="009E6D43" w:rsidRPr="00EA71D3" w:rsidRDefault="009E6D43" w:rsidP="009E6D43">
      <w:pPr>
        <w:pStyle w:val="CBD-Para1-Not-numbered"/>
        <w:rPr>
          <w:lang w:val="fr-FR"/>
        </w:rPr>
      </w:pPr>
      <w:r w:rsidRPr="00EA71D3">
        <w:rPr>
          <w:lang w:val="fr-FR"/>
        </w:rPr>
        <w:t>1</w:t>
      </w:r>
      <w:r w:rsidR="00E932AE">
        <w:rPr>
          <w:rFonts w:hint="eastAsia"/>
          <w:lang w:val="fr-FR" w:eastAsia="zh-CN"/>
        </w:rPr>
        <w:t>4</w:t>
      </w:r>
      <w:r w:rsidRPr="00EA71D3">
        <w:rPr>
          <w:lang w:val="fr-FR"/>
        </w:rPr>
        <w:t>.</w:t>
      </w:r>
      <w:r w:rsidRPr="00EA71D3">
        <w:rPr>
          <w:lang w:val="fr-FR"/>
        </w:rPr>
        <w:tab/>
        <w:t>Le Cadre reconnaît également le droit humain de tout un chacun à un environnement propre, sain et durable</w:t>
      </w:r>
      <w:r w:rsidRPr="00EA71D3">
        <w:rPr>
          <w:rStyle w:val="FootnoteReference"/>
          <w:lang w:val="fr-FR"/>
        </w:rPr>
        <w:footnoteReference w:id="27"/>
      </w:r>
      <w:r w:rsidRPr="00EA71D3">
        <w:rPr>
          <w:lang w:val="fr-FR"/>
        </w:rPr>
        <w:t>.</w:t>
      </w:r>
    </w:p>
    <w:p w14:paraId="73CB526C" w14:textId="14D55160" w:rsidR="00DD7449" w:rsidRPr="00EA71D3" w:rsidRDefault="009E6D43" w:rsidP="009E6D43">
      <w:pPr>
        <w:pStyle w:val="CBD-Para1-Not-numbered"/>
        <w:rPr>
          <w:lang w:val="fr-FR"/>
        </w:rPr>
      </w:pPr>
      <w:r w:rsidRPr="00EA71D3">
        <w:rPr>
          <w:lang w:val="fr-FR"/>
        </w:rPr>
        <w:lastRenderedPageBreak/>
        <w:t>1</w:t>
      </w:r>
      <w:r w:rsidR="00E932AE">
        <w:rPr>
          <w:rFonts w:hint="eastAsia"/>
          <w:lang w:val="fr-FR" w:eastAsia="zh-CN"/>
        </w:rPr>
        <w:t>5</w:t>
      </w:r>
      <w:r w:rsidRPr="00EA71D3">
        <w:rPr>
          <w:lang w:val="fr-FR"/>
        </w:rPr>
        <w:t>.</w:t>
      </w:r>
      <w:r w:rsidRPr="00EA71D3">
        <w:rPr>
          <w:lang w:val="fr-FR"/>
        </w:rPr>
        <w:tab/>
        <w:t>Comme la santé de l’environnement et la santé et le bien-être de toutes les espèces sont interconnectées, toutes les mesures prises pour mettre le Cadre en œuvre présenteront des avantages communs pour toutes les espèces et pour la santé humaine. Les mesures visant à intégrer les interrelations entre la biodiversité et la santé à la mise en œuvre du Cadre sont également présentées dans le tableau ci-dessous.</w:t>
      </w:r>
    </w:p>
    <w:p w14:paraId="5A25E548" w14:textId="77777777" w:rsidR="00D91A8D" w:rsidRPr="00EA71D3" w:rsidRDefault="00D91A8D" w:rsidP="00DD7449">
      <w:pPr>
        <w:spacing w:before="240" w:after="120"/>
        <w:jc w:val="left"/>
        <w:rPr>
          <w:rFonts w:eastAsiaTheme="minorEastAsia"/>
          <w:b/>
          <w:bCs/>
          <w:kern w:val="2"/>
          <w:lang w:val="fr-FR" w:eastAsia="zh-CN"/>
          <w14:ligatures w14:val="standardContextual"/>
        </w:rPr>
        <w:sectPr w:rsidR="00D91A8D" w:rsidRPr="00EA71D3" w:rsidSect="00C94F27">
          <w:headerReference w:type="even" r:id="rId29"/>
          <w:headerReference w:type="default" r:id="rId30"/>
          <w:footerReference w:type="even" r:id="rId31"/>
          <w:footerReference w:type="default" r:id="rId32"/>
          <w:pgSz w:w="12240" w:h="15840"/>
          <w:pgMar w:top="1134" w:right="1440" w:bottom="1134" w:left="1440" w:header="709" w:footer="709" w:gutter="0"/>
          <w:cols w:space="708"/>
          <w:titlePg/>
          <w:docGrid w:linePitch="360"/>
        </w:sectPr>
      </w:pPr>
    </w:p>
    <w:p w14:paraId="7AD9E015" w14:textId="77777777" w:rsidR="00050E9A" w:rsidRPr="00EA71D3" w:rsidRDefault="00050E9A" w:rsidP="00DD7449">
      <w:pPr>
        <w:spacing w:before="240" w:after="120"/>
        <w:jc w:val="left"/>
        <w:rPr>
          <w:b/>
          <w:bCs/>
          <w:lang w:val="fr-FR"/>
        </w:rPr>
      </w:pPr>
      <w:r w:rsidRPr="00EA71D3">
        <w:rPr>
          <w:b/>
          <w:bCs/>
          <w:lang w:val="fr-FR"/>
        </w:rPr>
        <w:lastRenderedPageBreak/>
        <w:t xml:space="preserve">Mesures visant à intégrer les interrelations entre la biodiversité et la santé dans la mise en œuvre du Cadre mondial de la biodiversité de Kunming-Montréal </w:t>
      </w:r>
    </w:p>
    <w:tbl>
      <w:tblPr>
        <w:tblStyle w:val="TableGrid3"/>
        <w:tblW w:w="5115" w:type="pct"/>
        <w:tblInd w:w="-289" w:type="dxa"/>
        <w:tblLayout w:type="fixed"/>
        <w:tblLook w:val="04A0" w:firstRow="1" w:lastRow="0" w:firstColumn="1" w:lastColumn="0" w:noHBand="0" w:noVBand="1"/>
      </w:tblPr>
      <w:tblGrid>
        <w:gridCol w:w="2984"/>
        <w:gridCol w:w="3822"/>
        <w:gridCol w:w="7068"/>
      </w:tblGrid>
      <w:tr w:rsidR="002F7724" w:rsidRPr="00EA71D3" w14:paraId="38E6F8A9" w14:textId="77777777" w:rsidTr="004D47D0">
        <w:trPr>
          <w:tblHeader/>
        </w:trPr>
        <w:tc>
          <w:tcPr>
            <w:tcW w:w="2984" w:type="dxa"/>
          </w:tcPr>
          <w:p w14:paraId="2DD86C06" w14:textId="6C857FB1" w:rsidR="002F7724" w:rsidRPr="00EA71D3" w:rsidRDefault="000E6FDA" w:rsidP="004D47D0">
            <w:pPr>
              <w:spacing w:after="40"/>
              <w:jc w:val="left"/>
              <w:rPr>
                <w:rFonts w:asciiTheme="majorBidi" w:eastAsiaTheme="minorEastAsia" w:hAnsiTheme="majorBidi" w:cstheme="majorBidi"/>
                <w:i/>
                <w:iCs/>
                <w:color w:val="000000" w:themeColor="text1"/>
                <w:kern w:val="2"/>
                <w:sz w:val="22"/>
                <w:szCs w:val="22"/>
                <w:lang w:val="fr-FR"/>
                <w14:ligatures w14:val="standardContextual"/>
              </w:rPr>
            </w:pPr>
            <w:r w:rsidRPr="00EA71D3">
              <w:rPr>
                <w:rFonts w:asciiTheme="majorBidi" w:hAnsiTheme="majorBidi"/>
                <w:i/>
                <w:iCs/>
                <w:color w:val="000000" w:themeColor="text1"/>
                <w:sz w:val="22"/>
                <w:szCs w:val="22"/>
                <w:lang w:val="fr-FR"/>
              </w:rPr>
              <w:t>C</w:t>
            </w:r>
            <w:r w:rsidR="002F7724" w:rsidRPr="00EA71D3">
              <w:rPr>
                <w:rFonts w:asciiTheme="majorBidi" w:hAnsiTheme="majorBidi"/>
                <w:i/>
                <w:iCs/>
                <w:color w:val="000000" w:themeColor="text1"/>
                <w:sz w:val="22"/>
                <w:szCs w:val="22"/>
                <w:lang w:val="fr-FR"/>
              </w:rPr>
              <w:t>ibles du Cadre</w:t>
            </w:r>
            <w:r w:rsidR="002F7724" w:rsidRPr="00EA71D3">
              <w:rPr>
                <w:rFonts w:asciiTheme="majorBidi" w:hAnsiTheme="majorBidi"/>
                <w:i/>
                <w:iCs/>
                <w:color w:val="000000" w:themeColor="text1"/>
                <w:sz w:val="22"/>
                <w:szCs w:val="22"/>
                <w:vertAlign w:val="superscript"/>
                <w:lang w:val="fr-FR"/>
              </w:rPr>
              <w:t>a</w:t>
            </w:r>
          </w:p>
        </w:tc>
        <w:tc>
          <w:tcPr>
            <w:tcW w:w="3822" w:type="dxa"/>
          </w:tcPr>
          <w:p w14:paraId="62B4DEA5" w14:textId="77777777" w:rsidR="002F7724" w:rsidRPr="00EA71D3" w:rsidRDefault="002F7724" w:rsidP="004D47D0">
            <w:pPr>
              <w:spacing w:after="40"/>
              <w:jc w:val="left"/>
              <w:rPr>
                <w:rFonts w:asciiTheme="majorBidi" w:eastAsiaTheme="minorEastAsia" w:hAnsiTheme="majorBidi" w:cstheme="majorBidi"/>
                <w:i/>
                <w:iCs/>
                <w:color w:val="000000" w:themeColor="text1"/>
                <w:kern w:val="2"/>
                <w:sz w:val="22"/>
                <w:szCs w:val="22"/>
                <w:lang w:val="fr-FR"/>
                <w14:ligatures w14:val="standardContextual"/>
              </w:rPr>
            </w:pPr>
            <w:r w:rsidRPr="00EA71D3">
              <w:rPr>
                <w:rFonts w:asciiTheme="majorBidi" w:hAnsiTheme="majorBidi"/>
                <w:i/>
                <w:iCs/>
                <w:color w:val="000000" w:themeColor="text1"/>
                <w:sz w:val="22"/>
                <w:szCs w:val="22"/>
                <w:lang w:val="fr-FR"/>
              </w:rPr>
              <w:t>Importance pour la santé</w:t>
            </w:r>
            <w:r w:rsidRPr="00EA71D3">
              <w:rPr>
                <w:rFonts w:asciiTheme="majorBidi" w:hAnsiTheme="majorBidi"/>
                <w:i/>
                <w:iCs/>
                <w:color w:val="000000" w:themeColor="text1"/>
                <w:sz w:val="22"/>
                <w:szCs w:val="22"/>
                <w:vertAlign w:val="superscript"/>
                <w:lang w:val="fr-FR"/>
              </w:rPr>
              <w:t>b</w:t>
            </w:r>
          </w:p>
        </w:tc>
        <w:tc>
          <w:tcPr>
            <w:tcW w:w="7068" w:type="dxa"/>
          </w:tcPr>
          <w:p w14:paraId="4FCE502F" w14:textId="77777777" w:rsidR="002F7724" w:rsidRPr="00EA71D3" w:rsidRDefault="002F7724" w:rsidP="004D47D0">
            <w:pPr>
              <w:spacing w:after="40"/>
              <w:jc w:val="left"/>
              <w:rPr>
                <w:rFonts w:asciiTheme="majorBidi" w:eastAsiaTheme="minorEastAsia" w:hAnsiTheme="majorBidi" w:cstheme="majorBidi"/>
                <w:i/>
                <w:iCs/>
                <w:color w:val="000000" w:themeColor="text1"/>
                <w:kern w:val="2"/>
                <w:sz w:val="22"/>
                <w:szCs w:val="22"/>
                <w:lang w:val="fr-FR"/>
                <w14:ligatures w14:val="standardContextual"/>
              </w:rPr>
            </w:pPr>
            <w:r w:rsidRPr="00EA71D3">
              <w:rPr>
                <w:rFonts w:asciiTheme="majorBidi" w:hAnsiTheme="majorBidi"/>
                <w:i/>
                <w:iCs/>
                <w:color w:val="000000" w:themeColor="text1"/>
                <w:sz w:val="22"/>
                <w:szCs w:val="22"/>
                <w:lang w:val="fr-FR"/>
              </w:rPr>
              <w:t>Mesures visant à tirer des coavantages sur le plan de la biodiversité et de la santé, à mettre en œuvre en tenant compte de l’initiative « Une seule santé » et des autres approches holistiques</w:t>
            </w:r>
          </w:p>
        </w:tc>
      </w:tr>
      <w:tr w:rsidR="002F7724" w:rsidRPr="00EA71D3" w14:paraId="5C524922" w14:textId="77777777" w:rsidTr="004D47D0">
        <w:tc>
          <w:tcPr>
            <w:tcW w:w="13874" w:type="dxa"/>
            <w:gridSpan w:val="3"/>
          </w:tcPr>
          <w:p w14:paraId="0FDE4037" w14:textId="77777777" w:rsidR="002F7724" w:rsidRPr="00EA71D3" w:rsidRDefault="002F7724" w:rsidP="004D47D0">
            <w:pPr>
              <w:spacing w:before="40" w:after="40"/>
              <w:jc w:val="left"/>
              <w:rPr>
                <w:rFonts w:asciiTheme="majorBidi" w:eastAsiaTheme="minorEastAsia" w:hAnsiTheme="majorBidi" w:cstheme="majorBidi"/>
                <w:sz w:val="22"/>
                <w:szCs w:val="22"/>
                <w:lang w:val="fr-FR"/>
              </w:rPr>
            </w:pPr>
            <w:r w:rsidRPr="00EA71D3">
              <w:rPr>
                <w:rFonts w:asciiTheme="majorBidi" w:hAnsiTheme="majorBidi"/>
                <w:b/>
                <w:color w:val="000000" w:themeColor="text1"/>
                <w:sz w:val="22"/>
                <w:szCs w:val="22"/>
                <w:lang w:val="fr-FR"/>
              </w:rPr>
              <w:t>Utilisation des terres et des mers</w:t>
            </w:r>
          </w:p>
        </w:tc>
      </w:tr>
      <w:tr w:rsidR="002F7724" w:rsidRPr="00EA71D3" w14:paraId="68CACAB4" w14:textId="77777777" w:rsidTr="004D47D0">
        <w:tc>
          <w:tcPr>
            <w:tcW w:w="2984" w:type="dxa"/>
          </w:tcPr>
          <w:p w14:paraId="5BCC7E4F" w14:textId="77777777" w:rsidR="002F7724" w:rsidRPr="00EA71D3" w:rsidRDefault="002F7724" w:rsidP="004D47D0">
            <w:pPr>
              <w:spacing w:before="40" w:after="40"/>
              <w:jc w:val="left"/>
              <w:rPr>
                <w:rFonts w:asciiTheme="majorBidi" w:eastAsiaTheme="minorEastAsia" w:hAnsiTheme="majorBidi" w:cstheme="majorBidi"/>
                <w:bCs/>
                <w:color w:val="000000" w:themeColor="text1"/>
                <w:kern w:val="2"/>
                <w:sz w:val="22"/>
                <w:szCs w:val="22"/>
                <w:lang w:val="fr-FR"/>
                <w14:ligatures w14:val="standardContextual"/>
              </w:rPr>
            </w:pPr>
            <w:r w:rsidRPr="00EA71D3">
              <w:rPr>
                <w:rFonts w:asciiTheme="majorBidi" w:hAnsiTheme="majorBidi"/>
                <w:bCs/>
                <w:color w:val="000000" w:themeColor="text1"/>
                <w:sz w:val="22"/>
                <w:szCs w:val="22"/>
                <w:lang w:val="fr-FR"/>
              </w:rPr>
              <w:t>Cibles 1, 2 et 3</w:t>
            </w:r>
          </w:p>
        </w:tc>
        <w:tc>
          <w:tcPr>
            <w:tcW w:w="3822" w:type="dxa"/>
          </w:tcPr>
          <w:p w14:paraId="4F167830" w14:textId="77777777" w:rsidR="002F7724" w:rsidRPr="00EA71D3" w:rsidRDefault="002F7724" w:rsidP="004D47D0">
            <w:pPr>
              <w:jc w:val="left"/>
              <w:rPr>
                <w:rFonts w:asciiTheme="majorBidi" w:eastAsiaTheme="minorEastAsia" w:hAnsiTheme="majorBidi" w:cstheme="majorBidi"/>
                <w:kern w:val="2"/>
                <w:sz w:val="22"/>
                <w:szCs w:val="22"/>
                <w:lang w:val="fr-FR"/>
                <w14:ligatures w14:val="standardContextual"/>
              </w:rPr>
            </w:pPr>
            <w:r w:rsidRPr="00EA71D3">
              <w:rPr>
                <w:rFonts w:asciiTheme="majorBidi" w:hAnsiTheme="majorBidi"/>
                <w:sz w:val="22"/>
                <w:szCs w:val="22"/>
                <w:lang w:val="fr-FR"/>
              </w:rPr>
              <w:t>Réduire la perte, la dégradation et la fragmentation des habitats fauniques et l’empiétement sur les zones importantes pour la biodiversité aide la nature à continuer de fournir ses contributions envers les personnes, contributions qui, à leur tour, favorisent la santé et diminuent l’émergence et la transmission de maladies entre les espèces sauvages, le bétail et les personnes.</w:t>
            </w:r>
          </w:p>
        </w:tc>
        <w:tc>
          <w:tcPr>
            <w:tcW w:w="7068" w:type="dxa"/>
          </w:tcPr>
          <w:p w14:paraId="2C0D9AF6" w14:textId="08159476" w:rsidR="002F7724" w:rsidRPr="00EA71D3" w:rsidRDefault="002F7724" w:rsidP="004D47D0">
            <w:pPr>
              <w:spacing w:before="60" w:after="60"/>
              <w:jc w:val="left"/>
              <w:rPr>
                <w:rFonts w:asciiTheme="majorBidi" w:eastAsiaTheme="minorEastAsia" w:hAnsiTheme="majorBidi" w:cstheme="majorBidi"/>
                <w:sz w:val="22"/>
                <w:szCs w:val="22"/>
                <w:lang w:val="fr-FR"/>
              </w:rPr>
            </w:pPr>
            <w:r w:rsidRPr="00EA71D3">
              <w:rPr>
                <w:rFonts w:asciiTheme="majorBidi" w:hAnsiTheme="majorBidi"/>
                <w:sz w:val="22"/>
                <w:szCs w:val="22"/>
                <w:lang w:val="fr-FR"/>
              </w:rPr>
              <w:t xml:space="preserve">1. Encourager les efforts pour tenir compte de la biodiversité et de la santé dans la planification de l’utilisation des terres et des mers, ainsi que dans les politiques, les plans et les mesures de conservation et restauration afin de cerner les coavantages possibles et les compromis pour la biodiversité et la santé, y compris en incluant des évaluations des incidences sur la santé de manière à promouvoir les diverses dimensions de la santé et réduire et atténuer les risques de maladie chez les personnes, notamment les peuples autochtones et les communautés locales, les femmes, les jeunes et les personnes âgées, </w:t>
            </w:r>
            <w:r w:rsidR="000E6FDA" w:rsidRPr="00EA71D3">
              <w:rPr>
                <w:rFonts w:asciiTheme="majorBidi" w:hAnsiTheme="majorBidi"/>
                <w:sz w:val="22"/>
                <w:szCs w:val="22"/>
                <w:lang w:val="fr-FR"/>
              </w:rPr>
              <w:t xml:space="preserve">ainsi que </w:t>
            </w:r>
            <w:r w:rsidRPr="00EA71D3">
              <w:rPr>
                <w:rFonts w:asciiTheme="majorBidi" w:hAnsiTheme="majorBidi"/>
                <w:sz w:val="22"/>
                <w:szCs w:val="22"/>
                <w:lang w:val="fr-FR"/>
              </w:rPr>
              <w:t>le bétail et les espèces sauvages, en tenant compte des risques de propagation et de résurgence des maladies.</w:t>
            </w:r>
          </w:p>
          <w:p w14:paraId="20FE9AD2" w14:textId="68E60877" w:rsidR="002F7724" w:rsidRPr="00EA71D3" w:rsidRDefault="002F7724" w:rsidP="004D47D0">
            <w:pPr>
              <w:spacing w:before="60" w:after="60"/>
              <w:jc w:val="left"/>
              <w:rPr>
                <w:rFonts w:asciiTheme="majorBidi" w:eastAsiaTheme="minorEastAsia" w:hAnsiTheme="majorBidi" w:cstheme="majorBidi"/>
                <w:sz w:val="22"/>
                <w:szCs w:val="22"/>
                <w:lang w:val="fr-FR"/>
              </w:rPr>
            </w:pPr>
            <w:r w:rsidRPr="00EA71D3">
              <w:rPr>
                <w:rFonts w:asciiTheme="majorBidi" w:hAnsiTheme="majorBidi"/>
                <w:sz w:val="22"/>
                <w:szCs w:val="22"/>
                <w:lang w:val="fr-FR"/>
              </w:rPr>
              <w:t>2. Encourager les efforts pour améliorer les systèmes de suivi selon les capacités nationales pour que soit incluse l’évaluation des impacts des</w:t>
            </w:r>
            <w:r w:rsidR="000E6FDA" w:rsidRPr="00EA71D3">
              <w:rPr>
                <w:rFonts w:asciiTheme="majorBidi" w:hAnsiTheme="majorBidi"/>
                <w:sz w:val="22"/>
                <w:szCs w:val="22"/>
                <w:lang w:val="fr-FR"/>
              </w:rPr>
              <w:t xml:space="preserve"> activités liées à l'utilisation des terres et des mers,</w:t>
            </w:r>
            <w:r w:rsidR="000E6FDA" w:rsidRPr="00EA71D3">
              <w:rPr>
                <w:lang w:val="fr-FR"/>
              </w:rPr>
              <w:t xml:space="preserve"> </w:t>
            </w:r>
            <w:r w:rsidR="000E6FDA" w:rsidRPr="00EA71D3">
              <w:rPr>
                <w:rFonts w:asciiTheme="majorBidi" w:hAnsiTheme="majorBidi"/>
                <w:sz w:val="22"/>
                <w:szCs w:val="22"/>
                <w:lang w:val="fr-FR"/>
              </w:rPr>
              <w:t xml:space="preserve">notamment en matière de conservation et de restauration, </w:t>
            </w:r>
            <w:r w:rsidRPr="00EA71D3">
              <w:rPr>
                <w:rFonts w:asciiTheme="majorBidi" w:hAnsiTheme="majorBidi"/>
                <w:sz w:val="22"/>
                <w:szCs w:val="22"/>
                <w:lang w:val="fr-FR"/>
              </w:rPr>
              <w:t>sur les êtres humains, les animaux et les écosystèmes, y compris en établissant des sites de surveillance dans les zones à risque élevé où les conditions environnementales changent rapidement et deviennent propices à l’émergence de maladies.</w:t>
            </w:r>
          </w:p>
          <w:p w14:paraId="628640C1" w14:textId="77777777" w:rsidR="002F7724" w:rsidRPr="00EA71D3" w:rsidRDefault="002F7724" w:rsidP="004D47D0">
            <w:pPr>
              <w:spacing w:before="60" w:after="60"/>
              <w:jc w:val="left"/>
              <w:rPr>
                <w:rFonts w:asciiTheme="majorBidi" w:hAnsiTheme="majorBidi"/>
                <w:sz w:val="22"/>
                <w:szCs w:val="22"/>
                <w:lang w:val="fr-FR"/>
              </w:rPr>
            </w:pPr>
            <w:r w:rsidRPr="00EA71D3">
              <w:rPr>
                <w:rFonts w:asciiTheme="majorBidi" w:hAnsiTheme="majorBidi"/>
                <w:color w:val="000000"/>
                <w:sz w:val="22"/>
                <w:szCs w:val="22"/>
                <w:lang w:val="fr-FR"/>
              </w:rPr>
              <w:t xml:space="preserve">3. </w:t>
            </w:r>
            <w:r w:rsidRPr="00EA71D3">
              <w:rPr>
                <w:rFonts w:asciiTheme="majorBidi" w:hAnsiTheme="majorBidi"/>
                <w:sz w:val="22"/>
                <w:szCs w:val="22"/>
                <w:lang w:val="fr-FR"/>
              </w:rPr>
              <w:t>Prendre en compte les interrelations entre la biodiversité et la santé dans les politiques et programmes en matière d’eau, d’assainissement et d’hygiène et dans les mesures qui visent à protéger et gérer de manière durable les écosystèmes qui fournissent de l’eau.</w:t>
            </w:r>
          </w:p>
          <w:p w14:paraId="536F1D7B" w14:textId="2DC4476B" w:rsidR="002F7724" w:rsidRPr="00EA71D3" w:rsidRDefault="000E6FDA" w:rsidP="004D47D0">
            <w:pPr>
              <w:spacing w:before="60" w:after="60"/>
              <w:jc w:val="left"/>
              <w:rPr>
                <w:rFonts w:asciiTheme="majorBidi" w:eastAsiaTheme="minorEastAsia" w:hAnsiTheme="majorBidi" w:cstheme="majorBidi"/>
                <w:color w:val="000000"/>
                <w:kern w:val="22"/>
                <w:sz w:val="22"/>
                <w:szCs w:val="22"/>
                <w:lang w:val="fr-FR"/>
              </w:rPr>
            </w:pPr>
            <w:r w:rsidRPr="00EA71D3">
              <w:rPr>
                <w:rFonts w:asciiTheme="majorBidi" w:hAnsiTheme="majorBidi"/>
                <w:sz w:val="22"/>
                <w:szCs w:val="22"/>
                <w:lang w:val="fr-FR"/>
              </w:rPr>
              <w:t>4</w:t>
            </w:r>
            <w:r w:rsidR="002F7724" w:rsidRPr="00EA71D3">
              <w:rPr>
                <w:rFonts w:asciiTheme="majorBidi" w:hAnsiTheme="majorBidi"/>
                <w:sz w:val="22"/>
                <w:szCs w:val="22"/>
                <w:lang w:val="fr-FR"/>
              </w:rPr>
              <w:t>. Prendre en considération les contributions des peuples autochtones et des communautés locales et des pratiques traditionnelles afin d’atténuer les impacts négatifs sur la santé et dans l’utilisation des terres et des mers, la planification et les mesures de conservation et de restauration.</w:t>
            </w:r>
          </w:p>
        </w:tc>
      </w:tr>
      <w:tr w:rsidR="002F7724" w:rsidRPr="00EA71D3" w14:paraId="17B5590A" w14:textId="77777777" w:rsidTr="004D47D0">
        <w:tc>
          <w:tcPr>
            <w:tcW w:w="13874" w:type="dxa"/>
            <w:gridSpan w:val="3"/>
          </w:tcPr>
          <w:p w14:paraId="46CF3F1F" w14:textId="77777777" w:rsidR="002F7724" w:rsidRPr="00EA71D3" w:rsidRDefault="002F7724" w:rsidP="004D47D0">
            <w:pPr>
              <w:spacing w:before="40" w:after="40"/>
              <w:jc w:val="left"/>
              <w:rPr>
                <w:rFonts w:asciiTheme="majorBidi" w:eastAsiaTheme="minorEastAsia" w:hAnsiTheme="majorBidi" w:cstheme="majorBidi"/>
                <w:b/>
                <w:bCs/>
                <w:color w:val="000000" w:themeColor="text1"/>
                <w:kern w:val="2"/>
                <w:sz w:val="22"/>
                <w:szCs w:val="22"/>
                <w:lang w:val="fr-FR"/>
                <w14:ligatures w14:val="standardContextual"/>
              </w:rPr>
            </w:pPr>
            <w:r w:rsidRPr="00EA71D3">
              <w:rPr>
                <w:rFonts w:asciiTheme="majorBidi" w:hAnsiTheme="majorBidi"/>
                <w:b/>
                <w:bCs/>
                <w:color w:val="000000" w:themeColor="text1"/>
                <w:sz w:val="22"/>
                <w:szCs w:val="22"/>
                <w:lang w:val="fr-FR"/>
              </w:rPr>
              <w:t>Gestion des espèces</w:t>
            </w:r>
          </w:p>
        </w:tc>
      </w:tr>
      <w:tr w:rsidR="002F7724" w:rsidRPr="00EA71D3" w14:paraId="0D1DF061" w14:textId="77777777" w:rsidTr="004D47D0">
        <w:tc>
          <w:tcPr>
            <w:tcW w:w="2984" w:type="dxa"/>
          </w:tcPr>
          <w:p w14:paraId="232580C5" w14:textId="77777777" w:rsidR="002F7724" w:rsidRPr="00EA71D3" w:rsidRDefault="002F7724" w:rsidP="004D47D0">
            <w:pPr>
              <w:spacing w:before="40" w:after="40"/>
              <w:jc w:val="left"/>
              <w:rPr>
                <w:rFonts w:asciiTheme="majorBidi" w:eastAsiaTheme="minorEastAsia" w:hAnsiTheme="majorBidi" w:cstheme="majorBidi"/>
                <w:color w:val="000000" w:themeColor="text1"/>
                <w:kern w:val="2"/>
                <w:sz w:val="22"/>
                <w:szCs w:val="22"/>
                <w:lang w:val="fr-FR"/>
                <w14:ligatures w14:val="standardContextual"/>
              </w:rPr>
            </w:pPr>
            <w:r w:rsidRPr="00EA71D3">
              <w:rPr>
                <w:rFonts w:asciiTheme="majorBidi" w:hAnsiTheme="majorBidi"/>
                <w:bCs/>
                <w:color w:val="000000" w:themeColor="text1"/>
                <w:sz w:val="22"/>
                <w:szCs w:val="22"/>
                <w:lang w:val="fr-FR"/>
              </w:rPr>
              <w:lastRenderedPageBreak/>
              <w:t>Cibles 4, 5 et 9</w:t>
            </w:r>
          </w:p>
        </w:tc>
        <w:tc>
          <w:tcPr>
            <w:tcW w:w="3822" w:type="dxa"/>
          </w:tcPr>
          <w:p w14:paraId="70C9B884" w14:textId="77777777" w:rsidR="002F7724" w:rsidRPr="00EA71D3" w:rsidRDefault="002F7724" w:rsidP="004D47D0">
            <w:pPr>
              <w:spacing w:before="60" w:after="60"/>
              <w:jc w:val="left"/>
              <w:rPr>
                <w:rFonts w:asciiTheme="majorBidi" w:hAnsiTheme="majorBidi"/>
                <w:sz w:val="22"/>
                <w:szCs w:val="22"/>
                <w:lang w:val="fr-FR"/>
              </w:rPr>
            </w:pPr>
            <w:r w:rsidRPr="00EA71D3">
              <w:rPr>
                <w:rFonts w:asciiTheme="majorBidi" w:hAnsiTheme="majorBidi"/>
                <w:sz w:val="22"/>
                <w:szCs w:val="22"/>
                <w:lang w:val="fr-FR"/>
              </w:rPr>
              <w:t>La gestion durable des populations d’espèces sauvages est importante pour la santé des écosystèmes et la prestation des services écosystémiques, comme la sécurité alimentaire, la nutrition, les découvertes biomédicales et la médecine, et cette gestion permettra aux personnes de continuer à tirer des avantages de ces populations.</w:t>
            </w:r>
            <w:r w:rsidRPr="00EA71D3">
              <w:rPr>
                <w:rFonts w:asciiTheme="majorBidi" w:hAnsiTheme="majorBidi"/>
                <w:color w:val="000000" w:themeColor="text1"/>
                <w:sz w:val="22"/>
                <w:szCs w:val="22"/>
                <w:lang w:val="fr-FR"/>
              </w:rPr>
              <w:t xml:space="preserve"> La protection de l’utilisation coutumière durable de ces espèces par les peuples autochtones et les communautés locales et ceux qui dépendent tout spécialement de ces espèces sauvages est particulièrement importante. </w:t>
            </w:r>
            <w:r w:rsidRPr="00EA71D3">
              <w:rPr>
                <w:rFonts w:asciiTheme="majorBidi" w:hAnsiTheme="majorBidi"/>
                <w:sz w:val="22"/>
                <w:szCs w:val="22"/>
                <w:lang w:val="fr-FR"/>
              </w:rPr>
              <w:t>En même temps, améliorer la réglementation et la gestion de l’utilisation et du commerce d’espèces sauvages et réduire les conflits entre l’être humain et les espèces sauvages peut diminuer la transmission des maladies infectieuses. Maintenir la diversité génétique des espèces sauvages, des espèces domestiquées et des espèces sauvages apparentées en partenariat avec les peuples autochtones et les communautés locales augmente la résistance aux futurs agents pathogènes, la sécurité alimentaire et les valeurs nutritionnelles pour le bienfait de l’environnement et de la santé humaine.</w:t>
            </w:r>
          </w:p>
          <w:p w14:paraId="05B88D94" w14:textId="5687453C" w:rsidR="002F7724" w:rsidRPr="00EA71D3" w:rsidRDefault="002F7724" w:rsidP="004D47D0">
            <w:pPr>
              <w:spacing w:before="60" w:after="60"/>
              <w:jc w:val="left"/>
              <w:rPr>
                <w:rFonts w:asciiTheme="majorBidi" w:eastAsiaTheme="minorEastAsia" w:hAnsiTheme="majorBidi" w:cstheme="majorBidi"/>
                <w:kern w:val="2"/>
                <w:sz w:val="22"/>
                <w:szCs w:val="22"/>
                <w:lang w:val="fr-FR"/>
                <w14:ligatures w14:val="standardContextual"/>
              </w:rPr>
            </w:pPr>
            <w:r w:rsidRPr="00EA71D3">
              <w:rPr>
                <w:rFonts w:asciiTheme="majorBidi" w:hAnsiTheme="majorBidi"/>
                <w:sz w:val="22"/>
                <w:szCs w:val="22"/>
                <w:lang w:val="fr-FR"/>
              </w:rPr>
              <w:t xml:space="preserve">[La conservation des espèces sauvages qui agissent en qualité de réservoirs de </w:t>
            </w:r>
            <w:r w:rsidRPr="00EA71D3">
              <w:rPr>
                <w:rFonts w:asciiTheme="majorBidi" w:hAnsiTheme="majorBidi"/>
                <w:sz w:val="22"/>
                <w:szCs w:val="22"/>
                <w:lang w:val="fr-FR"/>
              </w:rPr>
              <w:lastRenderedPageBreak/>
              <w:t xml:space="preserve">virus et la diminution des contacts non sécuritaires entre les humains, leur bétail et les animaux sauvages améliorent la possibilité de réduire l’émergence de maladies infectieuses en conservant.] </w:t>
            </w:r>
          </w:p>
        </w:tc>
        <w:tc>
          <w:tcPr>
            <w:tcW w:w="7068" w:type="dxa"/>
          </w:tcPr>
          <w:p w14:paraId="141C105B" w14:textId="27200E1F" w:rsidR="002F7724" w:rsidRPr="00EA71D3" w:rsidRDefault="002F7724" w:rsidP="004D47D0">
            <w:pPr>
              <w:spacing w:before="60" w:after="60"/>
              <w:jc w:val="left"/>
              <w:rPr>
                <w:rFonts w:asciiTheme="majorBidi" w:hAnsiTheme="majorBidi" w:cstheme="majorBidi"/>
                <w:snapToGrid w:val="0"/>
                <w:color w:val="000000" w:themeColor="text1"/>
                <w:sz w:val="22"/>
                <w:szCs w:val="22"/>
                <w:lang w:val="fr-FR"/>
              </w:rPr>
            </w:pPr>
            <w:r w:rsidRPr="00EA71D3">
              <w:rPr>
                <w:rFonts w:asciiTheme="majorBidi" w:hAnsiTheme="majorBidi"/>
                <w:snapToGrid w:val="0"/>
                <w:color w:val="000000" w:themeColor="text1"/>
                <w:sz w:val="22"/>
                <w:szCs w:val="22"/>
                <w:lang w:val="fr-FR"/>
              </w:rPr>
              <w:lastRenderedPageBreak/>
              <w:t>1. Protéger</w:t>
            </w:r>
            <w:r w:rsidRPr="00EA71D3">
              <w:rPr>
                <w:rFonts w:asciiTheme="majorBidi" w:hAnsiTheme="majorBidi"/>
                <w:snapToGrid w:val="0"/>
                <w:sz w:val="22"/>
                <w:szCs w:val="22"/>
                <w:lang w:val="fr-FR"/>
              </w:rPr>
              <w:t xml:space="preserve"> </w:t>
            </w:r>
            <w:r w:rsidRPr="00EA71D3">
              <w:rPr>
                <w:rFonts w:asciiTheme="majorBidi" w:hAnsiTheme="majorBidi"/>
                <w:sz w:val="22"/>
                <w:szCs w:val="22"/>
                <w:lang w:val="fr-FR"/>
              </w:rPr>
              <w:t>l’</w:t>
            </w:r>
            <w:r w:rsidRPr="00EA71D3">
              <w:rPr>
                <w:rFonts w:asciiTheme="majorBidi" w:hAnsiTheme="majorBidi"/>
                <w:snapToGrid w:val="0"/>
                <w:sz w:val="22"/>
                <w:szCs w:val="22"/>
                <w:lang w:val="fr-FR"/>
              </w:rPr>
              <w:t xml:space="preserve">utilisation coutumière durable de la biodiversité et l’intendance de </w:t>
            </w:r>
            <w:r w:rsidR="000E6FDA" w:rsidRPr="00EA71D3">
              <w:rPr>
                <w:rFonts w:asciiTheme="majorBidi" w:hAnsiTheme="majorBidi"/>
                <w:snapToGrid w:val="0"/>
                <w:sz w:val="22"/>
                <w:szCs w:val="22"/>
                <w:lang w:val="fr-FR"/>
              </w:rPr>
              <w:t>l’</w:t>
            </w:r>
            <w:r w:rsidRPr="00EA71D3">
              <w:rPr>
                <w:rFonts w:asciiTheme="majorBidi" w:hAnsiTheme="majorBidi"/>
                <w:snapToGrid w:val="0"/>
                <w:sz w:val="22"/>
                <w:szCs w:val="22"/>
                <w:lang w:val="fr-FR"/>
              </w:rPr>
              <w:t xml:space="preserve">écosystème par les peuples autochtones et les communautés locales dans les zones protégées et les aires visées par d’autres mesures efficaces de conservations fondées sur les aires, ainsi que les territoires autochtones et traditionnels, et les avantages connexes de cette utilisation pour la santé. </w:t>
            </w:r>
          </w:p>
          <w:p w14:paraId="13AC1F45" w14:textId="77777777" w:rsidR="002F7724" w:rsidRPr="00EA71D3" w:rsidRDefault="002F7724" w:rsidP="004D47D0">
            <w:pPr>
              <w:spacing w:before="60" w:after="60"/>
              <w:jc w:val="left"/>
              <w:rPr>
                <w:rFonts w:asciiTheme="majorBidi" w:hAnsiTheme="majorBidi" w:cstheme="majorBidi"/>
                <w:snapToGrid w:val="0"/>
                <w:color w:val="000000" w:themeColor="text1"/>
                <w:sz w:val="22"/>
                <w:szCs w:val="22"/>
                <w:lang w:val="fr-FR"/>
              </w:rPr>
            </w:pPr>
            <w:r w:rsidRPr="00EA71D3">
              <w:rPr>
                <w:rFonts w:asciiTheme="majorBidi" w:hAnsiTheme="majorBidi"/>
                <w:snapToGrid w:val="0"/>
                <w:color w:val="000000" w:themeColor="text1"/>
                <w:sz w:val="22"/>
                <w:szCs w:val="22"/>
                <w:lang w:val="fr-FR"/>
              </w:rPr>
              <w:t xml:space="preserve">2. </w:t>
            </w:r>
            <w:r w:rsidRPr="00EA71D3">
              <w:rPr>
                <w:rFonts w:asciiTheme="majorBidi" w:hAnsiTheme="majorBidi"/>
                <w:sz w:val="22"/>
                <w:szCs w:val="22"/>
                <w:lang w:val="fr-FR"/>
              </w:rPr>
              <w:t>Tenir compte</w:t>
            </w:r>
            <w:r w:rsidRPr="00EA71D3">
              <w:rPr>
                <w:rFonts w:asciiTheme="majorBidi" w:hAnsiTheme="majorBidi"/>
                <w:snapToGrid w:val="0"/>
                <w:color w:val="000000" w:themeColor="text1"/>
                <w:sz w:val="22"/>
                <w:szCs w:val="22"/>
                <w:lang w:val="fr-FR"/>
              </w:rPr>
              <w:t xml:space="preserve"> du rôle des espèces et de la diversité génétique dans la production d’aliments sains, la sécurité alimentaire, la médecine et autres biens pour veiller à ce que l’utilisation médicinale des espèces sauvages, y compris dans la médecine traditionnelle, soit durable, sécuritaire et légale ; et, dans le cas des espèces menacées ou protégées, encourager l’utilisation de mesures de conservation, ainsi que d’autres sources durables à des fins médicinales lorsque possible.</w:t>
            </w:r>
          </w:p>
          <w:p w14:paraId="4D3853FC" w14:textId="77777777" w:rsidR="002F7724" w:rsidRPr="00EA71D3" w:rsidRDefault="002F7724" w:rsidP="004D47D0">
            <w:pPr>
              <w:spacing w:before="60" w:after="60"/>
              <w:jc w:val="left"/>
              <w:rPr>
                <w:rFonts w:asciiTheme="majorBidi" w:hAnsiTheme="majorBidi" w:cstheme="majorBidi"/>
                <w:snapToGrid w:val="0"/>
                <w:color w:val="000000" w:themeColor="text1"/>
                <w:sz w:val="22"/>
                <w:szCs w:val="22"/>
                <w:lang w:val="fr-FR"/>
              </w:rPr>
            </w:pPr>
            <w:r w:rsidRPr="00EA71D3">
              <w:rPr>
                <w:rFonts w:asciiTheme="majorBidi" w:hAnsiTheme="majorBidi"/>
                <w:snapToGrid w:val="0"/>
                <w:color w:val="000000" w:themeColor="text1"/>
                <w:sz w:val="22"/>
                <w:szCs w:val="22"/>
                <w:lang w:val="fr-FR"/>
              </w:rPr>
              <w:t>3. Améliorer, conformément aux autres accords internationaux et selon les capacités du pays, la réglementation, la gestion et l’utilisation et le commerce des espèces sauvages, de manière à ce qu’ils soient durables et sécuritaires pour la santé humaine et celle des espèces sauvages, comme suit :</w:t>
            </w:r>
          </w:p>
          <w:p w14:paraId="04FAD40D" w14:textId="0D39FC4D" w:rsidR="002F7724" w:rsidRPr="00EA71D3" w:rsidRDefault="002F7724" w:rsidP="004D47D0">
            <w:pPr>
              <w:tabs>
                <w:tab w:val="left" w:pos="691"/>
              </w:tabs>
              <w:spacing w:before="40" w:after="40"/>
              <w:ind w:firstLine="188"/>
              <w:jc w:val="left"/>
              <w:rPr>
                <w:rFonts w:asciiTheme="majorBidi" w:hAnsiTheme="majorBidi" w:cstheme="majorBidi"/>
                <w:snapToGrid w:val="0"/>
                <w:color w:val="000000" w:themeColor="text1"/>
                <w:sz w:val="22"/>
                <w:szCs w:val="22"/>
                <w:lang w:val="fr-FR"/>
              </w:rPr>
            </w:pPr>
            <w:r w:rsidRPr="00EA71D3">
              <w:rPr>
                <w:rFonts w:asciiTheme="majorBidi" w:hAnsiTheme="majorBidi"/>
                <w:snapToGrid w:val="0"/>
                <w:color w:val="000000" w:themeColor="text1"/>
                <w:sz w:val="22"/>
                <w:szCs w:val="22"/>
                <w:lang w:val="fr-FR"/>
              </w:rPr>
              <w:t xml:space="preserve">a) Reconnaître et gérer les </w:t>
            </w:r>
            <w:r w:rsidR="006A480B" w:rsidRPr="00EA71D3">
              <w:rPr>
                <w:rFonts w:asciiTheme="majorBidi" w:hAnsiTheme="majorBidi"/>
                <w:snapToGrid w:val="0"/>
                <w:color w:val="000000" w:themeColor="text1"/>
                <w:sz w:val="22"/>
                <w:szCs w:val="22"/>
                <w:lang w:val="fr-FR"/>
              </w:rPr>
              <w:t>risques</w:t>
            </w:r>
            <w:r w:rsidRPr="00EA71D3">
              <w:rPr>
                <w:rFonts w:asciiTheme="majorBidi" w:hAnsiTheme="majorBidi"/>
                <w:snapToGrid w:val="0"/>
                <w:color w:val="000000" w:themeColor="text1"/>
                <w:sz w:val="22"/>
                <w:szCs w:val="22"/>
                <w:lang w:val="fr-FR"/>
              </w:rPr>
              <w:t xml:space="preserve"> envers la santé découlant des pratiques d’utilisation, comme le transport, le marketing et la commercialisation de spécimens d’espèces sauvages ; </w:t>
            </w:r>
          </w:p>
          <w:p w14:paraId="25A5A09C" w14:textId="77777777" w:rsidR="002F7724" w:rsidRPr="00EA71D3" w:rsidRDefault="002F7724" w:rsidP="004D47D0">
            <w:pPr>
              <w:tabs>
                <w:tab w:val="left" w:pos="691"/>
              </w:tabs>
              <w:spacing w:before="40" w:after="40"/>
              <w:ind w:firstLine="188"/>
              <w:jc w:val="left"/>
              <w:rPr>
                <w:rFonts w:asciiTheme="majorBidi" w:hAnsiTheme="majorBidi"/>
                <w:snapToGrid w:val="0"/>
                <w:color w:val="000000" w:themeColor="text1"/>
                <w:sz w:val="22"/>
                <w:szCs w:val="22"/>
                <w:lang w:val="fr-FR"/>
              </w:rPr>
            </w:pPr>
            <w:r w:rsidRPr="00EA71D3">
              <w:rPr>
                <w:rFonts w:asciiTheme="majorBidi" w:hAnsiTheme="majorBidi"/>
                <w:snapToGrid w:val="0"/>
                <w:color w:val="000000" w:themeColor="text1"/>
                <w:sz w:val="22"/>
                <w:szCs w:val="22"/>
                <w:lang w:val="fr-FR"/>
              </w:rPr>
              <w:t xml:space="preserve">b) Améliorer les mesures de sûreté biologique et l’assainissement dans les marchés et tout au long de la chaîne de valeur ; </w:t>
            </w:r>
          </w:p>
          <w:p w14:paraId="5E0F48C0" w14:textId="6DC1B467" w:rsidR="002F7724" w:rsidRPr="00EA71D3" w:rsidRDefault="000E6FDA" w:rsidP="004D47D0">
            <w:pPr>
              <w:tabs>
                <w:tab w:val="left" w:pos="691"/>
              </w:tabs>
              <w:spacing w:before="40" w:after="40"/>
              <w:ind w:firstLine="188"/>
              <w:jc w:val="left"/>
              <w:rPr>
                <w:rFonts w:asciiTheme="majorBidi" w:hAnsiTheme="majorBidi" w:cstheme="majorBidi"/>
                <w:snapToGrid w:val="0"/>
                <w:color w:val="000000" w:themeColor="text1"/>
                <w:sz w:val="22"/>
                <w:szCs w:val="22"/>
                <w:lang w:val="fr-FR"/>
              </w:rPr>
            </w:pPr>
            <w:r w:rsidRPr="00EA71D3">
              <w:rPr>
                <w:rFonts w:asciiTheme="majorBidi" w:hAnsiTheme="majorBidi"/>
                <w:snapToGrid w:val="0"/>
                <w:color w:val="000000" w:themeColor="text1"/>
                <w:sz w:val="22"/>
                <w:szCs w:val="22"/>
                <w:lang w:val="fr-FR"/>
              </w:rPr>
              <w:t>c</w:t>
            </w:r>
            <w:r w:rsidR="002F7724" w:rsidRPr="00EA71D3">
              <w:rPr>
                <w:rFonts w:asciiTheme="majorBidi" w:hAnsiTheme="majorBidi"/>
                <w:snapToGrid w:val="0"/>
                <w:color w:val="000000" w:themeColor="text1"/>
                <w:sz w:val="22"/>
                <w:szCs w:val="22"/>
                <w:lang w:val="fr-FR"/>
              </w:rPr>
              <w:t>) Développer des technologies et des systèmes de surveillance des maladies afin d’améliorer la gestion du commerce des espèces sauvages ;</w:t>
            </w:r>
          </w:p>
          <w:p w14:paraId="0B66E3EA" w14:textId="47854EFA" w:rsidR="002F7724" w:rsidRPr="00EA71D3" w:rsidRDefault="000E6FDA" w:rsidP="004D47D0">
            <w:pPr>
              <w:tabs>
                <w:tab w:val="left" w:pos="691"/>
              </w:tabs>
              <w:spacing w:before="40" w:after="40"/>
              <w:ind w:firstLine="188"/>
              <w:jc w:val="left"/>
              <w:rPr>
                <w:rFonts w:asciiTheme="majorBidi" w:hAnsiTheme="majorBidi" w:cstheme="majorBidi"/>
                <w:snapToGrid w:val="0"/>
                <w:color w:val="000000" w:themeColor="text1"/>
                <w:sz w:val="22"/>
                <w:szCs w:val="22"/>
                <w:lang w:val="fr-FR"/>
              </w:rPr>
            </w:pPr>
            <w:r w:rsidRPr="00EA71D3">
              <w:rPr>
                <w:rFonts w:asciiTheme="majorBidi" w:hAnsiTheme="majorBidi"/>
                <w:snapToGrid w:val="0"/>
                <w:color w:val="000000" w:themeColor="text1"/>
                <w:sz w:val="22"/>
                <w:szCs w:val="22"/>
                <w:lang w:val="fr-FR"/>
              </w:rPr>
              <w:t>d</w:t>
            </w:r>
            <w:r w:rsidR="002F7724" w:rsidRPr="00EA71D3">
              <w:rPr>
                <w:rFonts w:asciiTheme="majorBidi" w:hAnsiTheme="majorBidi"/>
                <w:snapToGrid w:val="0"/>
                <w:color w:val="000000" w:themeColor="text1"/>
                <w:sz w:val="22"/>
                <w:szCs w:val="22"/>
                <w:lang w:val="fr-FR"/>
              </w:rPr>
              <w:t>) Encourager la surveillance participative des espèces sauvages, y compris par les chasseurs, exploitants et commerçants de ces espèces, dans les zones à risque pour l’émergence de maladies, en guise d’éléments de stratégies visant à prévenir les maladies ;</w:t>
            </w:r>
          </w:p>
          <w:p w14:paraId="05424CA5" w14:textId="6B589B5D" w:rsidR="002F7724" w:rsidRPr="00EA71D3" w:rsidRDefault="000E6FDA" w:rsidP="004D47D0">
            <w:pPr>
              <w:tabs>
                <w:tab w:val="left" w:pos="691"/>
              </w:tabs>
              <w:spacing w:before="40" w:after="40"/>
              <w:ind w:firstLine="188"/>
              <w:jc w:val="left"/>
              <w:rPr>
                <w:rFonts w:asciiTheme="majorBidi" w:hAnsiTheme="majorBidi" w:cstheme="majorBidi"/>
                <w:snapToGrid w:val="0"/>
                <w:color w:val="000000" w:themeColor="text1"/>
                <w:sz w:val="22"/>
                <w:szCs w:val="22"/>
                <w:lang w:val="fr-FR"/>
              </w:rPr>
            </w:pPr>
            <w:r w:rsidRPr="00EA71D3">
              <w:rPr>
                <w:rFonts w:asciiTheme="majorBidi" w:hAnsiTheme="majorBidi"/>
                <w:snapToGrid w:val="0"/>
                <w:color w:val="000000" w:themeColor="text1"/>
                <w:sz w:val="22"/>
                <w:szCs w:val="22"/>
                <w:lang w:val="fr-FR"/>
              </w:rPr>
              <w:t>e</w:t>
            </w:r>
            <w:r w:rsidR="002F7724" w:rsidRPr="00EA71D3">
              <w:rPr>
                <w:rFonts w:asciiTheme="majorBidi" w:hAnsiTheme="majorBidi"/>
                <w:snapToGrid w:val="0"/>
                <w:color w:val="000000" w:themeColor="text1"/>
                <w:sz w:val="22"/>
                <w:szCs w:val="22"/>
                <w:lang w:val="fr-FR"/>
              </w:rPr>
              <w:t>) Inclure des politiques et des mesures visant à restreindre la propagation et la résurgence des organismes pathogènes dans les programmes et les activités d’utilisation et de gestion des espèces sauvages, par exemple l’exploitation et la commercialisation de ces espèces.</w:t>
            </w:r>
          </w:p>
          <w:p w14:paraId="5B83181A" w14:textId="77777777" w:rsidR="002F7724" w:rsidRPr="00EA71D3" w:rsidRDefault="002F7724" w:rsidP="004D47D0">
            <w:pPr>
              <w:spacing w:before="60" w:after="60"/>
              <w:jc w:val="left"/>
              <w:rPr>
                <w:rFonts w:asciiTheme="majorBidi" w:hAnsiTheme="majorBidi"/>
                <w:snapToGrid w:val="0"/>
                <w:color w:val="000000" w:themeColor="text1"/>
                <w:sz w:val="22"/>
                <w:szCs w:val="22"/>
                <w:lang w:val="fr-FR"/>
              </w:rPr>
            </w:pPr>
            <w:r w:rsidRPr="00EA71D3">
              <w:rPr>
                <w:rFonts w:asciiTheme="majorBidi" w:hAnsiTheme="majorBidi"/>
                <w:snapToGrid w:val="0"/>
                <w:color w:val="000000" w:themeColor="text1"/>
                <w:sz w:val="22"/>
                <w:szCs w:val="22"/>
                <w:lang w:val="fr-FR"/>
              </w:rPr>
              <w:lastRenderedPageBreak/>
              <w:t xml:space="preserve">4. Renforcer, si possible et selon les capacités du pays, la capacité de comprendre et de gérer les facteurs anthropiques qui présentent un fort potentiel de </w:t>
            </w:r>
            <w:r w:rsidRPr="00EA71D3">
              <w:rPr>
                <w:rFonts w:asciiTheme="majorBidi" w:hAnsiTheme="majorBidi"/>
                <w:sz w:val="22"/>
                <w:szCs w:val="22"/>
                <w:lang w:val="fr-FR"/>
              </w:rPr>
              <w:t>causer</w:t>
            </w:r>
            <w:r w:rsidRPr="00EA71D3">
              <w:rPr>
                <w:rFonts w:asciiTheme="majorBidi" w:hAnsiTheme="majorBidi"/>
                <w:snapToGrid w:val="0"/>
                <w:color w:val="000000" w:themeColor="text1"/>
                <w:sz w:val="22"/>
                <w:szCs w:val="22"/>
                <w:lang w:val="fr-FR"/>
              </w:rPr>
              <w:t xml:space="preserve"> la transmission de maladies zoonotiques, telles que la consommation non réglementée et non durable de viande d’animaux sauvages ;</w:t>
            </w:r>
          </w:p>
          <w:p w14:paraId="4F408632" w14:textId="54E15511" w:rsidR="002F7724" w:rsidRPr="00EA71D3" w:rsidRDefault="000E6FDA" w:rsidP="004D47D0">
            <w:pPr>
              <w:spacing w:before="60" w:after="60"/>
              <w:jc w:val="left"/>
              <w:rPr>
                <w:rFonts w:asciiTheme="majorBidi" w:hAnsiTheme="majorBidi"/>
                <w:snapToGrid w:val="0"/>
                <w:color w:val="000000" w:themeColor="text1"/>
                <w:sz w:val="22"/>
                <w:szCs w:val="22"/>
                <w:lang w:val="fr-FR"/>
              </w:rPr>
            </w:pPr>
            <w:r w:rsidRPr="00EA71D3">
              <w:rPr>
                <w:rFonts w:asciiTheme="majorBidi" w:hAnsiTheme="majorBidi"/>
                <w:snapToGrid w:val="0"/>
                <w:color w:val="000000" w:themeColor="text1"/>
                <w:sz w:val="22"/>
                <w:szCs w:val="22"/>
                <w:lang w:val="fr-FR"/>
              </w:rPr>
              <w:t>5</w:t>
            </w:r>
            <w:r w:rsidR="002F7724" w:rsidRPr="00EA71D3">
              <w:rPr>
                <w:rFonts w:asciiTheme="majorBidi" w:hAnsiTheme="majorBidi"/>
                <w:snapToGrid w:val="0"/>
                <w:color w:val="000000" w:themeColor="text1"/>
                <w:sz w:val="22"/>
                <w:szCs w:val="22"/>
                <w:lang w:val="fr-FR"/>
              </w:rPr>
              <w:t>. Maintenir la diversité génétique des espèces sauvages et domestiques et des espèces sauvages apparentées, afin de protéger leur résistance et leur potentiel d’adaptation, protégeant ainsi les bienfaits pour la santé associés à leur existence.</w:t>
            </w:r>
          </w:p>
          <w:p w14:paraId="4CB66A6F" w14:textId="0329DF78" w:rsidR="002F7724" w:rsidRPr="00EA71D3" w:rsidRDefault="000E6FDA" w:rsidP="004D47D0">
            <w:pPr>
              <w:spacing w:before="60" w:after="60"/>
              <w:jc w:val="left"/>
              <w:rPr>
                <w:rFonts w:asciiTheme="majorBidi" w:hAnsiTheme="majorBidi"/>
                <w:snapToGrid w:val="0"/>
                <w:color w:val="000000" w:themeColor="text1"/>
                <w:sz w:val="22"/>
                <w:szCs w:val="22"/>
                <w:lang w:val="fr-FR"/>
              </w:rPr>
            </w:pPr>
            <w:r w:rsidRPr="00EA71D3">
              <w:rPr>
                <w:rFonts w:asciiTheme="majorBidi" w:hAnsiTheme="majorBidi"/>
                <w:snapToGrid w:val="0"/>
                <w:color w:val="000000" w:themeColor="text1"/>
                <w:sz w:val="22"/>
                <w:szCs w:val="22"/>
                <w:lang w:val="fr-FR"/>
              </w:rPr>
              <w:t>6</w:t>
            </w:r>
            <w:r w:rsidR="002F7724" w:rsidRPr="00EA71D3">
              <w:rPr>
                <w:rFonts w:asciiTheme="majorBidi" w:hAnsiTheme="majorBidi"/>
                <w:snapToGrid w:val="0"/>
                <w:color w:val="000000" w:themeColor="text1"/>
                <w:sz w:val="22"/>
                <w:szCs w:val="22"/>
                <w:lang w:val="fr-FR"/>
              </w:rPr>
              <w:t>. Encourager les collaborations en ligne avec l’approche Une seule santé en renforçant la planification et la surveillance de la biodiversité, notamment en ce qui concerne les habitats d’espèces sauvages et les risques de débordement d’agents pathogènes zoonotiques, afin de mieux évaluer et gérer la santé et les risques de transmission des maladies, et d’assurer une gestion durable des espèces sauvages.</w:t>
            </w:r>
          </w:p>
        </w:tc>
      </w:tr>
      <w:tr w:rsidR="002F7724" w:rsidRPr="00EA71D3" w14:paraId="77C001F7" w14:textId="77777777" w:rsidTr="004D47D0">
        <w:tc>
          <w:tcPr>
            <w:tcW w:w="13874" w:type="dxa"/>
            <w:gridSpan w:val="3"/>
          </w:tcPr>
          <w:p w14:paraId="509B7ABA" w14:textId="77777777" w:rsidR="002F7724" w:rsidRPr="00EA71D3" w:rsidRDefault="002F7724" w:rsidP="004D47D0">
            <w:pPr>
              <w:keepNext/>
              <w:spacing w:before="40" w:after="40"/>
              <w:jc w:val="left"/>
              <w:rPr>
                <w:rFonts w:asciiTheme="majorBidi" w:eastAsiaTheme="minorEastAsia" w:hAnsiTheme="majorBidi" w:cstheme="majorBidi"/>
                <w:kern w:val="2"/>
                <w:sz w:val="22"/>
                <w:szCs w:val="22"/>
                <w:lang w:val="fr-FR"/>
                <w14:ligatures w14:val="standardContextual"/>
              </w:rPr>
            </w:pPr>
            <w:r w:rsidRPr="00EA71D3">
              <w:rPr>
                <w:rFonts w:asciiTheme="majorBidi" w:hAnsiTheme="majorBidi"/>
                <w:b/>
                <w:bCs/>
                <w:color w:val="000000" w:themeColor="text1"/>
                <w:sz w:val="22"/>
                <w:szCs w:val="22"/>
                <w:lang w:val="fr-FR"/>
              </w:rPr>
              <w:lastRenderedPageBreak/>
              <w:t>Espèces exotiques envahissantes</w:t>
            </w:r>
            <w:r w:rsidRPr="00EA71D3">
              <w:rPr>
                <w:rFonts w:asciiTheme="majorBidi" w:hAnsiTheme="majorBidi"/>
                <w:i/>
                <w:iCs/>
                <w:color w:val="000000" w:themeColor="text1"/>
                <w:sz w:val="22"/>
                <w:szCs w:val="22"/>
                <w:vertAlign w:val="superscript"/>
                <w:lang w:val="fr-FR"/>
              </w:rPr>
              <w:t>c</w:t>
            </w:r>
          </w:p>
        </w:tc>
      </w:tr>
      <w:tr w:rsidR="002F7724" w:rsidRPr="00EA71D3" w14:paraId="45785570" w14:textId="77777777" w:rsidTr="004D47D0">
        <w:tc>
          <w:tcPr>
            <w:tcW w:w="2984" w:type="dxa"/>
          </w:tcPr>
          <w:p w14:paraId="1C185D1D" w14:textId="77777777" w:rsidR="002F7724" w:rsidRPr="00EA71D3" w:rsidRDefault="002F7724" w:rsidP="004D47D0">
            <w:pPr>
              <w:spacing w:before="40" w:after="40"/>
              <w:jc w:val="left"/>
              <w:rPr>
                <w:rFonts w:asciiTheme="majorBidi" w:eastAsiaTheme="minorEastAsia" w:hAnsiTheme="majorBidi" w:cstheme="majorBidi"/>
                <w:bCs/>
                <w:color w:val="000000" w:themeColor="text1"/>
                <w:kern w:val="2"/>
                <w:sz w:val="22"/>
                <w:szCs w:val="22"/>
                <w:lang w:val="fr-FR"/>
                <w14:ligatures w14:val="standardContextual"/>
              </w:rPr>
            </w:pPr>
            <w:r w:rsidRPr="00EA71D3">
              <w:rPr>
                <w:rFonts w:asciiTheme="majorBidi" w:hAnsiTheme="majorBidi"/>
                <w:color w:val="000000" w:themeColor="text1"/>
                <w:sz w:val="22"/>
                <w:szCs w:val="22"/>
                <w:lang w:val="fr-FR"/>
              </w:rPr>
              <w:t>Cible 6</w:t>
            </w:r>
          </w:p>
        </w:tc>
        <w:tc>
          <w:tcPr>
            <w:tcW w:w="3822" w:type="dxa"/>
          </w:tcPr>
          <w:p w14:paraId="6DB8E917" w14:textId="6886863A" w:rsidR="002F7724" w:rsidRPr="00EA71D3" w:rsidRDefault="002F7724" w:rsidP="004D47D0">
            <w:pPr>
              <w:spacing w:before="60" w:after="60"/>
              <w:jc w:val="left"/>
              <w:rPr>
                <w:rFonts w:asciiTheme="majorBidi" w:hAnsiTheme="majorBidi"/>
                <w:color w:val="000000" w:themeColor="text1"/>
                <w:sz w:val="22"/>
                <w:szCs w:val="22"/>
                <w:lang w:val="fr-FR"/>
              </w:rPr>
            </w:pPr>
            <w:r w:rsidRPr="00EA71D3">
              <w:rPr>
                <w:rFonts w:asciiTheme="majorBidi" w:hAnsiTheme="majorBidi"/>
                <w:color w:val="000000" w:themeColor="text1"/>
                <w:sz w:val="22"/>
                <w:szCs w:val="22"/>
                <w:lang w:val="fr-FR"/>
              </w:rPr>
              <w:t>Les espèces exotiques envahissantes sont un facteur jouant un rôle considérable dans la perte de biodiversité</w:t>
            </w:r>
            <w:r w:rsidR="000E6FDA" w:rsidRPr="00EA71D3">
              <w:rPr>
                <w:rStyle w:val="FootnoteReference"/>
                <w:rFonts w:asciiTheme="majorBidi" w:eastAsiaTheme="minorEastAsia" w:hAnsiTheme="majorBidi" w:cstheme="majorBidi"/>
                <w:color w:val="000000" w:themeColor="text1"/>
                <w:kern w:val="2"/>
                <w:sz w:val="20"/>
                <w:szCs w:val="20"/>
                <w:lang w:val="fr-FR" w:eastAsia="zh-CN"/>
                <w14:ligatures w14:val="standardContextual"/>
              </w:rPr>
              <w:footnoteReference w:id="28"/>
            </w:r>
            <w:r w:rsidRPr="00EA71D3">
              <w:rPr>
                <w:rFonts w:asciiTheme="majorBidi" w:hAnsiTheme="majorBidi"/>
                <w:color w:val="000000" w:themeColor="text1"/>
                <w:sz w:val="22"/>
                <w:szCs w:val="22"/>
                <w:lang w:val="fr-FR"/>
              </w:rPr>
              <w:t xml:space="preserve"> et posent une grave menace envers la nature, les contributions de la nature envers les personnes et une bonne qualité de vie</w:t>
            </w:r>
            <w:r w:rsidR="000E6FDA" w:rsidRPr="00EA71D3">
              <w:rPr>
                <w:rStyle w:val="FootnoteReference"/>
                <w:rFonts w:asciiTheme="majorBidi" w:eastAsiaTheme="minorEastAsia" w:hAnsiTheme="majorBidi" w:cstheme="majorBidi"/>
                <w:color w:val="000000" w:themeColor="text1"/>
                <w:kern w:val="2"/>
                <w:sz w:val="20"/>
                <w:szCs w:val="20"/>
                <w:lang w:val="fr-FR" w:eastAsia="zh-CN"/>
                <w14:ligatures w14:val="standardContextual"/>
              </w:rPr>
              <w:footnoteReference w:id="29"/>
            </w:r>
            <w:r w:rsidRPr="00EA71D3">
              <w:rPr>
                <w:rFonts w:asciiTheme="majorBidi" w:hAnsiTheme="majorBidi"/>
                <w:color w:val="000000" w:themeColor="text1"/>
                <w:sz w:val="22"/>
                <w:szCs w:val="22"/>
                <w:lang w:val="fr-FR"/>
              </w:rPr>
              <w:t xml:space="preserve">. Bon nombre des espèces exotiques envahissantes peuvent être des organismes pathogènes ou des organismes nuisibles et peuvent avoir </w:t>
            </w:r>
            <w:r w:rsidRPr="00EA71D3">
              <w:rPr>
                <w:rFonts w:asciiTheme="majorBidi" w:hAnsiTheme="majorBidi"/>
                <w:color w:val="000000" w:themeColor="text1"/>
                <w:sz w:val="22"/>
                <w:szCs w:val="22"/>
                <w:lang w:val="fr-FR"/>
              </w:rPr>
              <w:lastRenderedPageBreak/>
              <w:t xml:space="preserve">une incidence sur la santé humaine, animale, végétale et environnementale, de différentes manières, notamment en causant des maladies comme celles de nature allergique, en raison de leur toxicité ou de leur rôle comme vecteurs de transmission des pathogènes. En outre, les espèces exotiques envahissantes réduisent souvent la quantité et la qualité des services fournis par les écosystèmes et peuvent avoir une incidence sur les moyens de subsistance et la sécurité alimentaire. </w:t>
            </w:r>
          </w:p>
          <w:p w14:paraId="5F2ADE13" w14:textId="5E72E440" w:rsidR="002F7724" w:rsidRPr="00EA71D3" w:rsidRDefault="002F7724" w:rsidP="004D47D0">
            <w:pPr>
              <w:spacing w:before="60" w:after="60"/>
              <w:ind w:left="162" w:hanging="162"/>
              <w:jc w:val="left"/>
              <w:rPr>
                <w:rFonts w:asciiTheme="majorBidi" w:eastAsiaTheme="minorEastAsia" w:hAnsiTheme="majorBidi" w:cstheme="majorBidi"/>
                <w:color w:val="000000" w:themeColor="text1"/>
                <w:kern w:val="2"/>
                <w:sz w:val="22"/>
                <w:szCs w:val="22"/>
                <w:lang w:val="fr-FR"/>
                <w14:ligatures w14:val="standardContextual"/>
              </w:rPr>
            </w:pPr>
          </w:p>
        </w:tc>
        <w:tc>
          <w:tcPr>
            <w:tcW w:w="7068" w:type="dxa"/>
          </w:tcPr>
          <w:p w14:paraId="0A9672BF" w14:textId="77777777" w:rsidR="002F7724" w:rsidRPr="00EA71D3" w:rsidRDefault="002F7724" w:rsidP="004D47D0">
            <w:pPr>
              <w:spacing w:before="60" w:after="60"/>
              <w:jc w:val="left"/>
              <w:rPr>
                <w:rFonts w:asciiTheme="majorBidi" w:eastAsiaTheme="minorEastAsia" w:hAnsiTheme="majorBidi" w:cstheme="majorBidi"/>
                <w:kern w:val="2"/>
                <w:sz w:val="22"/>
                <w:szCs w:val="22"/>
                <w:lang w:val="fr-FR"/>
                <w14:ligatures w14:val="standardContextual"/>
              </w:rPr>
            </w:pPr>
            <w:r w:rsidRPr="00EA71D3">
              <w:rPr>
                <w:rFonts w:asciiTheme="majorBidi" w:hAnsiTheme="majorBidi"/>
                <w:sz w:val="22"/>
                <w:szCs w:val="22"/>
                <w:lang w:val="fr-FR"/>
              </w:rPr>
              <w:lastRenderedPageBreak/>
              <w:t>1. Tenir compte des effets défavorables des espèces exotiques envahissantes sur la santé humaine, animale, végétale et écosystémique dans les stratégies, les plans d’action et les projets, et entreprendre des évaluations sur cette question afin d’appuyer une prise de décisions éclairée et des mesures visant à prévenir et minimiser ces effets, notamment par l’utilisation d’approches multisectorielles et transdisciplinaires.</w:t>
            </w:r>
          </w:p>
          <w:p w14:paraId="48BCB5D2" w14:textId="1830192E" w:rsidR="002F7724" w:rsidRPr="00EA71D3" w:rsidRDefault="002F7724" w:rsidP="004D47D0">
            <w:pPr>
              <w:spacing w:before="60" w:after="60"/>
              <w:jc w:val="left"/>
              <w:rPr>
                <w:rFonts w:asciiTheme="majorBidi" w:eastAsiaTheme="minorEastAsia" w:hAnsiTheme="majorBidi" w:cstheme="majorBidi"/>
                <w:kern w:val="2"/>
                <w:sz w:val="22"/>
                <w:szCs w:val="22"/>
                <w:lang w:val="fr-FR"/>
                <w14:ligatures w14:val="standardContextual"/>
              </w:rPr>
            </w:pPr>
            <w:r w:rsidRPr="00EA71D3">
              <w:rPr>
                <w:rFonts w:asciiTheme="majorBidi" w:hAnsiTheme="majorBidi"/>
                <w:sz w:val="22"/>
                <w:szCs w:val="22"/>
                <w:lang w:val="fr-FR"/>
              </w:rPr>
              <w:t>2. Identifier les lacunes dans les connaissances, la surveillance et la gestion des maladies infectieuses émergentes qui ont une incidence sur la biodiversité et la santé humaines et qui sont liées aux espèces exotiques envahissantes ou favorisées par celles-ci.</w:t>
            </w:r>
            <w:bookmarkStart w:id="3" w:name="_Ref168921129"/>
            <w:r w:rsidR="000E6FDA" w:rsidRPr="00EA71D3">
              <w:rPr>
                <w:rStyle w:val="FootnoteReference"/>
                <w:rFonts w:asciiTheme="majorBidi" w:eastAsiaTheme="minorEastAsia" w:hAnsiTheme="majorBidi" w:cstheme="majorBidi"/>
                <w:kern w:val="2"/>
                <w:sz w:val="20"/>
                <w:szCs w:val="20"/>
                <w:lang w:val="fr-FR" w:eastAsia="zh-CN"/>
                <w14:ligatures w14:val="standardContextual"/>
              </w:rPr>
              <w:t xml:space="preserve"> </w:t>
            </w:r>
            <w:r w:rsidR="000E6FDA" w:rsidRPr="00EA71D3">
              <w:rPr>
                <w:rStyle w:val="FootnoteReference"/>
                <w:rFonts w:asciiTheme="majorBidi" w:eastAsiaTheme="minorEastAsia" w:hAnsiTheme="majorBidi" w:cstheme="majorBidi"/>
                <w:kern w:val="2"/>
                <w:sz w:val="20"/>
                <w:szCs w:val="20"/>
                <w:lang w:val="fr-FR" w:eastAsia="zh-CN"/>
                <w14:ligatures w14:val="standardContextual"/>
              </w:rPr>
              <w:footnoteReference w:id="30"/>
            </w:r>
            <w:bookmarkEnd w:id="3"/>
            <w:r w:rsidRPr="00EA71D3">
              <w:rPr>
                <w:rFonts w:asciiTheme="majorBidi" w:hAnsiTheme="majorBidi"/>
                <w:sz w:val="22"/>
                <w:szCs w:val="22"/>
                <w:lang w:val="fr-FR"/>
              </w:rPr>
              <w:t xml:space="preserve"> </w:t>
            </w:r>
          </w:p>
          <w:p w14:paraId="0A98081E" w14:textId="77777777" w:rsidR="002F7724" w:rsidRPr="00EA71D3" w:rsidRDefault="002F7724" w:rsidP="004D47D0">
            <w:pPr>
              <w:spacing w:before="60" w:after="60"/>
              <w:jc w:val="left"/>
              <w:rPr>
                <w:rFonts w:asciiTheme="majorBidi" w:hAnsiTheme="majorBidi"/>
                <w:sz w:val="22"/>
                <w:szCs w:val="22"/>
                <w:lang w:val="fr-FR"/>
              </w:rPr>
            </w:pPr>
            <w:r w:rsidRPr="00EA71D3">
              <w:rPr>
                <w:rFonts w:asciiTheme="majorBidi" w:hAnsiTheme="majorBidi"/>
                <w:sz w:val="22"/>
                <w:szCs w:val="22"/>
                <w:lang w:val="fr-FR"/>
              </w:rPr>
              <w:lastRenderedPageBreak/>
              <w:t>3. Promouvoir la sensibilisation et l’éducation en ce qui concerne les impacts des espèces exotiques envahissantes sur la santé humaine, animale, végétale et écosystémique.</w:t>
            </w:r>
          </w:p>
          <w:p w14:paraId="058B20DC" w14:textId="77624659" w:rsidR="002F7724" w:rsidRPr="00EA71D3" w:rsidRDefault="000E6FDA" w:rsidP="004D47D0">
            <w:pPr>
              <w:spacing w:before="60" w:after="60"/>
              <w:jc w:val="left"/>
              <w:rPr>
                <w:rFonts w:asciiTheme="majorBidi" w:hAnsiTheme="majorBidi"/>
                <w:sz w:val="22"/>
                <w:szCs w:val="22"/>
                <w:lang w:val="fr-FR"/>
              </w:rPr>
            </w:pPr>
            <w:r w:rsidRPr="00EA71D3">
              <w:rPr>
                <w:rFonts w:asciiTheme="majorBidi" w:hAnsiTheme="majorBidi"/>
                <w:sz w:val="22"/>
                <w:szCs w:val="22"/>
                <w:lang w:val="fr-FR"/>
              </w:rPr>
              <w:t>4</w:t>
            </w:r>
            <w:r w:rsidR="002F7724" w:rsidRPr="00EA71D3">
              <w:rPr>
                <w:rFonts w:asciiTheme="majorBidi" w:hAnsiTheme="majorBidi"/>
                <w:sz w:val="22"/>
                <w:szCs w:val="22"/>
                <w:lang w:val="fr-FR"/>
              </w:rPr>
              <w:t>. Encourager et resserrer la collaboration avec d’autres secteurs touchés par les espèces exotiques envahissantes, afin d’améliorer la prévention, le contrôle ou l’éradication, et la gestion des espèces exotiques envahissantes, et de réduire et prévenir l’émergence de maladies.</w:t>
            </w:r>
          </w:p>
        </w:tc>
      </w:tr>
      <w:tr w:rsidR="002F7724" w:rsidRPr="00EA71D3" w14:paraId="28E77B4F" w14:textId="77777777" w:rsidTr="004D47D0">
        <w:tc>
          <w:tcPr>
            <w:tcW w:w="13874" w:type="dxa"/>
            <w:gridSpan w:val="3"/>
          </w:tcPr>
          <w:p w14:paraId="34728866" w14:textId="77777777" w:rsidR="002F7724" w:rsidRPr="00EA71D3" w:rsidRDefault="002F7724" w:rsidP="004D47D0">
            <w:pPr>
              <w:spacing w:before="40" w:after="40"/>
              <w:jc w:val="left"/>
              <w:rPr>
                <w:rFonts w:asciiTheme="majorBidi" w:eastAsiaTheme="minorEastAsia" w:hAnsiTheme="majorBidi" w:cstheme="majorBidi"/>
                <w:b/>
                <w:color w:val="000000" w:themeColor="text1"/>
                <w:spacing w:val="6"/>
                <w:kern w:val="2"/>
                <w:sz w:val="22"/>
                <w:szCs w:val="22"/>
                <w:lang w:val="fr-FR"/>
                <w14:ligatures w14:val="standardContextual"/>
              </w:rPr>
            </w:pPr>
            <w:r w:rsidRPr="00EA71D3">
              <w:rPr>
                <w:rFonts w:asciiTheme="majorBidi" w:hAnsiTheme="majorBidi"/>
                <w:b/>
                <w:color w:val="000000" w:themeColor="text1"/>
                <w:sz w:val="22"/>
                <w:szCs w:val="22"/>
                <w:lang w:val="fr-FR"/>
              </w:rPr>
              <w:lastRenderedPageBreak/>
              <w:t>Pollution</w:t>
            </w:r>
          </w:p>
        </w:tc>
      </w:tr>
      <w:tr w:rsidR="002F7724" w:rsidRPr="00EA71D3" w14:paraId="0B3E57AF" w14:textId="77777777" w:rsidTr="004D47D0">
        <w:tc>
          <w:tcPr>
            <w:tcW w:w="2984" w:type="dxa"/>
          </w:tcPr>
          <w:p w14:paraId="53725FC3" w14:textId="77777777" w:rsidR="002F7724" w:rsidRPr="00EA71D3" w:rsidRDefault="002F7724" w:rsidP="004D47D0">
            <w:pPr>
              <w:spacing w:before="40" w:after="40"/>
              <w:jc w:val="left"/>
              <w:rPr>
                <w:rFonts w:asciiTheme="majorBidi" w:eastAsiaTheme="minorEastAsia" w:hAnsiTheme="majorBidi" w:cstheme="majorBidi"/>
                <w:color w:val="000000" w:themeColor="text1"/>
                <w:kern w:val="2"/>
                <w:sz w:val="22"/>
                <w:szCs w:val="22"/>
                <w:lang w:val="fr-FR"/>
                <w14:ligatures w14:val="standardContextual"/>
              </w:rPr>
            </w:pPr>
            <w:r w:rsidRPr="00EA71D3">
              <w:rPr>
                <w:rFonts w:asciiTheme="majorBidi" w:hAnsiTheme="majorBidi"/>
                <w:color w:val="000000" w:themeColor="text1"/>
                <w:sz w:val="22"/>
                <w:szCs w:val="22"/>
                <w:lang w:val="fr-FR"/>
              </w:rPr>
              <w:t>Cible 7</w:t>
            </w:r>
          </w:p>
        </w:tc>
        <w:tc>
          <w:tcPr>
            <w:tcW w:w="3822" w:type="dxa"/>
          </w:tcPr>
          <w:p w14:paraId="7F475A77" w14:textId="25A3D2E2" w:rsidR="002F7724" w:rsidRPr="00EA71D3" w:rsidRDefault="002F7724" w:rsidP="004D47D0">
            <w:pPr>
              <w:spacing w:before="40" w:after="40"/>
              <w:jc w:val="left"/>
              <w:rPr>
                <w:rFonts w:asciiTheme="majorBidi" w:hAnsiTheme="majorBidi"/>
                <w:color w:val="000000" w:themeColor="text1"/>
                <w:sz w:val="22"/>
                <w:szCs w:val="22"/>
                <w:vertAlign w:val="superscript"/>
                <w:lang w:val="fr-FR"/>
              </w:rPr>
            </w:pPr>
            <w:r w:rsidRPr="00EA71D3">
              <w:rPr>
                <w:rFonts w:asciiTheme="majorBidi" w:hAnsiTheme="majorBidi"/>
                <w:color w:val="000000" w:themeColor="text1"/>
                <w:sz w:val="22"/>
                <w:szCs w:val="22"/>
                <w:lang w:val="fr-FR"/>
              </w:rPr>
              <w:t xml:space="preserve">La pollution, sous toutes ses formes, nuit à la biodiversité, au fonctionnement des écosystèmes et à la santé des personnes, des animaux, des plantes et des autres organismes. Elle a une incidence sur la capacité de la biodiversité à contribuer, par exemple, à fournir de l’air et de l’eau propres, sur la fertilité des sols, la pollinisation et le contrôle des organismes nuisibles. L’exposition directe et indirecte aux polluants, en particulier en début de vie, peut augmenter le risque de contracter </w:t>
            </w:r>
            <w:r w:rsidRPr="00EA71D3">
              <w:rPr>
                <w:rFonts w:asciiTheme="majorBidi" w:hAnsiTheme="majorBidi"/>
                <w:color w:val="000000" w:themeColor="text1"/>
                <w:sz w:val="22"/>
                <w:szCs w:val="22"/>
                <w:lang w:val="fr-FR"/>
              </w:rPr>
              <w:lastRenderedPageBreak/>
              <w:t>plusieurs maladies non transmissibles tout au long de la vie.</w:t>
            </w:r>
            <w:r w:rsidR="000E6FDA" w:rsidRPr="00EA71D3">
              <w:rPr>
                <w:rStyle w:val="FootnoteReference"/>
                <w:rFonts w:asciiTheme="majorBidi" w:eastAsiaTheme="minorEastAsia" w:hAnsiTheme="majorBidi" w:cstheme="majorBidi"/>
                <w:color w:val="000000" w:themeColor="text1"/>
                <w:kern w:val="2"/>
                <w:sz w:val="20"/>
                <w:szCs w:val="20"/>
                <w:lang w:val="fr-FR" w:eastAsia="zh-CN"/>
                <w14:ligatures w14:val="standardContextual"/>
              </w:rPr>
              <w:t xml:space="preserve"> </w:t>
            </w:r>
            <w:r w:rsidR="000E6FDA" w:rsidRPr="00EA71D3">
              <w:rPr>
                <w:rStyle w:val="FootnoteReference"/>
                <w:rFonts w:asciiTheme="majorBidi" w:eastAsiaTheme="minorEastAsia" w:hAnsiTheme="majorBidi" w:cstheme="majorBidi"/>
                <w:color w:val="000000" w:themeColor="text1"/>
                <w:kern w:val="2"/>
                <w:sz w:val="20"/>
                <w:szCs w:val="20"/>
                <w:lang w:val="fr-FR" w:eastAsia="zh-CN"/>
                <w14:ligatures w14:val="standardContextual"/>
              </w:rPr>
              <w:footnoteReference w:id="31"/>
            </w:r>
            <w:bookmarkStart w:id="4" w:name="_Ref168921852"/>
            <w:r w:rsidR="000E6FDA" w:rsidRPr="00EA71D3">
              <w:rPr>
                <w:rFonts w:eastAsiaTheme="minorEastAsia"/>
                <w:vertAlign w:val="superscript"/>
                <w:lang w:val="fr-FR"/>
              </w:rPr>
              <w:t>,</w:t>
            </w:r>
            <w:r w:rsidR="000E6FDA" w:rsidRPr="00EA71D3">
              <w:rPr>
                <w:rStyle w:val="FootnoteReference"/>
                <w:rFonts w:asciiTheme="majorBidi" w:eastAsiaTheme="minorEastAsia" w:hAnsiTheme="majorBidi" w:cstheme="majorBidi"/>
                <w:color w:val="000000" w:themeColor="text1"/>
                <w:kern w:val="2"/>
                <w:sz w:val="20"/>
                <w:szCs w:val="20"/>
                <w:lang w:val="fr-FR" w:eastAsia="zh-CN"/>
                <w14:ligatures w14:val="standardContextual"/>
              </w:rPr>
              <w:footnoteReference w:id="32"/>
            </w:r>
            <w:bookmarkEnd w:id="4"/>
          </w:p>
          <w:p w14:paraId="6F66887B" w14:textId="77777777" w:rsidR="002F7724" w:rsidRPr="00EA71D3" w:rsidRDefault="002F7724" w:rsidP="004D47D0">
            <w:pPr>
              <w:spacing w:before="40" w:after="40"/>
              <w:jc w:val="left"/>
              <w:rPr>
                <w:rFonts w:asciiTheme="majorBidi" w:eastAsiaTheme="minorEastAsia" w:hAnsiTheme="majorBidi" w:cstheme="majorBidi"/>
                <w:color w:val="000000" w:themeColor="text1"/>
                <w:kern w:val="2"/>
                <w:sz w:val="22"/>
                <w:szCs w:val="22"/>
                <w:lang w:val="fr-FR"/>
                <w14:ligatures w14:val="standardContextual"/>
              </w:rPr>
            </w:pPr>
          </w:p>
        </w:tc>
        <w:tc>
          <w:tcPr>
            <w:tcW w:w="7068" w:type="dxa"/>
          </w:tcPr>
          <w:p w14:paraId="3DFF8071" w14:textId="1B5E943C" w:rsidR="002F7724" w:rsidRPr="00EA71D3" w:rsidRDefault="000E6FDA" w:rsidP="000E6FDA">
            <w:pPr>
              <w:spacing w:before="60" w:after="60"/>
              <w:jc w:val="left"/>
              <w:rPr>
                <w:rFonts w:asciiTheme="majorBidi" w:hAnsiTheme="majorBidi"/>
                <w:lang w:val="fr-FR"/>
              </w:rPr>
            </w:pPr>
            <w:r w:rsidRPr="00EA71D3">
              <w:rPr>
                <w:rFonts w:asciiTheme="majorBidi" w:hAnsiTheme="majorBidi"/>
                <w:lang w:val="fr-FR"/>
              </w:rPr>
              <w:lastRenderedPageBreak/>
              <w:t xml:space="preserve">1. </w:t>
            </w:r>
            <w:r w:rsidR="002F7724" w:rsidRPr="00EA71D3">
              <w:rPr>
                <w:rFonts w:asciiTheme="majorBidi" w:hAnsiTheme="majorBidi"/>
                <w:lang w:val="fr-FR"/>
              </w:rPr>
              <w:t xml:space="preserve">Sensibiliser la population aux conséquences négatives des [antimicrobiens,] </w:t>
            </w:r>
            <w:r w:rsidRPr="00EA71D3">
              <w:rPr>
                <w:rFonts w:asciiTheme="majorBidi" w:hAnsiTheme="majorBidi"/>
                <w:lang w:val="fr-FR"/>
              </w:rPr>
              <w:t xml:space="preserve">et </w:t>
            </w:r>
            <w:r w:rsidR="002F7724" w:rsidRPr="00EA71D3">
              <w:rPr>
                <w:rFonts w:asciiTheme="majorBidi" w:hAnsiTheme="majorBidi"/>
                <w:lang w:val="fr-FR"/>
              </w:rPr>
              <w:t>des métaux lourds, du plastique</w:t>
            </w:r>
            <w:r w:rsidRPr="00EA71D3">
              <w:rPr>
                <w:rFonts w:asciiTheme="majorBidi" w:hAnsiTheme="majorBidi"/>
                <w:lang w:val="fr-FR"/>
              </w:rPr>
              <w:t xml:space="preserve">, </w:t>
            </w:r>
            <w:r w:rsidR="002F7724" w:rsidRPr="00EA71D3">
              <w:rPr>
                <w:rFonts w:asciiTheme="majorBidi" w:hAnsiTheme="majorBidi"/>
                <w:lang w:val="fr-FR"/>
              </w:rPr>
              <w:t>y compris les microplastiques</w:t>
            </w:r>
            <w:r w:rsidRPr="00EA71D3">
              <w:rPr>
                <w:rFonts w:asciiTheme="majorBidi" w:hAnsiTheme="majorBidi"/>
                <w:lang w:val="fr-FR"/>
              </w:rPr>
              <w:t>,</w:t>
            </w:r>
            <w:r w:rsidRPr="00EA71D3">
              <w:rPr>
                <w:rStyle w:val="FootnoteReference"/>
                <w:rFonts w:asciiTheme="majorBidi" w:eastAsiaTheme="minorEastAsia" w:hAnsiTheme="majorBidi" w:cstheme="majorBidi"/>
                <w:color w:val="000000" w:themeColor="text1"/>
                <w:kern w:val="2"/>
                <w:sz w:val="20"/>
                <w:szCs w:val="20"/>
                <w:lang w:val="fr-FR" w:eastAsia="zh-CN"/>
                <w14:ligatures w14:val="standardContextual"/>
              </w:rPr>
              <w:t xml:space="preserve"> </w:t>
            </w:r>
            <w:r w:rsidRPr="00EA71D3">
              <w:rPr>
                <w:rStyle w:val="FootnoteReference"/>
                <w:rFonts w:asciiTheme="majorBidi" w:eastAsiaTheme="minorEastAsia" w:hAnsiTheme="majorBidi" w:cstheme="majorBidi"/>
                <w:color w:val="000000" w:themeColor="text1"/>
                <w:kern w:val="2"/>
                <w:sz w:val="20"/>
                <w:szCs w:val="20"/>
                <w:lang w:val="fr-FR" w:eastAsia="zh-CN"/>
                <w14:ligatures w14:val="standardContextual"/>
              </w:rPr>
              <w:footnoteReference w:id="33"/>
            </w:r>
            <w:r w:rsidR="002F7724" w:rsidRPr="00EA71D3">
              <w:rPr>
                <w:rFonts w:asciiTheme="majorBidi" w:hAnsiTheme="majorBidi"/>
                <w:vertAlign w:val="superscript"/>
                <w:lang w:val="fr-FR"/>
              </w:rPr>
              <w:t xml:space="preserve"> </w:t>
            </w:r>
            <w:r w:rsidRPr="00EA71D3">
              <w:rPr>
                <w:rStyle w:val="FootnoteReference"/>
                <w:rFonts w:asciiTheme="majorBidi" w:eastAsiaTheme="minorEastAsia" w:hAnsiTheme="majorBidi" w:cstheme="majorBidi"/>
                <w:color w:val="000000" w:themeColor="text1"/>
                <w:kern w:val="2"/>
                <w:sz w:val="20"/>
                <w:szCs w:val="20"/>
                <w:lang w:val="fr-FR" w:eastAsia="zh-CN"/>
                <w14:ligatures w14:val="standardContextual"/>
              </w:rPr>
              <w:footnoteReference w:id="34"/>
            </w:r>
            <w:r w:rsidR="002F7724" w:rsidRPr="00EA71D3">
              <w:rPr>
                <w:rFonts w:asciiTheme="majorBidi" w:hAnsiTheme="majorBidi"/>
                <w:lang w:val="fr-FR"/>
              </w:rPr>
              <w:t>et de la pollution atmosphérique, lumineuse et sonore sur la biodiversité et la santé humaine.</w:t>
            </w:r>
          </w:p>
          <w:p w14:paraId="304D4363" w14:textId="105CBCD7" w:rsidR="000E6FDA" w:rsidRPr="00EA71D3" w:rsidRDefault="000E6FDA" w:rsidP="000E6FDA">
            <w:pPr>
              <w:rPr>
                <w:rFonts w:eastAsiaTheme="minorEastAsia" w:cstheme="majorBidi"/>
                <w:color w:val="000000" w:themeColor="text1"/>
                <w:kern w:val="2"/>
                <w:lang w:val="fr-FR"/>
                <w14:ligatures w14:val="standardContextual"/>
              </w:rPr>
            </w:pPr>
            <w:r w:rsidRPr="00EA71D3">
              <w:rPr>
                <w:rFonts w:eastAsiaTheme="minorEastAsia" w:cstheme="majorBidi"/>
                <w:color w:val="000000" w:themeColor="text1"/>
                <w:kern w:val="2"/>
                <w:lang w:val="fr-FR"/>
                <w14:ligatures w14:val="standardContextual"/>
              </w:rPr>
              <w:t>1. Alt. Sensibiliser aux risques de pollution et à l'impact négatif de la pollution, quelle qu'en soit la source, sur la biodiversité et la santé humaine, ainsi qu'à la nécessité de réduire les excès de nutriments, le risque global lié aux pesticides et aux produits chimiques très dangereux, notamment par le biais de la lutte intégrée contre les ravageurs, sur la base de données scientifiques, et d'œuvrer à l'élimination de la pollution plastique.</w:t>
            </w:r>
          </w:p>
          <w:p w14:paraId="0DEF455F" w14:textId="7A143EAF" w:rsidR="002F7724" w:rsidRPr="00EA71D3" w:rsidRDefault="002F7724" w:rsidP="004D47D0">
            <w:pPr>
              <w:spacing w:before="60" w:after="60"/>
              <w:jc w:val="left"/>
              <w:rPr>
                <w:rFonts w:asciiTheme="majorBidi" w:eastAsiaTheme="minorEastAsia" w:hAnsiTheme="majorBidi" w:cstheme="majorBidi"/>
                <w:color w:val="000000" w:themeColor="text1"/>
                <w:kern w:val="2"/>
                <w:sz w:val="22"/>
                <w:szCs w:val="22"/>
                <w:lang w:val="fr-FR"/>
                <w14:ligatures w14:val="standardContextual"/>
              </w:rPr>
            </w:pPr>
            <w:r w:rsidRPr="00EA71D3">
              <w:rPr>
                <w:rFonts w:asciiTheme="majorBidi" w:hAnsiTheme="majorBidi"/>
                <w:sz w:val="22"/>
                <w:szCs w:val="22"/>
                <w:lang w:val="fr-FR"/>
              </w:rPr>
              <w:t xml:space="preserve">2. Favoriser la mise en œuvre d’orientations communes facultatives pour la gestion écologique des activités de santé publique, de médecine et de </w:t>
            </w:r>
            <w:r w:rsidRPr="00EA71D3">
              <w:rPr>
                <w:rFonts w:asciiTheme="majorBidi" w:hAnsiTheme="majorBidi"/>
                <w:sz w:val="22"/>
                <w:szCs w:val="22"/>
                <w:lang w:val="fr-FR"/>
              </w:rPr>
              <w:lastRenderedPageBreak/>
              <w:t>médecine vétérinaire et de leurs matières résiduelles</w:t>
            </w:r>
            <w:r w:rsidR="000E6FDA" w:rsidRPr="00EA71D3">
              <w:rPr>
                <w:rStyle w:val="FootnoteReference"/>
                <w:rFonts w:asciiTheme="majorBidi" w:eastAsiaTheme="minorEastAsia" w:hAnsiTheme="majorBidi" w:cstheme="majorBidi"/>
                <w:color w:val="000000" w:themeColor="text1"/>
                <w:kern w:val="2"/>
                <w:sz w:val="20"/>
                <w:szCs w:val="20"/>
                <w:lang w:val="fr-FR" w:eastAsia="zh-CN"/>
                <w14:ligatures w14:val="standardContextual"/>
              </w:rPr>
              <w:footnoteReference w:id="35"/>
            </w:r>
            <w:r w:rsidRPr="00EA71D3">
              <w:rPr>
                <w:rFonts w:asciiTheme="majorBidi" w:hAnsiTheme="majorBidi"/>
                <w:sz w:val="22"/>
                <w:szCs w:val="22"/>
                <w:lang w:val="fr-FR"/>
              </w:rPr>
              <w:t>, y compris pour éviter l’utilisation et l’élimination inappropriées [d’antibiotiques,] de produits pharmaceutiques</w:t>
            </w:r>
            <w:bookmarkStart w:id="5" w:name="_Ref168921528"/>
            <w:r w:rsidR="000E6FDA" w:rsidRPr="00EA71D3">
              <w:rPr>
                <w:rStyle w:val="FootnoteReference"/>
                <w:rFonts w:asciiTheme="majorBidi" w:eastAsiaTheme="minorEastAsia" w:hAnsiTheme="majorBidi" w:cstheme="majorBidi"/>
                <w:color w:val="000000" w:themeColor="text1"/>
                <w:kern w:val="2"/>
                <w:sz w:val="20"/>
                <w:szCs w:val="20"/>
                <w:lang w:val="fr-FR" w:eastAsia="zh-CN"/>
                <w14:ligatures w14:val="standardContextual"/>
              </w:rPr>
              <w:footnoteReference w:id="36"/>
            </w:r>
            <w:bookmarkEnd w:id="5"/>
            <w:r w:rsidRPr="00EA71D3">
              <w:rPr>
                <w:rFonts w:asciiTheme="majorBidi" w:hAnsiTheme="majorBidi"/>
                <w:sz w:val="22"/>
                <w:szCs w:val="22"/>
                <w:lang w:val="fr-FR"/>
              </w:rPr>
              <w:t>, de produits médicaux</w:t>
            </w:r>
            <w:bookmarkStart w:id="6" w:name="_Ref168921924"/>
            <w:r w:rsidR="000E6FDA" w:rsidRPr="00EA71D3">
              <w:rPr>
                <w:rStyle w:val="FootnoteReference"/>
                <w:rFonts w:asciiTheme="majorBidi" w:eastAsiaTheme="minorEastAsia" w:hAnsiTheme="majorBidi" w:cstheme="majorBidi"/>
                <w:color w:val="000000" w:themeColor="text1"/>
                <w:kern w:val="2"/>
                <w:sz w:val="20"/>
                <w:szCs w:val="20"/>
                <w:lang w:val="fr-FR" w:eastAsia="zh-CN"/>
                <w14:ligatures w14:val="standardContextual"/>
              </w:rPr>
              <w:footnoteReference w:id="37"/>
            </w:r>
            <w:bookmarkEnd w:id="6"/>
            <w:r w:rsidRPr="00EA71D3">
              <w:rPr>
                <w:rFonts w:asciiTheme="majorBidi" w:hAnsiTheme="majorBidi"/>
                <w:sz w:val="22"/>
                <w:szCs w:val="22"/>
                <w:lang w:val="fr-FR"/>
              </w:rPr>
              <w:t>, de métaux lourds et de matières résiduelles</w:t>
            </w:r>
            <w:r w:rsidR="000E6FDA" w:rsidRPr="00EA71D3">
              <w:rPr>
                <w:rStyle w:val="FootnoteReference"/>
                <w:rFonts w:asciiTheme="majorBidi" w:eastAsiaTheme="minorEastAsia" w:hAnsiTheme="majorBidi" w:cstheme="majorBidi"/>
                <w:color w:val="000000" w:themeColor="text1"/>
                <w:kern w:val="2"/>
                <w:sz w:val="20"/>
                <w:szCs w:val="20"/>
                <w:lang w:val="fr-FR" w:eastAsia="zh-CN"/>
                <w14:ligatures w14:val="standardContextual"/>
              </w:rPr>
              <w:footnoteReference w:id="38"/>
            </w:r>
            <w:r w:rsidRPr="00EA71D3">
              <w:rPr>
                <w:rFonts w:asciiTheme="majorBidi" w:hAnsiTheme="majorBidi"/>
                <w:sz w:val="22"/>
                <w:szCs w:val="22"/>
                <w:lang w:val="fr-FR"/>
              </w:rPr>
              <w:t>.</w:t>
            </w:r>
          </w:p>
          <w:p w14:paraId="2F450A94" w14:textId="2538D546" w:rsidR="002F7724" w:rsidRPr="00EA71D3" w:rsidRDefault="002F7724" w:rsidP="004D47D0">
            <w:pPr>
              <w:spacing w:before="60" w:after="60"/>
              <w:jc w:val="left"/>
              <w:rPr>
                <w:rFonts w:asciiTheme="majorBidi" w:hAnsiTheme="majorBidi" w:cstheme="majorBidi"/>
                <w:snapToGrid w:val="0"/>
                <w:color w:val="000000" w:themeColor="text1"/>
                <w:sz w:val="22"/>
                <w:szCs w:val="22"/>
                <w:lang w:val="fr-FR"/>
              </w:rPr>
            </w:pPr>
            <w:r w:rsidRPr="00EA71D3">
              <w:rPr>
                <w:rFonts w:asciiTheme="majorBidi" w:hAnsiTheme="majorBidi"/>
                <w:sz w:val="22"/>
                <w:szCs w:val="22"/>
                <w:lang w:val="fr-FR"/>
              </w:rPr>
              <w:t>3. Minimiser</w:t>
            </w:r>
            <w:r w:rsidRPr="00EA71D3">
              <w:rPr>
                <w:rFonts w:asciiTheme="majorBidi" w:hAnsiTheme="majorBidi"/>
                <w:snapToGrid w:val="0"/>
                <w:color w:val="000000" w:themeColor="text1"/>
                <w:sz w:val="22"/>
                <w:szCs w:val="22"/>
                <w:lang w:val="fr-FR"/>
              </w:rPr>
              <w:t xml:space="preserve"> la pollution découlant des systèmes municipaux de gestion des matières résiduelles et d’eaux usées et intégrer les questions de biodiversité et de santé dans les plans municipaux de gestion des matières résiduelles et des eaux usées ; et intégrer des stratégies nationale et infranationale pour la gestion des effluents d’eaux usées municipales dans les stratégies et plans d’action nationaux en matière de biodiversité. </w:t>
            </w:r>
          </w:p>
          <w:p w14:paraId="06B3AB08" w14:textId="5EC3B4DF" w:rsidR="002F7724" w:rsidRPr="00EA71D3" w:rsidRDefault="002F7724" w:rsidP="004D47D0">
            <w:pPr>
              <w:spacing w:before="60" w:after="60"/>
              <w:jc w:val="left"/>
              <w:rPr>
                <w:rFonts w:asciiTheme="majorBidi" w:eastAsiaTheme="minorEastAsia" w:hAnsiTheme="majorBidi" w:cstheme="majorBidi"/>
                <w:snapToGrid w:val="0"/>
                <w:color w:val="000000" w:themeColor="text1"/>
                <w:sz w:val="22"/>
                <w:szCs w:val="22"/>
                <w:lang w:val="fr-FR"/>
              </w:rPr>
            </w:pPr>
            <w:r w:rsidRPr="00EA71D3">
              <w:rPr>
                <w:rFonts w:asciiTheme="majorBidi" w:hAnsiTheme="majorBidi"/>
                <w:sz w:val="22"/>
                <w:szCs w:val="22"/>
                <w:lang w:val="fr-FR"/>
              </w:rPr>
              <w:t>4. Promouvoir</w:t>
            </w:r>
            <w:r w:rsidRPr="00EA71D3">
              <w:rPr>
                <w:rFonts w:asciiTheme="majorBidi" w:hAnsiTheme="majorBidi"/>
                <w:snapToGrid w:val="0"/>
                <w:color w:val="000000" w:themeColor="text1"/>
                <w:sz w:val="22"/>
                <w:szCs w:val="22"/>
                <w:lang w:val="fr-FR"/>
              </w:rPr>
              <w:t xml:space="preserve"> des stratégies visant à réduire la pollution lumineuse et sonore,</w:t>
            </w:r>
            <w:r w:rsidR="000E6FDA" w:rsidRPr="00EA71D3">
              <w:rPr>
                <w:rStyle w:val="FootnoteReference"/>
                <w:rFonts w:asciiTheme="majorBidi" w:hAnsiTheme="majorBidi" w:cstheme="majorBidi"/>
                <w:snapToGrid w:val="0"/>
                <w:color w:val="000000" w:themeColor="text1"/>
                <w:sz w:val="20"/>
                <w:szCs w:val="20"/>
                <w:lang w:val="fr-FR"/>
              </w:rPr>
              <w:t xml:space="preserve"> </w:t>
            </w:r>
            <w:r w:rsidR="000E6FDA" w:rsidRPr="00EA71D3">
              <w:rPr>
                <w:rStyle w:val="FootnoteReference"/>
                <w:rFonts w:asciiTheme="majorBidi" w:hAnsiTheme="majorBidi" w:cstheme="majorBidi"/>
                <w:snapToGrid w:val="0"/>
                <w:color w:val="000000" w:themeColor="text1"/>
                <w:sz w:val="20"/>
                <w:szCs w:val="20"/>
                <w:lang w:val="fr-FR"/>
              </w:rPr>
              <w:footnoteReference w:id="39"/>
            </w:r>
            <w:r w:rsidR="000E6FDA" w:rsidRPr="00EA71D3">
              <w:rPr>
                <w:vertAlign w:val="superscript"/>
                <w:lang w:val="fr-FR"/>
              </w:rPr>
              <w:t>,</w:t>
            </w:r>
            <w:r w:rsidR="000E6FDA" w:rsidRPr="00EA71D3">
              <w:rPr>
                <w:rStyle w:val="FootnoteReference"/>
                <w:rFonts w:asciiTheme="majorBidi" w:hAnsiTheme="majorBidi" w:cstheme="majorBidi"/>
                <w:snapToGrid w:val="0"/>
                <w:color w:val="000000" w:themeColor="text1"/>
                <w:sz w:val="20"/>
                <w:szCs w:val="20"/>
                <w:lang w:val="fr-FR"/>
              </w:rPr>
              <w:footnoteReference w:id="40"/>
            </w:r>
            <w:r w:rsidRPr="00EA71D3">
              <w:rPr>
                <w:rFonts w:asciiTheme="majorBidi" w:hAnsiTheme="majorBidi"/>
                <w:snapToGrid w:val="0"/>
                <w:color w:val="000000" w:themeColor="text1"/>
                <w:sz w:val="22"/>
                <w:szCs w:val="22"/>
                <w:lang w:val="fr-FR"/>
              </w:rPr>
              <w:t>surtout en environnement urbain, qui est nuisible à la santé humaine et à la santé des autres organismes.</w:t>
            </w:r>
          </w:p>
          <w:p w14:paraId="35B50E86" w14:textId="083D07D4" w:rsidR="002F7724" w:rsidRPr="00EA71D3" w:rsidRDefault="002F7724" w:rsidP="004D47D0">
            <w:pPr>
              <w:spacing w:before="60" w:after="60"/>
              <w:jc w:val="left"/>
              <w:rPr>
                <w:rFonts w:asciiTheme="majorBidi" w:hAnsiTheme="majorBidi"/>
                <w:snapToGrid w:val="0"/>
                <w:color w:val="000000" w:themeColor="text1"/>
                <w:sz w:val="22"/>
                <w:szCs w:val="22"/>
                <w:lang w:val="fr-FR"/>
              </w:rPr>
            </w:pPr>
            <w:r w:rsidRPr="00EA71D3">
              <w:rPr>
                <w:rFonts w:asciiTheme="majorBidi" w:hAnsiTheme="majorBidi"/>
                <w:snapToGrid w:val="0"/>
                <w:color w:val="000000" w:themeColor="text1"/>
                <w:sz w:val="22"/>
                <w:szCs w:val="22"/>
                <w:lang w:val="fr-FR"/>
              </w:rPr>
              <w:t>5. Tirer parti des systèmes nationaux sur la biosurveillance humaine</w:t>
            </w:r>
            <w:r w:rsidRPr="00EA71D3">
              <w:rPr>
                <w:rFonts w:asciiTheme="majorBidi" w:hAnsiTheme="majorBidi"/>
                <w:i/>
                <w:iCs/>
                <w:snapToGrid w:val="0"/>
                <w:color w:val="000000" w:themeColor="text1"/>
                <w:sz w:val="22"/>
                <w:szCs w:val="22"/>
                <w:vertAlign w:val="superscript"/>
                <w:lang w:val="fr-FR"/>
              </w:rPr>
              <w:t>d</w:t>
            </w:r>
            <w:r w:rsidRPr="00EA71D3">
              <w:rPr>
                <w:rFonts w:asciiTheme="majorBidi" w:hAnsiTheme="majorBidi"/>
                <w:snapToGrid w:val="0"/>
                <w:color w:val="000000" w:themeColor="text1"/>
                <w:sz w:val="22"/>
                <w:szCs w:val="22"/>
                <w:vertAlign w:val="superscript"/>
                <w:lang w:val="fr-FR"/>
              </w:rPr>
              <w:t xml:space="preserve"> </w:t>
            </w:r>
            <w:r w:rsidRPr="00EA71D3">
              <w:rPr>
                <w:rFonts w:asciiTheme="majorBidi" w:hAnsiTheme="majorBidi"/>
                <w:snapToGrid w:val="0"/>
                <w:color w:val="000000" w:themeColor="text1"/>
                <w:sz w:val="22"/>
                <w:szCs w:val="22"/>
                <w:lang w:val="fr-FR"/>
              </w:rPr>
              <w:t>avec l’objectif, entre autres, de mobiliser des ressources pour produire ou améliorer les données nécessaires pour élaborer de nouvelles stratégies visant à renforcer les mesures de contrôle de pollution.</w:t>
            </w:r>
            <w:r w:rsidR="000E6FDA" w:rsidRPr="00EA71D3">
              <w:rPr>
                <w:rStyle w:val="FootnoteReference"/>
                <w:rFonts w:asciiTheme="majorBidi" w:hAnsiTheme="majorBidi" w:cstheme="majorBidi"/>
                <w:snapToGrid w:val="0"/>
                <w:color w:val="000000" w:themeColor="text1"/>
                <w:sz w:val="20"/>
                <w:szCs w:val="20"/>
                <w:lang w:val="fr-FR"/>
              </w:rPr>
              <w:t xml:space="preserve"> </w:t>
            </w:r>
            <w:r w:rsidR="000E6FDA" w:rsidRPr="00EA71D3">
              <w:rPr>
                <w:rStyle w:val="FootnoteReference"/>
                <w:rFonts w:asciiTheme="majorBidi" w:hAnsiTheme="majorBidi" w:cstheme="majorBidi"/>
                <w:snapToGrid w:val="0"/>
                <w:color w:val="000000" w:themeColor="text1"/>
                <w:sz w:val="20"/>
                <w:szCs w:val="20"/>
                <w:lang w:val="fr-FR"/>
              </w:rPr>
              <w:footnoteReference w:id="41"/>
            </w:r>
          </w:p>
          <w:p w14:paraId="7DFB027E" w14:textId="3061B4F7" w:rsidR="002F7724" w:rsidRPr="00EA71D3" w:rsidRDefault="000E6FDA" w:rsidP="004D47D0">
            <w:pPr>
              <w:spacing w:before="60" w:after="60"/>
              <w:jc w:val="left"/>
              <w:rPr>
                <w:rFonts w:asciiTheme="majorBidi" w:hAnsiTheme="majorBidi" w:cstheme="majorBidi"/>
                <w:snapToGrid w:val="0"/>
                <w:color w:val="000000" w:themeColor="text1"/>
                <w:sz w:val="22"/>
                <w:szCs w:val="22"/>
                <w:lang w:val="fr-FR"/>
              </w:rPr>
            </w:pPr>
            <w:r w:rsidRPr="00EA71D3">
              <w:rPr>
                <w:rFonts w:asciiTheme="majorBidi" w:hAnsiTheme="majorBidi" w:cstheme="majorBidi"/>
                <w:snapToGrid w:val="0"/>
                <w:color w:val="000000" w:themeColor="text1"/>
                <w:sz w:val="22"/>
                <w:szCs w:val="22"/>
                <w:lang w:val="fr-FR"/>
              </w:rPr>
              <w:t>6</w:t>
            </w:r>
            <w:r w:rsidR="002F7724" w:rsidRPr="00EA71D3">
              <w:rPr>
                <w:rFonts w:asciiTheme="majorBidi" w:hAnsiTheme="majorBidi" w:cstheme="majorBidi"/>
                <w:snapToGrid w:val="0"/>
                <w:color w:val="000000" w:themeColor="text1"/>
                <w:sz w:val="22"/>
                <w:szCs w:val="22"/>
                <w:lang w:val="fr-FR"/>
              </w:rPr>
              <w:t xml:space="preserve">. Élaborer des données de suivi et/ou de surveillance, améliorer le partage d’information et promouvoir la compréhension des liens entre les produits chimiques, les matières résiduelles et les impacts sur la santé, afin de </w:t>
            </w:r>
            <w:r w:rsidR="002F7724" w:rsidRPr="00EA71D3">
              <w:rPr>
                <w:rFonts w:asciiTheme="majorBidi" w:hAnsiTheme="majorBidi" w:cstheme="majorBidi"/>
                <w:snapToGrid w:val="0"/>
                <w:color w:val="000000" w:themeColor="text1"/>
                <w:sz w:val="22"/>
                <w:szCs w:val="22"/>
                <w:lang w:val="fr-FR"/>
              </w:rPr>
              <w:lastRenderedPageBreak/>
              <w:t>maximiser les co-avantages pour la biodiversité et la santé humaine, notamment grâce aux approches Une seule santé.</w:t>
            </w:r>
          </w:p>
          <w:p w14:paraId="132B9D4D" w14:textId="58FB8BC2" w:rsidR="002F7724" w:rsidRPr="00EA71D3" w:rsidRDefault="002F7724" w:rsidP="004D47D0">
            <w:pPr>
              <w:spacing w:before="60" w:after="60"/>
              <w:ind w:left="210" w:hanging="90"/>
              <w:jc w:val="left"/>
              <w:rPr>
                <w:rFonts w:asciiTheme="majorBidi" w:hAnsiTheme="majorBidi" w:cstheme="majorBidi"/>
                <w:snapToGrid w:val="0"/>
                <w:color w:val="000000" w:themeColor="text1"/>
                <w:sz w:val="22"/>
                <w:szCs w:val="22"/>
                <w:lang w:val="fr-FR"/>
              </w:rPr>
            </w:pPr>
          </w:p>
        </w:tc>
      </w:tr>
      <w:tr w:rsidR="002F7724" w:rsidRPr="00EA71D3" w14:paraId="05CCE706" w14:textId="77777777" w:rsidTr="004D47D0">
        <w:tc>
          <w:tcPr>
            <w:tcW w:w="13874" w:type="dxa"/>
            <w:gridSpan w:val="3"/>
          </w:tcPr>
          <w:p w14:paraId="71B69DB4" w14:textId="77777777" w:rsidR="002F7724" w:rsidRPr="00EA71D3" w:rsidRDefault="002F7724" w:rsidP="004D47D0">
            <w:pPr>
              <w:spacing w:before="40" w:after="40"/>
              <w:jc w:val="left"/>
              <w:rPr>
                <w:rFonts w:asciiTheme="majorBidi" w:eastAsiaTheme="minorEastAsia" w:hAnsiTheme="majorBidi" w:cstheme="majorBidi"/>
                <w:b/>
                <w:color w:val="000000" w:themeColor="text1"/>
                <w:spacing w:val="6"/>
                <w:kern w:val="2"/>
                <w:sz w:val="22"/>
                <w:szCs w:val="22"/>
                <w:lang w:val="fr-FR"/>
                <w14:ligatures w14:val="standardContextual"/>
              </w:rPr>
            </w:pPr>
            <w:r w:rsidRPr="00EA71D3">
              <w:rPr>
                <w:rFonts w:asciiTheme="majorBidi" w:hAnsiTheme="majorBidi"/>
                <w:b/>
                <w:color w:val="000000" w:themeColor="text1"/>
                <w:sz w:val="22"/>
                <w:szCs w:val="22"/>
                <w:lang w:val="fr-FR"/>
              </w:rPr>
              <w:lastRenderedPageBreak/>
              <w:t xml:space="preserve">Changements climatiques </w:t>
            </w:r>
          </w:p>
        </w:tc>
      </w:tr>
      <w:tr w:rsidR="002F7724" w:rsidRPr="00EA71D3" w14:paraId="177312C0" w14:textId="77777777" w:rsidTr="004D47D0">
        <w:tc>
          <w:tcPr>
            <w:tcW w:w="2984" w:type="dxa"/>
          </w:tcPr>
          <w:p w14:paraId="20C7828F" w14:textId="77777777" w:rsidR="002F7724" w:rsidRPr="00EA71D3" w:rsidRDefault="002F7724" w:rsidP="004D47D0">
            <w:pPr>
              <w:spacing w:before="40" w:after="40"/>
              <w:jc w:val="left"/>
              <w:rPr>
                <w:rFonts w:asciiTheme="majorBidi" w:eastAsiaTheme="minorEastAsia" w:hAnsiTheme="majorBidi" w:cstheme="majorBidi"/>
                <w:bCs/>
                <w:color w:val="000000" w:themeColor="text1"/>
                <w:kern w:val="2"/>
                <w:sz w:val="22"/>
                <w:szCs w:val="22"/>
                <w:lang w:val="fr-FR"/>
                <w14:ligatures w14:val="standardContextual"/>
              </w:rPr>
            </w:pPr>
            <w:r w:rsidRPr="00EA71D3">
              <w:rPr>
                <w:rFonts w:asciiTheme="majorBidi" w:hAnsiTheme="majorBidi"/>
                <w:bCs/>
                <w:color w:val="000000" w:themeColor="text1"/>
                <w:sz w:val="22"/>
                <w:szCs w:val="22"/>
                <w:lang w:val="fr-FR"/>
              </w:rPr>
              <w:t>Cible 8</w:t>
            </w:r>
          </w:p>
        </w:tc>
        <w:tc>
          <w:tcPr>
            <w:tcW w:w="3822" w:type="dxa"/>
          </w:tcPr>
          <w:p w14:paraId="20E87654" w14:textId="67F86243" w:rsidR="002F7724" w:rsidRPr="00EA71D3" w:rsidRDefault="002F7724" w:rsidP="004D47D0">
            <w:pPr>
              <w:spacing w:before="40" w:after="40"/>
              <w:jc w:val="left"/>
              <w:rPr>
                <w:rFonts w:asciiTheme="majorBidi" w:hAnsiTheme="majorBidi"/>
                <w:color w:val="000000" w:themeColor="text1"/>
                <w:sz w:val="22"/>
                <w:szCs w:val="22"/>
                <w:lang w:val="fr-FR"/>
              </w:rPr>
            </w:pPr>
            <w:r w:rsidRPr="00EA71D3">
              <w:rPr>
                <w:rFonts w:asciiTheme="majorBidi" w:hAnsiTheme="majorBidi"/>
                <w:sz w:val="22"/>
                <w:szCs w:val="22"/>
                <w:lang w:val="fr-FR"/>
              </w:rPr>
              <w:t>Les changements climatiques exacerbés par l’appauvrissement de la diversité biologique, sont un moteur de la perte de biodiversité et de la maladie.</w:t>
            </w:r>
            <w:bookmarkStart w:id="7" w:name="_Ref168921998"/>
            <w:r w:rsidR="000E6FDA" w:rsidRPr="00EA71D3">
              <w:rPr>
                <w:rStyle w:val="FootnoteReference"/>
                <w:rFonts w:asciiTheme="majorBidi" w:eastAsiaTheme="minorEastAsia" w:hAnsiTheme="majorBidi" w:cstheme="majorBidi"/>
                <w:color w:val="000000" w:themeColor="text1"/>
                <w:kern w:val="2"/>
                <w:sz w:val="20"/>
                <w:szCs w:val="20"/>
                <w:lang w:val="fr-FR" w:eastAsia="zh-CN"/>
                <w14:ligatures w14:val="standardContextual"/>
              </w:rPr>
              <w:t xml:space="preserve"> </w:t>
            </w:r>
            <w:r w:rsidR="000E6FDA" w:rsidRPr="00EA71D3">
              <w:rPr>
                <w:rStyle w:val="FootnoteReference"/>
                <w:rFonts w:asciiTheme="majorBidi" w:eastAsiaTheme="minorEastAsia" w:hAnsiTheme="majorBidi" w:cstheme="majorBidi"/>
                <w:color w:val="000000" w:themeColor="text1"/>
                <w:kern w:val="2"/>
                <w:sz w:val="20"/>
                <w:szCs w:val="20"/>
                <w:lang w:val="fr-FR" w:eastAsia="zh-CN"/>
                <w14:ligatures w14:val="standardContextual"/>
              </w:rPr>
              <w:footnoteReference w:id="42"/>
            </w:r>
            <w:bookmarkEnd w:id="7"/>
            <w:r w:rsidRPr="00EA71D3">
              <w:rPr>
                <w:rFonts w:asciiTheme="majorBidi" w:hAnsiTheme="majorBidi"/>
                <w:sz w:val="22"/>
                <w:szCs w:val="22"/>
                <w:lang w:val="fr-FR"/>
              </w:rPr>
              <w:t xml:space="preserve"> </w:t>
            </w:r>
            <w:r w:rsidRPr="00EA71D3">
              <w:rPr>
                <w:rFonts w:asciiTheme="majorBidi" w:hAnsiTheme="majorBidi"/>
                <w:color w:val="000000" w:themeColor="text1"/>
                <w:sz w:val="22"/>
                <w:szCs w:val="22"/>
                <w:lang w:val="fr-FR"/>
              </w:rPr>
              <w:t xml:space="preserve">Ils augmentent les risques de phénomènes météorologiques extrêmes (p. ex. : canicules, feux de forêt, sécheresses et inondations) et d’acidification des océans et ont une incidence défavorable sur la qualité et la quantité d’eau, la production d’aliments provenant de l’agriculture, le bétail, les pêches et l’aquaculture, et les infrastructures qui soutiennent les villes et les zones de peuplement, ce qui augmente les risques de maladies à transmission vectorielle et à transmission vectorielle liée à l’eau et aux aliments, de malnutrition, de maladies liées à la chaleur, les risques liés à la santé mentale et les risques de déplacements forcés des êtres humains. Les risques liés aux changements climatiques ont une incidence sur les êtres humains, les animaux, les plantes </w:t>
            </w:r>
            <w:r w:rsidRPr="00EA71D3">
              <w:rPr>
                <w:rFonts w:asciiTheme="majorBidi" w:hAnsiTheme="majorBidi"/>
                <w:color w:val="000000" w:themeColor="text1"/>
                <w:sz w:val="22"/>
                <w:szCs w:val="22"/>
                <w:lang w:val="fr-FR"/>
              </w:rPr>
              <w:lastRenderedPageBreak/>
              <w:t>et les écosystèmes.</w:t>
            </w:r>
            <w:r w:rsidR="000E6FDA" w:rsidRPr="00EA71D3">
              <w:rPr>
                <w:rStyle w:val="FootnoteReference"/>
                <w:rFonts w:asciiTheme="majorBidi" w:eastAsiaTheme="minorEastAsia" w:hAnsiTheme="majorBidi" w:cstheme="majorBidi"/>
                <w:color w:val="000000" w:themeColor="text1"/>
                <w:kern w:val="2"/>
                <w:sz w:val="20"/>
                <w:szCs w:val="20"/>
                <w:lang w:val="fr-FR" w:eastAsia="zh-CN"/>
                <w14:ligatures w14:val="standardContextual"/>
              </w:rPr>
              <w:footnoteReference w:id="43"/>
            </w:r>
            <w:r w:rsidR="000E6FDA" w:rsidRPr="00EA71D3">
              <w:rPr>
                <w:rFonts w:asciiTheme="majorBidi" w:eastAsiaTheme="minorEastAsia" w:hAnsiTheme="majorBidi" w:cstheme="majorBidi"/>
                <w:color w:val="000000" w:themeColor="text1"/>
                <w:kern w:val="2"/>
                <w:sz w:val="20"/>
                <w:szCs w:val="20"/>
                <w:vertAlign w:val="superscript"/>
                <w:lang w:val="fr-FR" w:eastAsia="zh-CN"/>
                <w14:ligatures w14:val="standardContextual"/>
              </w:rPr>
              <w:t xml:space="preserve">, </w:t>
            </w:r>
            <w:r w:rsidR="000E6FDA" w:rsidRPr="00EA71D3">
              <w:rPr>
                <w:rStyle w:val="FootnoteReference"/>
                <w:rFonts w:asciiTheme="majorBidi" w:eastAsiaTheme="minorEastAsia" w:hAnsiTheme="majorBidi" w:cstheme="majorBidi"/>
                <w:color w:val="000000" w:themeColor="text1"/>
                <w:kern w:val="2"/>
                <w:sz w:val="20"/>
                <w:szCs w:val="20"/>
                <w:lang w:val="fr-FR" w:eastAsia="zh-CN"/>
                <w14:ligatures w14:val="standardContextual"/>
              </w:rPr>
              <w:footnoteReference w:id="44"/>
            </w:r>
            <w:r w:rsidR="000E6FDA" w:rsidRPr="00EA71D3">
              <w:rPr>
                <w:rFonts w:asciiTheme="majorBidi" w:eastAsiaTheme="minorEastAsia" w:hAnsiTheme="majorBidi" w:cstheme="majorBidi"/>
                <w:color w:val="000000" w:themeColor="text1"/>
                <w:kern w:val="2"/>
                <w:sz w:val="20"/>
                <w:szCs w:val="20"/>
                <w:vertAlign w:val="superscript"/>
                <w:lang w:val="fr-FR" w:eastAsia="zh-CN"/>
                <w14:ligatures w14:val="standardContextual"/>
              </w:rPr>
              <w:t xml:space="preserve"> </w:t>
            </w:r>
            <w:r w:rsidRPr="00EA71D3">
              <w:rPr>
                <w:rFonts w:asciiTheme="majorBidi" w:hAnsiTheme="majorBidi"/>
                <w:color w:val="000000" w:themeColor="text1"/>
                <w:sz w:val="22"/>
                <w:szCs w:val="22"/>
                <w:lang w:val="fr-FR"/>
              </w:rPr>
              <w:t>Les solutions basées sur la nature</w:t>
            </w:r>
            <w:r w:rsidR="000E6FDA" w:rsidRPr="00EA71D3">
              <w:rPr>
                <w:rFonts w:asciiTheme="majorBidi" w:hAnsiTheme="majorBidi" w:cstheme="majorBidi"/>
                <w:i/>
                <w:iCs/>
                <w:color w:val="000000" w:themeColor="text1"/>
                <w:kern w:val="2"/>
                <w:sz w:val="20"/>
                <w:szCs w:val="20"/>
                <w:vertAlign w:val="superscript"/>
                <w:lang w:val="fr-FR" w:eastAsia="zh-CN"/>
                <w14:ligatures w14:val="standardContextual"/>
              </w:rPr>
              <w:t>e</w:t>
            </w:r>
            <w:r w:rsidRPr="00EA71D3">
              <w:rPr>
                <w:rFonts w:asciiTheme="majorBidi" w:hAnsiTheme="majorBidi"/>
                <w:sz w:val="22"/>
                <w:szCs w:val="22"/>
                <w:lang w:val="fr-FR"/>
              </w:rPr>
              <w:t xml:space="preserve"> </w:t>
            </w:r>
            <w:r w:rsidRPr="00EA71D3">
              <w:rPr>
                <w:rFonts w:asciiTheme="majorBidi" w:hAnsiTheme="majorBidi"/>
                <w:color w:val="000000" w:themeColor="text1"/>
                <w:sz w:val="22"/>
                <w:szCs w:val="22"/>
                <w:lang w:val="fr-FR"/>
              </w:rPr>
              <w:t>et/ou les approches fondées sur les écosystèmes peuvent aider à atténuer les changements climatiques et à améliorer la résistance à ces derniers, et à s’y adapter.</w:t>
            </w:r>
          </w:p>
          <w:p w14:paraId="111027D8" w14:textId="7A08DED7" w:rsidR="002F7724" w:rsidRPr="00EA71D3" w:rsidRDefault="002F7724" w:rsidP="004D47D0">
            <w:pPr>
              <w:spacing w:before="40" w:after="40"/>
              <w:ind w:left="252" w:hanging="180"/>
              <w:jc w:val="left"/>
              <w:rPr>
                <w:rFonts w:asciiTheme="majorBidi" w:eastAsiaTheme="minorEastAsia" w:hAnsiTheme="majorBidi" w:cstheme="majorBidi"/>
                <w:color w:val="000000" w:themeColor="text1"/>
                <w:kern w:val="2"/>
                <w:sz w:val="22"/>
                <w:szCs w:val="22"/>
                <w:lang w:val="fr-FR"/>
                <w14:ligatures w14:val="standardContextual"/>
              </w:rPr>
            </w:pPr>
          </w:p>
        </w:tc>
        <w:tc>
          <w:tcPr>
            <w:tcW w:w="7068" w:type="dxa"/>
          </w:tcPr>
          <w:p w14:paraId="33D54D34" w14:textId="4EAAD11B" w:rsidR="002F7724" w:rsidRPr="00EA71D3" w:rsidRDefault="002F7724" w:rsidP="004D47D0">
            <w:pPr>
              <w:spacing w:before="40" w:after="40"/>
              <w:jc w:val="left"/>
              <w:rPr>
                <w:rFonts w:asciiTheme="majorBidi" w:eastAsiaTheme="minorEastAsia" w:hAnsiTheme="majorBidi" w:cstheme="majorBidi"/>
                <w:color w:val="000000" w:themeColor="text1"/>
                <w:kern w:val="2"/>
                <w:sz w:val="22"/>
                <w:szCs w:val="22"/>
                <w:lang w:val="fr-FR"/>
                <w14:ligatures w14:val="standardContextual"/>
              </w:rPr>
            </w:pPr>
            <w:r w:rsidRPr="00EA71D3">
              <w:rPr>
                <w:rFonts w:asciiTheme="majorBidi" w:hAnsiTheme="majorBidi"/>
                <w:sz w:val="22"/>
                <w:szCs w:val="22"/>
                <w:lang w:val="fr-FR"/>
              </w:rPr>
              <w:lastRenderedPageBreak/>
              <w:t xml:space="preserve">1. Prendre en compte les </w:t>
            </w:r>
            <w:r w:rsidR="00663B4B" w:rsidRPr="00EA71D3">
              <w:rPr>
                <w:rFonts w:asciiTheme="majorBidi" w:hAnsiTheme="majorBidi"/>
                <w:sz w:val="22"/>
                <w:szCs w:val="22"/>
                <w:lang w:val="fr-FR"/>
              </w:rPr>
              <w:t>interrelations</w:t>
            </w:r>
            <w:r w:rsidRPr="00EA71D3">
              <w:rPr>
                <w:rFonts w:asciiTheme="majorBidi" w:hAnsiTheme="majorBidi"/>
                <w:sz w:val="22"/>
                <w:szCs w:val="22"/>
                <w:lang w:val="fr-FR"/>
              </w:rPr>
              <w:t xml:space="preserve"> entre les changements climatiques et la santé dans les politiques et instruments de planification nationaux pertinents, conformément aux circonstances et priorités nationales.</w:t>
            </w:r>
          </w:p>
          <w:p w14:paraId="18FFA586" w14:textId="5FAAADE7" w:rsidR="002F7724" w:rsidRPr="00EA71D3" w:rsidRDefault="002F7724" w:rsidP="004D47D0">
            <w:pPr>
              <w:spacing w:before="60" w:after="60"/>
              <w:jc w:val="left"/>
              <w:rPr>
                <w:rFonts w:asciiTheme="majorBidi" w:eastAsiaTheme="minorEastAsia" w:hAnsiTheme="majorBidi" w:cstheme="majorBidi"/>
                <w:strike/>
                <w:kern w:val="2"/>
                <w:sz w:val="22"/>
                <w:szCs w:val="22"/>
                <w:lang w:val="fr-FR"/>
                <w14:ligatures w14:val="standardContextual"/>
              </w:rPr>
            </w:pPr>
            <w:r w:rsidRPr="00EA71D3">
              <w:rPr>
                <w:rFonts w:asciiTheme="majorBidi" w:hAnsiTheme="majorBidi"/>
                <w:sz w:val="22"/>
                <w:szCs w:val="22"/>
                <w:lang w:val="fr-FR"/>
              </w:rPr>
              <w:t xml:space="preserve">2. Renforcer le développement et le renforcement des capacités afin de tenir compte des </w:t>
            </w:r>
            <w:r w:rsidR="00663B4B" w:rsidRPr="00EA71D3">
              <w:rPr>
                <w:rFonts w:asciiTheme="majorBidi" w:hAnsiTheme="majorBidi"/>
                <w:sz w:val="22"/>
                <w:szCs w:val="22"/>
                <w:lang w:val="fr-FR"/>
              </w:rPr>
              <w:t>interrelations</w:t>
            </w:r>
            <w:r w:rsidRPr="00EA71D3">
              <w:rPr>
                <w:rFonts w:asciiTheme="majorBidi" w:hAnsiTheme="majorBidi"/>
                <w:sz w:val="22"/>
                <w:szCs w:val="22"/>
                <w:lang w:val="fr-FR"/>
              </w:rPr>
              <w:t xml:space="preserve"> entre la biodiversité, les changements climatiques et la santé, notamment grâce à </w:t>
            </w:r>
            <w:r w:rsidR="000E6FDA" w:rsidRPr="00EA71D3">
              <w:rPr>
                <w:rFonts w:asciiTheme="majorBidi" w:hAnsiTheme="majorBidi"/>
                <w:sz w:val="22"/>
                <w:szCs w:val="22"/>
                <w:lang w:val="fr-FR"/>
              </w:rPr>
              <w:t>la</w:t>
            </w:r>
            <w:r w:rsidRPr="00EA71D3">
              <w:rPr>
                <w:rFonts w:asciiTheme="majorBidi" w:hAnsiTheme="majorBidi"/>
                <w:sz w:val="22"/>
                <w:szCs w:val="22"/>
                <w:lang w:val="fr-FR"/>
              </w:rPr>
              <w:t xml:space="preserve"> recherche</w:t>
            </w:r>
            <w:r w:rsidR="000E6FDA" w:rsidRPr="00EA71D3">
              <w:rPr>
                <w:rFonts w:asciiTheme="majorBidi" w:hAnsiTheme="majorBidi"/>
                <w:sz w:val="22"/>
                <w:szCs w:val="22"/>
                <w:lang w:val="fr-FR"/>
              </w:rPr>
              <w:t xml:space="preserve"> et à </w:t>
            </w:r>
            <w:r w:rsidRPr="00EA71D3">
              <w:rPr>
                <w:rFonts w:asciiTheme="majorBidi" w:hAnsiTheme="majorBidi"/>
                <w:sz w:val="22"/>
                <w:szCs w:val="22"/>
                <w:lang w:val="fr-FR"/>
              </w:rPr>
              <w:t xml:space="preserve">l’éducation et </w:t>
            </w:r>
            <w:r w:rsidR="000E6FDA" w:rsidRPr="00EA71D3">
              <w:rPr>
                <w:rFonts w:asciiTheme="majorBidi" w:hAnsiTheme="majorBidi"/>
                <w:sz w:val="22"/>
                <w:szCs w:val="22"/>
                <w:lang w:val="fr-FR"/>
              </w:rPr>
              <w:t xml:space="preserve">au moyen de </w:t>
            </w:r>
            <w:r w:rsidRPr="00EA71D3">
              <w:rPr>
                <w:rFonts w:asciiTheme="majorBidi" w:hAnsiTheme="majorBidi"/>
                <w:sz w:val="22"/>
                <w:szCs w:val="22"/>
                <w:lang w:val="fr-FR"/>
              </w:rPr>
              <w:t>la création d’outils de connaissances et de communication, et améliorer la coopération internationale grâce au transfert de technologie.</w:t>
            </w:r>
          </w:p>
          <w:p w14:paraId="227DD328" w14:textId="3B81B4FB" w:rsidR="002F7724" w:rsidRPr="00EA71D3" w:rsidRDefault="002F7724" w:rsidP="004D47D0">
            <w:pPr>
              <w:spacing w:before="60" w:after="60"/>
              <w:jc w:val="left"/>
              <w:rPr>
                <w:rFonts w:asciiTheme="majorBidi" w:eastAsiaTheme="minorEastAsia" w:hAnsiTheme="majorBidi" w:cstheme="majorBidi"/>
                <w:color w:val="000000" w:themeColor="text1"/>
                <w:kern w:val="2"/>
                <w:sz w:val="22"/>
                <w:szCs w:val="22"/>
                <w:lang w:val="fr-FR"/>
                <w14:ligatures w14:val="standardContextual"/>
              </w:rPr>
            </w:pPr>
            <w:r w:rsidRPr="00EA71D3">
              <w:rPr>
                <w:rFonts w:asciiTheme="majorBidi" w:hAnsiTheme="majorBidi"/>
                <w:color w:val="000000" w:themeColor="text1"/>
                <w:sz w:val="22"/>
                <w:szCs w:val="22"/>
                <w:lang w:val="fr-FR"/>
              </w:rPr>
              <w:t>3. Co-élaborer et mettre en place des systèmes d’alerte précoce pour prédire les flambées de maladie dans les écosystèmes terrestres, les écosystèmes des eaux intérieures et les écosystèmes marins en intégrant des renseignements interopérables</w:t>
            </w:r>
            <w:r w:rsidRPr="00EA71D3">
              <w:rPr>
                <w:rFonts w:asciiTheme="majorBidi" w:hAnsiTheme="majorBidi"/>
                <w:i/>
                <w:iCs/>
                <w:color w:val="000000" w:themeColor="text1"/>
                <w:sz w:val="22"/>
                <w:szCs w:val="22"/>
                <w:vertAlign w:val="superscript"/>
                <w:lang w:val="fr-FR"/>
              </w:rPr>
              <w:t>f</w:t>
            </w:r>
            <w:r w:rsidRPr="00EA71D3">
              <w:rPr>
                <w:rFonts w:asciiTheme="majorBidi" w:hAnsiTheme="majorBidi"/>
                <w:color w:val="000000" w:themeColor="text1"/>
                <w:sz w:val="22"/>
                <w:szCs w:val="22"/>
                <w:lang w:val="fr-FR"/>
              </w:rPr>
              <w:t xml:space="preserve"> sur le climat et l’environnement, ainsi que des renseignements épidémiologiques, à des échelles spatiales et temporelles appropriées, afin d’appuyer la prise locale de décisions.</w:t>
            </w:r>
            <w:r w:rsidR="000E6FDA" w:rsidRPr="00EA71D3">
              <w:rPr>
                <w:rStyle w:val="FootnoteReference"/>
                <w:rFonts w:asciiTheme="majorBidi" w:eastAsiaTheme="minorEastAsia" w:hAnsiTheme="majorBidi" w:cstheme="majorBidi"/>
                <w:color w:val="000000" w:themeColor="text1"/>
                <w:kern w:val="2"/>
                <w:sz w:val="20"/>
                <w:szCs w:val="20"/>
                <w:lang w:val="fr-FR" w:eastAsia="zh-CN"/>
                <w14:ligatures w14:val="standardContextual"/>
              </w:rPr>
              <w:footnoteReference w:id="45"/>
            </w:r>
          </w:p>
          <w:p w14:paraId="501A7854" w14:textId="77777777" w:rsidR="002F7724" w:rsidRPr="00EA71D3" w:rsidRDefault="002F7724" w:rsidP="004D47D0">
            <w:pPr>
              <w:spacing w:before="60" w:after="60"/>
              <w:jc w:val="left"/>
              <w:rPr>
                <w:rFonts w:asciiTheme="majorBidi" w:hAnsiTheme="majorBidi" w:cstheme="majorBidi"/>
                <w:kern w:val="2"/>
                <w:sz w:val="22"/>
                <w:szCs w:val="22"/>
                <w:lang w:val="fr-FR"/>
                <w14:ligatures w14:val="standardContextual"/>
              </w:rPr>
            </w:pPr>
            <w:r w:rsidRPr="00EA71D3">
              <w:rPr>
                <w:rFonts w:asciiTheme="majorBidi" w:hAnsiTheme="majorBidi"/>
                <w:sz w:val="22"/>
                <w:szCs w:val="22"/>
                <w:lang w:val="fr-FR"/>
              </w:rPr>
              <w:t>4. Favoriser la recherche sur les interrelations potentielles des changements climatiques, de la biodiversité et de la santé, par exemple sur les maladies à transmission vectorielle et à transmission vectorielle liée à l’eau et sur la santé mentale.</w:t>
            </w:r>
          </w:p>
          <w:p w14:paraId="2286FD58" w14:textId="07ED57D0" w:rsidR="002F7724" w:rsidRPr="00EA71D3" w:rsidRDefault="002F7724" w:rsidP="004D47D0">
            <w:pPr>
              <w:spacing w:before="40" w:after="40"/>
              <w:ind w:right="-20"/>
              <w:jc w:val="left"/>
              <w:rPr>
                <w:rFonts w:asciiTheme="majorBidi" w:hAnsiTheme="majorBidi"/>
                <w:sz w:val="22"/>
                <w:szCs w:val="22"/>
                <w:lang w:val="fr-FR"/>
              </w:rPr>
            </w:pPr>
            <w:r w:rsidRPr="00EA71D3">
              <w:rPr>
                <w:rFonts w:asciiTheme="majorBidi" w:hAnsiTheme="majorBidi"/>
                <w:sz w:val="22"/>
                <w:szCs w:val="22"/>
                <w:lang w:val="fr-FR"/>
              </w:rPr>
              <w:t>5. Sensibiliser la population aux co-avantages possibles des solutions basées sur la nature et/ou les approches fondées sur les écosystèmes pour la santé humaine, et envisager d’intégrer ces co-avantages</w:t>
            </w:r>
            <w:r w:rsidR="000E6FDA" w:rsidRPr="00EA71D3">
              <w:rPr>
                <w:lang w:val="fr-FR"/>
              </w:rPr>
              <w:t xml:space="preserve"> </w:t>
            </w:r>
            <w:r w:rsidR="000E6FDA" w:rsidRPr="00EA71D3">
              <w:rPr>
                <w:rFonts w:asciiTheme="majorBidi" w:hAnsiTheme="majorBidi"/>
                <w:sz w:val="22"/>
                <w:szCs w:val="22"/>
                <w:lang w:val="fr-FR"/>
              </w:rPr>
              <w:t>dans les politiques et les instruments de planification pertinents</w:t>
            </w:r>
            <w:r w:rsidRPr="00EA71D3">
              <w:rPr>
                <w:rFonts w:asciiTheme="majorBidi" w:hAnsiTheme="majorBidi"/>
                <w:sz w:val="22"/>
                <w:szCs w:val="22"/>
                <w:lang w:val="fr-FR"/>
              </w:rPr>
              <w:t xml:space="preserve">. </w:t>
            </w:r>
          </w:p>
          <w:p w14:paraId="2FB1CFBE" w14:textId="2B7272F0" w:rsidR="002F7724" w:rsidRPr="00EA71D3" w:rsidRDefault="002F7724" w:rsidP="004D47D0">
            <w:pPr>
              <w:spacing w:before="40" w:after="40"/>
              <w:ind w:right="-20"/>
              <w:jc w:val="left"/>
              <w:rPr>
                <w:rFonts w:asciiTheme="majorBidi" w:hAnsiTheme="majorBidi"/>
                <w:sz w:val="22"/>
                <w:szCs w:val="22"/>
                <w:lang w:val="fr-FR"/>
              </w:rPr>
            </w:pPr>
            <w:r w:rsidRPr="00EA71D3">
              <w:rPr>
                <w:rFonts w:asciiTheme="majorBidi" w:hAnsiTheme="majorBidi"/>
                <w:sz w:val="22"/>
                <w:szCs w:val="22"/>
                <w:lang w:val="fr-FR"/>
              </w:rPr>
              <w:lastRenderedPageBreak/>
              <w:t>[</w:t>
            </w:r>
            <w:r w:rsidR="000E6FDA" w:rsidRPr="00EA71D3">
              <w:rPr>
                <w:rFonts w:asciiTheme="majorBidi" w:hAnsiTheme="majorBidi"/>
                <w:sz w:val="22"/>
                <w:szCs w:val="22"/>
                <w:lang w:val="fr-FR"/>
              </w:rPr>
              <w:t>6</w:t>
            </w:r>
            <w:r w:rsidRPr="00EA71D3">
              <w:rPr>
                <w:rFonts w:asciiTheme="majorBidi" w:hAnsiTheme="majorBidi"/>
                <w:sz w:val="22"/>
                <w:szCs w:val="22"/>
                <w:lang w:val="fr-FR"/>
              </w:rPr>
              <w:t>. Envisager d’élaborer des indicateurs sur les liens entre le climat, la biodiversité et la santé.]</w:t>
            </w:r>
          </w:p>
          <w:p w14:paraId="43866F92" w14:textId="0D4FFEC2" w:rsidR="002F7724" w:rsidRPr="00EA71D3" w:rsidRDefault="002F7724" w:rsidP="004D47D0">
            <w:pPr>
              <w:spacing w:before="40" w:after="40"/>
              <w:ind w:left="120" w:right="-20"/>
              <w:jc w:val="left"/>
              <w:rPr>
                <w:rFonts w:asciiTheme="majorBidi" w:hAnsiTheme="majorBidi" w:cstheme="majorBidi"/>
                <w:kern w:val="2"/>
                <w:sz w:val="22"/>
                <w:szCs w:val="22"/>
                <w:lang w:val="fr-FR"/>
                <w14:ligatures w14:val="standardContextual"/>
              </w:rPr>
            </w:pPr>
          </w:p>
        </w:tc>
      </w:tr>
      <w:tr w:rsidR="002F7724" w:rsidRPr="00EA71D3" w14:paraId="7029726D" w14:textId="77777777" w:rsidTr="004D47D0">
        <w:tc>
          <w:tcPr>
            <w:tcW w:w="13874" w:type="dxa"/>
            <w:gridSpan w:val="3"/>
          </w:tcPr>
          <w:p w14:paraId="34A31A01" w14:textId="77777777" w:rsidR="002F7724" w:rsidRPr="00EA71D3" w:rsidRDefault="002F7724" w:rsidP="004D47D0">
            <w:pPr>
              <w:spacing w:before="40" w:after="40"/>
              <w:jc w:val="left"/>
              <w:rPr>
                <w:rFonts w:asciiTheme="majorBidi" w:eastAsiaTheme="minorEastAsia" w:hAnsiTheme="majorBidi" w:cstheme="majorBidi"/>
                <w:b/>
                <w:bCs/>
                <w:color w:val="000000" w:themeColor="text1"/>
                <w:kern w:val="2"/>
                <w:sz w:val="22"/>
                <w:szCs w:val="22"/>
                <w:shd w:val="clear" w:color="auto" w:fill="E7E6E6" w:themeFill="background2"/>
                <w:lang w:val="fr-FR"/>
                <w14:ligatures w14:val="standardContextual"/>
              </w:rPr>
            </w:pPr>
            <w:r w:rsidRPr="00EA71D3">
              <w:rPr>
                <w:rFonts w:asciiTheme="majorBidi" w:hAnsiTheme="majorBidi"/>
                <w:b/>
                <w:bCs/>
                <w:color w:val="000000" w:themeColor="text1"/>
                <w:sz w:val="22"/>
                <w:szCs w:val="22"/>
                <w:lang w:val="fr-FR"/>
              </w:rPr>
              <w:lastRenderedPageBreak/>
              <w:t>Agriculture, aquaculture, pêches et foresterie</w:t>
            </w:r>
          </w:p>
        </w:tc>
      </w:tr>
      <w:tr w:rsidR="002F7724" w:rsidRPr="00EA71D3" w14:paraId="3342CDD5" w14:textId="77777777" w:rsidTr="004D47D0">
        <w:tc>
          <w:tcPr>
            <w:tcW w:w="2984" w:type="dxa"/>
          </w:tcPr>
          <w:p w14:paraId="0117A62E" w14:textId="77777777" w:rsidR="002F7724" w:rsidRPr="00EA71D3" w:rsidRDefault="002F7724" w:rsidP="004D47D0">
            <w:pPr>
              <w:spacing w:before="40" w:after="40"/>
              <w:jc w:val="left"/>
              <w:rPr>
                <w:rFonts w:asciiTheme="majorBidi" w:eastAsiaTheme="minorEastAsia" w:hAnsiTheme="majorBidi" w:cstheme="majorBidi"/>
                <w:color w:val="000000" w:themeColor="text1"/>
                <w:kern w:val="2"/>
                <w:sz w:val="22"/>
                <w:szCs w:val="22"/>
                <w:lang w:val="fr-FR"/>
                <w14:ligatures w14:val="standardContextual"/>
              </w:rPr>
            </w:pPr>
            <w:r w:rsidRPr="00EA71D3">
              <w:rPr>
                <w:rFonts w:asciiTheme="majorBidi" w:hAnsiTheme="majorBidi"/>
                <w:color w:val="000000" w:themeColor="text1"/>
                <w:sz w:val="22"/>
                <w:szCs w:val="22"/>
                <w:lang w:val="fr-FR"/>
              </w:rPr>
              <w:t xml:space="preserve">Cible 10 </w:t>
            </w:r>
          </w:p>
          <w:p w14:paraId="034ED974" w14:textId="77777777" w:rsidR="002F7724" w:rsidRPr="00EA71D3" w:rsidRDefault="002F7724" w:rsidP="004D47D0">
            <w:pPr>
              <w:spacing w:before="40" w:after="40"/>
              <w:jc w:val="left"/>
              <w:rPr>
                <w:rFonts w:asciiTheme="majorBidi" w:eastAsiaTheme="minorEastAsia" w:hAnsiTheme="majorBidi" w:cstheme="majorBidi"/>
                <w:color w:val="000000" w:themeColor="text1"/>
                <w:kern w:val="2"/>
                <w:sz w:val="22"/>
                <w:szCs w:val="22"/>
                <w:lang w:val="fr-FR" w:eastAsia="zh-CN"/>
                <w14:ligatures w14:val="standardContextual"/>
              </w:rPr>
            </w:pPr>
          </w:p>
        </w:tc>
        <w:tc>
          <w:tcPr>
            <w:tcW w:w="3822" w:type="dxa"/>
          </w:tcPr>
          <w:p w14:paraId="02F8E71A" w14:textId="3EDE9123" w:rsidR="002F7724" w:rsidRPr="00EA71D3" w:rsidRDefault="002F7724" w:rsidP="004D47D0">
            <w:pPr>
              <w:spacing w:before="40" w:after="40"/>
              <w:jc w:val="left"/>
              <w:rPr>
                <w:rFonts w:asciiTheme="majorBidi" w:hAnsiTheme="majorBidi"/>
                <w:color w:val="000000" w:themeColor="text1"/>
                <w:sz w:val="22"/>
                <w:szCs w:val="22"/>
                <w:lang w:val="fr-FR"/>
              </w:rPr>
            </w:pPr>
            <w:r w:rsidRPr="00EA71D3">
              <w:rPr>
                <w:rFonts w:asciiTheme="majorBidi" w:hAnsiTheme="majorBidi"/>
                <w:color w:val="000000" w:themeColor="text1"/>
                <w:sz w:val="22"/>
                <w:szCs w:val="22"/>
                <w:lang w:val="fr-FR"/>
              </w:rPr>
              <w:t>La biodiversité à tous les niveaux (au niveau de la génétique, des espèces et des écosystèmes) est un pilier de la sécurité alimentaire, la nutrition et une alimentation de qualité.</w:t>
            </w:r>
            <w:bookmarkStart w:id="8" w:name="_Ref168987409"/>
            <w:r w:rsidR="000E6FDA" w:rsidRPr="00EA71D3">
              <w:rPr>
                <w:rStyle w:val="FootnoteReference"/>
                <w:rFonts w:asciiTheme="majorBidi" w:eastAsiaTheme="minorEastAsia" w:hAnsiTheme="majorBidi" w:cstheme="majorBidi"/>
                <w:color w:val="000000" w:themeColor="text1"/>
                <w:kern w:val="2"/>
                <w:sz w:val="20"/>
                <w:szCs w:val="20"/>
                <w:lang w:val="fr-FR" w:eastAsia="zh-CN"/>
                <w14:ligatures w14:val="standardContextual"/>
              </w:rPr>
              <w:footnoteReference w:id="46"/>
            </w:r>
            <w:bookmarkEnd w:id="8"/>
            <w:r w:rsidRPr="00EA71D3">
              <w:rPr>
                <w:rFonts w:asciiTheme="majorBidi" w:hAnsiTheme="majorBidi"/>
                <w:color w:val="000000" w:themeColor="text1"/>
                <w:sz w:val="22"/>
                <w:szCs w:val="22"/>
                <w:lang w:val="fr-FR"/>
              </w:rPr>
              <w:t xml:space="preserve"> La qualité et la quantité d’aliments et la façon dont ils sont produits ont des répercussions sur la santé humaine, ainsi que sur la santé du bétail, des animaux sauvages et de l’environnement. </w:t>
            </w:r>
            <w:r w:rsidRPr="00EA71D3">
              <w:rPr>
                <w:rFonts w:asciiTheme="majorBidi" w:hAnsiTheme="majorBidi"/>
                <w:sz w:val="22"/>
                <w:szCs w:val="22"/>
                <w:lang w:val="fr-FR"/>
              </w:rPr>
              <w:t xml:space="preserve">La diversité alimentaire, qui repose entre autres sur la diversité des récoltes, du bétail, des forêts en bonne santé et des aliments </w:t>
            </w:r>
            <w:r w:rsidRPr="00EA71D3">
              <w:rPr>
                <w:rFonts w:asciiTheme="majorBidi" w:hAnsiTheme="majorBidi"/>
                <w:sz w:val="22"/>
                <w:szCs w:val="22"/>
                <w:lang w:val="fr-FR"/>
              </w:rPr>
              <w:lastRenderedPageBreak/>
              <w:t>provenant de la mer et des étendues d’eau douce, offre une panoplie de nutriments et de non-nutriments essentiels, comme des fibres.</w:t>
            </w:r>
            <w:r w:rsidRPr="00EA71D3">
              <w:rPr>
                <w:rFonts w:asciiTheme="majorBidi" w:hAnsiTheme="majorBidi"/>
                <w:color w:val="000000" w:themeColor="text1"/>
                <w:sz w:val="22"/>
                <w:szCs w:val="22"/>
                <w:lang w:val="fr-FR"/>
              </w:rPr>
              <w:t xml:space="preserve"> La culture de récoltes dépend notamment des pollinisateurs et de la diversité des microorganismes bénéfiques dans les sols. L’intensification durable, la gestion intégrée des organismes nuisibles, la production de récoltes diversifiées adaptées et les approches agroécologiques peuvent réduire le besoin de recourir aux nutriments, à des pesticides, y compris ceux qui nuisent aux personnes et aux pollinisateurs.</w:t>
            </w:r>
          </w:p>
          <w:p w14:paraId="21C672A6" w14:textId="77777777" w:rsidR="002F7724" w:rsidRPr="00EA71D3" w:rsidRDefault="002F7724" w:rsidP="004D47D0">
            <w:pPr>
              <w:spacing w:before="40" w:after="40"/>
              <w:jc w:val="left"/>
              <w:rPr>
                <w:sz w:val="18"/>
                <w:szCs w:val="18"/>
                <w:lang w:val="fr-FR"/>
              </w:rPr>
            </w:pPr>
          </w:p>
          <w:p w14:paraId="55291D39" w14:textId="568EC517" w:rsidR="002F7724" w:rsidRPr="00EA71D3" w:rsidRDefault="002F7724" w:rsidP="004D47D0">
            <w:pPr>
              <w:spacing w:before="40" w:after="40"/>
              <w:ind w:left="72"/>
              <w:jc w:val="left"/>
              <w:rPr>
                <w:rFonts w:asciiTheme="majorBidi" w:eastAsiaTheme="minorEastAsia" w:hAnsiTheme="majorBidi" w:cstheme="majorBidi"/>
                <w:color w:val="000000" w:themeColor="text1"/>
                <w:kern w:val="2"/>
                <w:sz w:val="22"/>
                <w:szCs w:val="22"/>
                <w:lang w:val="fr-FR"/>
                <w14:ligatures w14:val="standardContextual"/>
              </w:rPr>
            </w:pPr>
          </w:p>
        </w:tc>
        <w:tc>
          <w:tcPr>
            <w:tcW w:w="7068" w:type="dxa"/>
          </w:tcPr>
          <w:p w14:paraId="5A3DAC75" w14:textId="3272ACAF" w:rsidR="000E6FDA" w:rsidRPr="00EA71D3" w:rsidRDefault="002F7724" w:rsidP="000E6FDA">
            <w:pPr>
              <w:spacing w:before="60" w:after="60"/>
              <w:jc w:val="left"/>
              <w:rPr>
                <w:rFonts w:asciiTheme="majorBidi" w:eastAsiaTheme="minorEastAsia" w:hAnsiTheme="majorBidi" w:cstheme="majorBidi"/>
                <w:color w:val="000000" w:themeColor="text1"/>
                <w:kern w:val="2"/>
                <w:sz w:val="20"/>
                <w:szCs w:val="20"/>
                <w:lang w:val="fr-FR" w:eastAsia="zh-CN"/>
                <w14:ligatures w14:val="standardContextual"/>
              </w:rPr>
            </w:pPr>
            <w:r w:rsidRPr="00EA71D3">
              <w:rPr>
                <w:rFonts w:asciiTheme="majorBidi" w:hAnsiTheme="majorBidi"/>
                <w:color w:val="000000" w:themeColor="text1"/>
                <w:sz w:val="22"/>
                <w:szCs w:val="22"/>
                <w:lang w:val="fr-FR"/>
              </w:rPr>
              <w:lastRenderedPageBreak/>
              <w:t xml:space="preserve">1. </w:t>
            </w:r>
            <w:r w:rsidRPr="00EA71D3">
              <w:rPr>
                <w:rFonts w:asciiTheme="majorBidi" w:hAnsiTheme="majorBidi"/>
                <w:sz w:val="22"/>
                <w:szCs w:val="22"/>
                <w:lang w:val="fr-FR"/>
              </w:rPr>
              <w:t>Faire connaître les interrelations entre la biodiversité et la santé en ce qui concerne la nutrition, la sécurité alimentaire, les moyens de subsistance et la résilience des systèmes alimentaires.</w:t>
            </w:r>
            <w:r w:rsidR="000E6FDA" w:rsidRPr="00EA71D3">
              <w:rPr>
                <w:rFonts w:asciiTheme="majorBidi" w:eastAsiaTheme="minorEastAsia" w:hAnsiTheme="majorBidi" w:cstheme="majorBidi"/>
                <w:color w:val="000000" w:themeColor="text1"/>
                <w:kern w:val="2"/>
                <w:sz w:val="20"/>
                <w:szCs w:val="20"/>
                <w:lang w:val="fr-FR" w:eastAsia="zh-CN"/>
                <w14:ligatures w14:val="standardContextual"/>
              </w:rPr>
              <w:t xml:space="preserve"> .</w:t>
            </w:r>
            <w:r w:rsidR="000E6FDA" w:rsidRPr="00EA71D3">
              <w:rPr>
                <w:rStyle w:val="FootnoteReference"/>
                <w:rFonts w:asciiTheme="majorBidi" w:eastAsiaTheme="minorEastAsia" w:hAnsiTheme="majorBidi" w:cstheme="majorBidi"/>
                <w:color w:val="000000" w:themeColor="text1"/>
                <w:kern w:val="2"/>
                <w:sz w:val="20"/>
                <w:szCs w:val="20"/>
                <w:lang w:val="fr-FR" w:eastAsia="zh-CN"/>
                <w14:ligatures w14:val="standardContextual"/>
              </w:rPr>
              <w:footnoteReference w:id="47"/>
            </w:r>
            <w:r w:rsidR="000E6FDA" w:rsidRPr="00EA71D3">
              <w:rPr>
                <w:rFonts w:asciiTheme="majorBidi" w:eastAsiaTheme="minorEastAsia" w:hAnsiTheme="majorBidi" w:cstheme="majorBidi"/>
                <w:color w:val="000000" w:themeColor="text1"/>
                <w:kern w:val="2"/>
                <w:sz w:val="20"/>
                <w:szCs w:val="20"/>
                <w:vertAlign w:val="superscript"/>
                <w:lang w:val="fr-FR" w:eastAsia="zh-CN"/>
                <w14:ligatures w14:val="standardContextual"/>
              </w:rPr>
              <w:t xml:space="preserve">, </w:t>
            </w:r>
            <w:r w:rsidR="000E6FDA" w:rsidRPr="00EA71D3">
              <w:rPr>
                <w:rStyle w:val="FootnoteReference"/>
                <w:rFonts w:asciiTheme="majorBidi" w:eastAsiaTheme="minorEastAsia" w:hAnsiTheme="majorBidi" w:cstheme="majorBidi"/>
                <w:color w:val="000000" w:themeColor="text1"/>
                <w:kern w:val="2"/>
                <w:sz w:val="20"/>
                <w:szCs w:val="20"/>
                <w:lang w:val="fr-FR" w:eastAsia="zh-CN"/>
                <w14:ligatures w14:val="standardContextual"/>
              </w:rPr>
              <w:footnoteReference w:id="48"/>
            </w:r>
            <w:r w:rsidR="000E6FDA" w:rsidRPr="00EA71D3">
              <w:rPr>
                <w:rFonts w:asciiTheme="majorBidi" w:eastAsiaTheme="minorEastAsia" w:hAnsiTheme="majorBidi" w:cstheme="majorBidi"/>
                <w:color w:val="000000" w:themeColor="text1"/>
                <w:kern w:val="2"/>
                <w:sz w:val="20"/>
                <w:szCs w:val="20"/>
                <w:vertAlign w:val="superscript"/>
                <w:lang w:val="fr-FR" w:eastAsia="zh-CN"/>
                <w14:ligatures w14:val="standardContextual"/>
              </w:rPr>
              <w:t xml:space="preserve">, </w:t>
            </w:r>
            <w:r w:rsidR="000E6FDA" w:rsidRPr="00EA71D3">
              <w:rPr>
                <w:rStyle w:val="FootnoteReference"/>
                <w:rFonts w:asciiTheme="majorBidi" w:eastAsiaTheme="minorEastAsia" w:hAnsiTheme="majorBidi" w:cstheme="majorBidi"/>
                <w:color w:val="000000" w:themeColor="text1"/>
                <w:kern w:val="2"/>
                <w:sz w:val="20"/>
                <w:szCs w:val="20"/>
                <w:lang w:val="fr-FR" w:eastAsia="zh-CN"/>
                <w14:ligatures w14:val="standardContextual"/>
              </w:rPr>
              <w:footnoteReference w:id="49"/>
            </w:r>
            <w:r w:rsidR="000E6FDA" w:rsidRPr="00EA71D3">
              <w:rPr>
                <w:rFonts w:asciiTheme="majorBidi" w:eastAsiaTheme="minorEastAsia" w:hAnsiTheme="majorBidi" w:cstheme="majorBidi"/>
                <w:color w:val="000000" w:themeColor="text1"/>
                <w:kern w:val="2"/>
                <w:sz w:val="20"/>
                <w:szCs w:val="20"/>
                <w:vertAlign w:val="superscript"/>
                <w:lang w:val="fr-FR" w:eastAsia="zh-CN"/>
                <w14:ligatures w14:val="standardContextual"/>
              </w:rPr>
              <w:t xml:space="preserve">, </w:t>
            </w:r>
            <w:r w:rsidR="000E6FDA" w:rsidRPr="00EA71D3">
              <w:rPr>
                <w:rStyle w:val="FootnoteReference"/>
                <w:rFonts w:asciiTheme="majorBidi" w:eastAsiaTheme="minorEastAsia" w:hAnsiTheme="majorBidi" w:cstheme="majorBidi"/>
                <w:color w:val="000000" w:themeColor="text1"/>
                <w:kern w:val="2"/>
                <w:sz w:val="20"/>
                <w:szCs w:val="20"/>
                <w:lang w:val="fr-FR" w:eastAsia="zh-CN"/>
                <w14:ligatures w14:val="standardContextual"/>
              </w:rPr>
              <w:footnoteReference w:id="50"/>
            </w:r>
          </w:p>
          <w:p w14:paraId="78C36D4A" w14:textId="0B0DDE92" w:rsidR="002F7724" w:rsidRPr="00EA71D3" w:rsidRDefault="002F7724" w:rsidP="004D47D0">
            <w:pPr>
              <w:spacing w:before="60" w:after="60"/>
              <w:jc w:val="left"/>
              <w:rPr>
                <w:rFonts w:asciiTheme="majorBidi" w:eastAsiaTheme="minorEastAsia" w:hAnsiTheme="majorBidi" w:cstheme="majorBidi"/>
                <w:color w:val="000000" w:themeColor="text1"/>
                <w:kern w:val="2"/>
                <w:sz w:val="22"/>
                <w:szCs w:val="22"/>
                <w:lang w:val="fr-FR"/>
                <w14:ligatures w14:val="standardContextual"/>
              </w:rPr>
            </w:pPr>
            <w:r w:rsidRPr="00EA71D3">
              <w:rPr>
                <w:rFonts w:asciiTheme="majorBidi" w:hAnsiTheme="majorBidi"/>
                <w:color w:val="000000" w:themeColor="text1"/>
                <w:sz w:val="22"/>
                <w:szCs w:val="22"/>
                <w:lang w:val="fr-FR"/>
              </w:rPr>
              <w:t xml:space="preserve">2. </w:t>
            </w:r>
            <w:r w:rsidRPr="00EA71D3">
              <w:rPr>
                <w:rFonts w:asciiTheme="majorBidi" w:hAnsiTheme="majorBidi"/>
                <w:sz w:val="22"/>
                <w:szCs w:val="22"/>
                <w:lang w:val="fr-FR"/>
              </w:rPr>
              <w:t>Réduire les répercussions défavorables, sur la biodiversité et la santé, de l’agriculture, de l’aquaculture, des pêches et de la foresterie, entre autres, en tirant parti de pratiques durables, comme l’intensification durable, la biodiversité agricole, l’agroécologie, l’aménagement intégré du territoire, la production de cultures adaptées et l’utilisation d’une gestion intégrée des organismes nuisibles peut réduire le recours aux pesticides, aux engrais et aux autres intrants chimiques, et réduire leur utilisation, entre autres pratiques durables.</w:t>
            </w:r>
          </w:p>
          <w:p w14:paraId="7C449A5A" w14:textId="5B09082F" w:rsidR="002F7724" w:rsidRPr="00EA71D3" w:rsidRDefault="002F7724" w:rsidP="004D47D0">
            <w:pPr>
              <w:spacing w:before="60" w:after="60"/>
              <w:jc w:val="left"/>
              <w:rPr>
                <w:rFonts w:asciiTheme="majorBidi" w:eastAsiaTheme="minorEastAsia" w:hAnsiTheme="majorBidi" w:cstheme="majorBidi"/>
                <w:color w:val="000000" w:themeColor="text1"/>
                <w:kern w:val="2"/>
                <w:sz w:val="22"/>
                <w:szCs w:val="22"/>
                <w:lang w:val="fr-FR"/>
                <w14:ligatures w14:val="standardContextual"/>
              </w:rPr>
            </w:pPr>
            <w:r w:rsidRPr="00EA71D3">
              <w:rPr>
                <w:rFonts w:asciiTheme="majorBidi" w:hAnsiTheme="majorBidi"/>
                <w:color w:val="000000" w:themeColor="text1"/>
                <w:sz w:val="22"/>
                <w:szCs w:val="22"/>
                <w:lang w:val="fr-FR"/>
              </w:rPr>
              <w:t>3. Promouvoir l’amélioration des normes de protection des animaux afin de garantir leur santé et leur bien-être,</w:t>
            </w:r>
            <w:r w:rsidR="000E6FDA" w:rsidRPr="00EA71D3">
              <w:rPr>
                <w:rStyle w:val="FootnoteReference"/>
                <w:rFonts w:asciiTheme="majorBidi" w:eastAsiaTheme="minorEastAsia" w:hAnsiTheme="majorBidi" w:cstheme="majorBidi"/>
                <w:color w:val="000000" w:themeColor="text1"/>
                <w:kern w:val="2"/>
                <w:sz w:val="20"/>
                <w:szCs w:val="20"/>
                <w:lang w:val="fr-FR" w:eastAsia="zh-CN"/>
                <w14:ligatures w14:val="standardContextual"/>
              </w:rPr>
              <w:t xml:space="preserve"> </w:t>
            </w:r>
            <w:r w:rsidR="000E6FDA" w:rsidRPr="00EA71D3">
              <w:rPr>
                <w:rStyle w:val="FootnoteReference"/>
                <w:rFonts w:asciiTheme="majorBidi" w:eastAsiaTheme="minorEastAsia" w:hAnsiTheme="majorBidi" w:cstheme="majorBidi"/>
                <w:color w:val="000000" w:themeColor="text1"/>
                <w:kern w:val="2"/>
                <w:sz w:val="20"/>
                <w:szCs w:val="20"/>
                <w:lang w:val="fr-FR" w:eastAsia="zh-CN"/>
                <w14:ligatures w14:val="standardContextual"/>
              </w:rPr>
              <w:footnoteReference w:id="51"/>
            </w:r>
            <w:r w:rsidR="000E6FDA" w:rsidRPr="00EA71D3">
              <w:rPr>
                <w:rFonts w:eastAsiaTheme="minorEastAsia"/>
                <w:lang w:val="fr-FR"/>
              </w:rPr>
              <w:t xml:space="preserve"> </w:t>
            </w:r>
            <w:r w:rsidRPr="00EA71D3">
              <w:rPr>
                <w:rFonts w:asciiTheme="majorBidi" w:hAnsiTheme="majorBidi"/>
                <w:color w:val="000000" w:themeColor="text1"/>
                <w:sz w:val="22"/>
                <w:szCs w:val="22"/>
                <w:lang w:val="fr-FR"/>
              </w:rPr>
              <w:t xml:space="preserve">y compris pour réduire le risque de </w:t>
            </w:r>
            <w:r w:rsidRPr="00EA71D3">
              <w:rPr>
                <w:rFonts w:asciiTheme="majorBidi" w:hAnsiTheme="majorBidi"/>
                <w:color w:val="000000" w:themeColor="text1"/>
                <w:sz w:val="22"/>
                <w:szCs w:val="22"/>
                <w:lang w:val="fr-FR"/>
              </w:rPr>
              <w:lastRenderedPageBreak/>
              <w:t>déclaration de maladies transmissibles chez les animaux d’élevage et dans l’aquaculture[, notamment en restreignant l’utilisation injustifiée des agents antimicrobiens, y compris les antibiotiques, afin de prévenir la résistance à ces agents].</w:t>
            </w:r>
          </w:p>
          <w:p w14:paraId="6EE2733E" w14:textId="74578CCA" w:rsidR="002F7724" w:rsidRPr="00EA71D3" w:rsidRDefault="002F7724" w:rsidP="004D47D0">
            <w:pPr>
              <w:spacing w:before="60" w:after="60"/>
              <w:jc w:val="left"/>
              <w:rPr>
                <w:rFonts w:asciiTheme="majorBidi" w:hAnsiTheme="majorBidi" w:cstheme="majorBidi"/>
                <w:kern w:val="2"/>
                <w:sz w:val="22"/>
                <w:szCs w:val="22"/>
                <w:lang w:val="fr-FR"/>
                <w14:ligatures w14:val="standardContextual"/>
              </w:rPr>
            </w:pPr>
            <w:r w:rsidRPr="00EA71D3">
              <w:rPr>
                <w:rFonts w:asciiTheme="majorBidi" w:hAnsiTheme="majorBidi"/>
                <w:sz w:val="22"/>
                <w:szCs w:val="22"/>
                <w:lang w:val="fr-FR"/>
              </w:rPr>
              <w:t>4. Reconnaître la valeur des pratiques alimentaires traditionnelles, des modes alimentaires des peuples autochtones</w:t>
            </w:r>
            <w:r w:rsidR="000E6FDA" w:rsidRPr="00EA71D3">
              <w:rPr>
                <w:rStyle w:val="FootnoteReference"/>
                <w:rFonts w:asciiTheme="majorBidi" w:hAnsiTheme="majorBidi" w:cstheme="majorBidi"/>
                <w:kern w:val="2"/>
                <w:sz w:val="20"/>
                <w:szCs w:val="20"/>
                <w:lang w:val="fr-FR" w:eastAsia="zh-CN"/>
                <w14:ligatures w14:val="standardContextual"/>
              </w:rPr>
              <w:footnoteReference w:id="52"/>
            </w:r>
            <w:r w:rsidRPr="00EA71D3">
              <w:rPr>
                <w:rFonts w:asciiTheme="majorBidi" w:hAnsiTheme="majorBidi"/>
                <w:sz w:val="22"/>
                <w:szCs w:val="22"/>
                <w:lang w:val="fr-FR"/>
              </w:rPr>
              <w:t xml:space="preserve"> et des communautés locales dans les stratégies portant sur la santé, le bien-être et la prévention des maladies.</w:t>
            </w:r>
          </w:p>
          <w:p w14:paraId="006BF7CE" w14:textId="5DC10BB4" w:rsidR="002F7724" w:rsidRPr="00EA71D3" w:rsidRDefault="002F7724" w:rsidP="004D47D0">
            <w:pPr>
              <w:spacing w:before="60" w:after="60"/>
              <w:jc w:val="left"/>
              <w:rPr>
                <w:rFonts w:asciiTheme="majorBidi" w:hAnsiTheme="majorBidi"/>
                <w:sz w:val="22"/>
                <w:szCs w:val="22"/>
                <w:vertAlign w:val="superscript"/>
                <w:lang w:val="fr-FR"/>
              </w:rPr>
            </w:pPr>
            <w:r w:rsidRPr="00EA71D3">
              <w:rPr>
                <w:rFonts w:asciiTheme="majorBidi" w:hAnsiTheme="majorBidi"/>
                <w:sz w:val="22"/>
                <w:szCs w:val="22"/>
                <w:lang w:val="fr-FR"/>
              </w:rPr>
              <w:t>5. Soutenir les initiatives qui visent à préserver la diversité génétique assurant des écosystèmes sains et une sécurité alimentaire, notamment à partir des semis, du bétail, de la foresterie, des pêches et des pollinisateurs, et autres.</w:t>
            </w:r>
            <w:r w:rsidR="000E6FDA" w:rsidRPr="00EA71D3">
              <w:rPr>
                <w:rStyle w:val="FootnoteReference"/>
                <w:rFonts w:asciiTheme="majorBidi" w:hAnsiTheme="majorBidi" w:cstheme="majorBidi"/>
                <w:kern w:val="2"/>
                <w:sz w:val="20"/>
                <w:szCs w:val="20"/>
                <w:lang w:val="fr-FR" w:eastAsia="zh-CN"/>
                <w14:ligatures w14:val="standardContextual"/>
              </w:rPr>
              <w:t xml:space="preserve"> </w:t>
            </w:r>
            <w:r w:rsidR="000E6FDA" w:rsidRPr="00EA71D3">
              <w:rPr>
                <w:rStyle w:val="FootnoteReference"/>
                <w:rFonts w:asciiTheme="majorBidi" w:hAnsiTheme="majorBidi" w:cstheme="majorBidi"/>
                <w:kern w:val="2"/>
                <w:sz w:val="20"/>
                <w:szCs w:val="20"/>
                <w:lang w:val="fr-FR" w:eastAsia="zh-CN"/>
                <w14:ligatures w14:val="standardContextual"/>
              </w:rPr>
              <w:footnoteReference w:id="53"/>
            </w:r>
          </w:p>
          <w:p w14:paraId="614BC7F4" w14:textId="604486FF" w:rsidR="002F7724" w:rsidRPr="00EA71D3" w:rsidRDefault="002F7724" w:rsidP="000E6FDA">
            <w:pPr>
              <w:spacing w:before="60" w:after="60"/>
              <w:jc w:val="left"/>
              <w:rPr>
                <w:rFonts w:asciiTheme="majorBidi" w:hAnsiTheme="majorBidi" w:cstheme="majorBidi"/>
                <w:kern w:val="2"/>
                <w:sz w:val="22"/>
                <w:szCs w:val="22"/>
                <w:lang w:val="fr-FR"/>
                <w14:ligatures w14:val="standardContextual"/>
              </w:rPr>
            </w:pPr>
            <w:r w:rsidRPr="00EA71D3">
              <w:rPr>
                <w:sz w:val="18"/>
                <w:szCs w:val="18"/>
                <w:lang w:val="fr-FR"/>
              </w:rPr>
              <w:t xml:space="preserve"> </w:t>
            </w:r>
          </w:p>
        </w:tc>
      </w:tr>
      <w:tr w:rsidR="002F7724" w:rsidRPr="00EA71D3" w14:paraId="225A47EA" w14:textId="77777777" w:rsidTr="004D47D0">
        <w:tc>
          <w:tcPr>
            <w:tcW w:w="13874" w:type="dxa"/>
            <w:gridSpan w:val="3"/>
          </w:tcPr>
          <w:p w14:paraId="24DF3754" w14:textId="77777777" w:rsidR="002F7724" w:rsidRPr="00EA71D3" w:rsidRDefault="002F7724" w:rsidP="004D47D0">
            <w:pPr>
              <w:spacing w:before="40" w:after="40"/>
              <w:jc w:val="left"/>
              <w:rPr>
                <w:rFonts w:asciiTheme="majorBidi" w:eastAsiaTheme="minorEastAsia" w:hAnsiTheme="majorBidi" w:cstheme="majorBidi"/>
                <w:b/>
                <w:kern w:val="2"/>
                <w:sz w:val="22"/>
                <w:szCs w:val="22"/>
                <w:lang w:val="fr-FR"/>
                <w14:ligatures w14:val="standardContextual"/>
              </w:rPr>
            </w:pPr>
            <w:r w:rsidRPr="00EA71D3">
              <w:rPr>
                <w:rFonts w:asciiTheme="majorBidi" w:hAnsiTheme="majorBidi"/>
                <w:b/>
                <w:sz w:val="22"/>
                <w:szCs w:val="22"/>
                <w:lang w:val="fr-FR"/>
              </w:rPr>
              <w:lastRenderedPageBreak/>
              <w:t>Contributions de la nature envers les personnes</w:t>
            </w:r>
          </w:p>
        </w:tc>
      </w:tr>
      <w:tr w:rsidR="002F7724" w:rsidRPr="00EA71D3" w14:paraId="2D43D147" w14:textId="77777777" w:rsidTr="004D47D0">
        <w:tc>
          <w:tcPr>
            <w:tcW w:w="2984" w:type="dxa"/>
          </w:tcPr>
          <w:p w14:paraId="7C85B0E6" w14:textId="77777777" w:rsidR="002F7724" w:rsidRPr="00EA71D3" w:rsidRDefault="002F7724" w:rsidP="004D47D0">
            <w:pPr>
              <w:spacing w:before="40" w:after="40"/>
              <w:jc w:val="left"/>
              <w:rPr>
                <w:rFonts w:asciiTheme="majorBidi" w:eastAsiaTheme="minorEastAsia" w:hAnsiTheme="majorBidi" w:cstheme="majorBidi"/>
                <w:kern w:val="2"/>
                <w:sz w:val="22"/>
                <w:szCs w:val="22"/>
                <w:lang w:val="fr-FR"/>
                <w14:ligatures w14:val="standardContextual"/>
              </w:rPr>
            </w:pPr>
            <w:r w:rsidRPr="00EA71D3">
              <w:rPr>
                <w:rFonts w:asciiTheme="majorBidi" w:hAnsiTheme="majorBidi"/>
                <w:sz w:val="22"/>
                <w:szCs w:val="22"/>
                <w:lang w:val="fr-FR"/>
              </w:rPr>
              <w:t>Cible 11</w:t>
            </w:r>
          </w:p>
        </w:tc>
        <w:tc>
          <w:tcPr>
            <w:tcW w:w="3822" w:type="dxa"/>
          </w:tcPr>
          <w:p w14:paraId="2FE0600A" w14:textId="436A4318" w:rsidR="002F7724" w:rsidRPr="00EA71D3" w:rsidRDefault="002F7724" w:rsidP="004D47D0">
            <w:pPr>
              <w:spacing w:before="40" w:after="40"/>
              <w:jc w:val="left"/>
              <w:rPr>
                <w:rFonts w:asciiTheme="majorBidi" w:eastAsiaTheme="minorEastAsia" w:hAnsiTheme="majorBidi" w:cstheme="majorBidi"/>
                <w:kern w:val="2"/>
                <w:sz w:val="22"/>
                <w:szCs w:val="22"/>
                <w:lang w:val="fr-FR"/>
                <w14:ligatures w14:val="standardContextual"/>
              </w:rPr>
            </w:pPr>
            <w:r w:rsidRPr="00EA71D3">
              <w:rPr>
                <w:rFonts w:asciiTheme="majorBidi" w:hAnsiTheme="majorBidi"/>
                <w:sz w:val="22"/>
                <w:szCs w:val="22"/>
                <w:lang w:val="fr-FR"/>
              </w:rPr>
              <w:t>La biodiversité est le fondement des contributions de la nature envers les personnes</w:t>
            </w:r>
            <w:r w:rsidRPr="00EA71D3">
              <w:rPr>
                <w:rFonts w:asciiTheme="majorBidi" w:hAnsiTheme="majorBidi"/>
                <w:i/>
                <w:iCs/>
                <w:sz w:val="22"/>
                <w:szCs w:val="22"/>
                <w:vertAlign w:val="superscript"/>
                <w:lang w:val="fr-FR"/>
              </w:rPr>
              <w:t>g</w:t>
            </w:r>
            <w:r w:rsidRPr="00EA71D3">
              <w:rPr>
                <w:rFonts w:asciiTheme="majorBidi" w:hAnsiTheme="majorBidi"/>
                <w:sz w:val="22"/>
                <w:szCs w:val="22"/>
                <w:lang w:val="fr-FR"/>
              </w:rPr>
              <w:t>. La protection de ces contributions est bénéfique à la santé humaine, y compris la santé physique et la santé mentale, en plus de diminuer la mortalité et la morbidité. Les contributions comprennent ce qui suit</w:t>
            </w:r>
            <w:r w:rsidR="00610B52" w:rsidRPr="00603392">
              <w:rPr>
                <w:rStyle w:val="FootnoteReference"/>
                <w:rFonts w:asciiTheme="majorBidi" w:eastAsiaTheme="minorEastAsia" w:hAnsiTheme="majorBidi" w:cstheme="majorBidi"/>
                <w:kern w:val="2"/>
                <w:sz w:val="20"/>
                <w:szCs w:val="20"/>
                <w:lang w:eastAsia="zh-CN"/>
                <w14:ligatures w14:val="standardContextual"/>
              </w:rPr>
              <w:footnoteReference w:id="54"/>
            </w:r>
            <w:r w:rsidRPr="00EA71D3">
              <w:rPr>
                <w:rFonts w:asciiTheme="majorBidi" w:hAnsiTheme="majorBidi"/>
                <w:sz w:val="22"/>
                <w:szCs w:val="22"/>
                <w:lang w:val="fr-FR"/>
              </w:rPr>
              <w:t xml:space="preserve"> : </w:t>
            </w:r>
          </w:p>
          <w:p w14:paraId="4DD13C78" w14:textId="77777777" w:rsidR="002F7724" w:rsidRPr="00EA71D3" w:rsidRDefault="002F7724" w:rsidP="004D47D0">
            <w:pPr>
              <w:spacing w:before="40" w:after="40"/>
              <w:jc w:val="left"/>
              <w:rPr>
                <w:rFonts w:asciiTheme="majorBidi" w:eastAsiaTheme="minorEastAsia" w:hAnsiTheme="majorBidi" w:cstheme="majorBidi"/>
                <w:kern w:val="2"/>
                <w:sz w:val="22"/>
                <w:szCs w:val="22"/>
                <w:lang w:val="fr-FR"/>
                <w14:ligatures w14:val="standardContextual"/>
              </w:rPr>
            </w:pPr>
            <w:r w:rsidRPr="00EA71D3">
              <w:rPr>
                <w:rFonts w:asciiTheme="majorBidi" w:hAnsiTheme="majorBidi"/>
                <w:sz w:val="22"/>
                <w:szCs w:val="22"/>
                <w:lang w:val="fr-FR"/>
              </w:rPr>
              <w:lastRenderedPageBreak/>
              <w:t>a) La régulation du climat, de l’acidification des océans et des cycles hydrologiques ;</w:t>
            </w:r>
          </w:p>
          <w:p w14:paraId="6F09A374" w14:textId="77777777" w:rsidR="002F7724" w:rsidRPr="00EA71D3" w:rsidRDefault="002F7724" w:rsidP="004D47D0">
            <w:pPr>
              <w:spacing w:before="40" w:after="40"/>
              <w:jc w:val="left"/>
              <w:rPr>
                <w:rFonts w:asciiTheme="majorBidi" w:hAnsiTheme="majorBidi" w:cstheme="majorBidi"/>
                <w:kern w:val="2"/>
                <w:sz w:val="22"/>
                <w:szCs w:val="22"/>
                <w:lang w:val="fr-FR"/>
                <w14:ligatures w14:val="standardContextual"/>
              </w:rPr>
            </w:pPr>
            <w:r w:rsidRPr="00EA71D3">
              <w:rPr>
                <w:rFonts w:asciiTheme="majorBidi" w:hAnsiTheme="majorBidi"/>
                <w:sz w:val="22"/>
                <w:szCs w:val="22"/>
                <w:lang w:val="fr-FR"/>
              </w:rPr>
              <w:t>b) La régulation et l’amélioration de la qualité de l’air et de la qualité des eaux douces et côtières, ainsi que la régulation des débits d’eau ;</w:t>
            </w:r>
          </w:p>
          <w:p w14:paraId="5FD08D81" w14:textId="77777777" w:rsidR="002F7724" w:rsidRPr="00EA71D3" w:rsidRDefault="002F7724" w:rsidP="004D47D0">
            <w:pPr>
              <w:spacing w:before="40" w:after="40"/>
              <w:jc w:val="left"/>
              <w:rPr>
                <w:rFonts w:asciiTheme="majorBidi" w:eastAsiaTheme="minorEastAsia" w:hAnsiTheme="majorBidi" w:cstheme="majorBidi"/>
                <w:kern w:val="2"/>
                <w:sz w:val="22"/>
                <w:szCs w:val="22"/>
                <w:lang w:val="fr-FR"/>
                <w14:ligatures w14:val="standardContextual"/>
              </w:rPr>
            </w:pPr>
            <w:r w:rsidRPr="00EA71D3">
              <w:rPr>
                <w:rFonts w:asciiTheme="majorBidi" w:hAnsiTheme="majorBidi"/>
                <w:sz w:val="22"/>
                <w:szCs w:val="22"/>
                <w:lang w:val="fr-FR"/>
              </w:rPr>
              <w:t>c) La biodiversité, la qualité et la fertilité des sols et la dégradation ou l’emmagasinement des polluants ;</w:t>
            </w:r>
          </w:p>
          <w:p w14:paraId="5ED16B26" w14:textId="77777777" w:rsidR="002F7724" w:rsidRPr="00EA71D3" w:rsidRDefault="002F7724" w:rsidP="004D47D0">
            <w:pPr>
              <w:spacing w:before="40" w:after="40"/>
              <w:jc w:val="left"/>
              <w:rPr>
                <w:rFonts w:asciiTheme="majorBidi" w:eastAsiaTheme="minorEastAsia" w:hAnsiTheme="majorBidi" w:cstheme="majorBidi"/>
                <w:kern w:val="2"/>
                <w:sz w:val="22"/>
                <w:szCs w:val="22"/>
                <w:lang w:val="fr-FR"/>
                <w14:ligatures w14:val="standardContextual"/>
              </w:rPr>
            </w:pPr>
            <w:r w:rsidRPr="00EA71D3">
              <w:rPr>
                <w:rFonts w:asciiTheme="majorBidi" w:hAnsiTheme="majorBidi"/>
                <w:sz w:val="22"/>
                <w:szCs w:val="22"/>
                <w:lang w:val="fr-FR"/>
              </w:rPr>
              <w:t>d) La régulation des dangers naturels et des phénomènes extrêmes ;</w:t>
            </w:r>
          </w:p>
          <w:p w14:paraId="2308701E" w14:textId="77777777" w:rsidR="002F7724" w:rsidRPr="00EA71D3" w:rsidRDefault="002F7724" w:rsidP="004D47D0">
            <w:pPr>
              <w:spacing w:before="40" w:after="40"/>
              <w:jc w:val="left"/>
              <w:rPr>
                <w:rFonts w:asciiTheme="majorBidi" w:eastAsiaTheme="minorEastAsia" w:hAnsiTheme="majorBidi" w:cstheme="majorBidi"/>
                <w:kern w:val="2"/>
                <w:sz w:val="22"/>
                <w:szCs w:val="22"/>
                <w:lang w:val="fr-FR"/>
                <w14:ligatures w14:val="standardContextual"/>
              </w:rPr>
            </w:pPr>
            <w:r w:rsidRPr="00EA71D3">
              <w:rPr>
                <w:rFonts w:asciiTheme="majorBidi" w:hAnsiTheme="majorBidi"/>
                <w:sz w:val="22"/>
                <w:szCs w:val="22"/>
                <w:lang w:val="fr-FR"/>
              </w:rPr>
              <w:t>e) La pollinisation et la dissémination des graines ;</w:t>
            </w:r>
          </w:p>
          <w:p w14:paraId="15C1E42D" w14:textId="77777777" w:rsidR="002F7724" w:rsidRPr="00EA71D3" w:rsidRDefault="002F7724" w:rsidP="004D47D0">
            <w:pPr>
              <w:spacing w:before="40" w:after="40"/>
              <w:jc w:val="left"/>
              <w:rPr>
                <w:rFonts w:asciiTheme="majorBidi" w:eastAsiaTheme="minorEastAsia" w:hAnsiTheme="majorBidi" w:cstheme="majorBidi"/>
                <w:kern w:val="2"/>
                <w:sz w:val="22"/>
                <w:szCs w:val="22"/>
                <w:lang w:val="fr-FR"/>
                <w14:ligatures w14:val="standardContextual"/>
              </w:rPr>
            </w:pPr>
            <w:r w:rsidRPr="00EA71D3">
              <w:rPr>
                <w:rFonts w:asciiTheme="majorBidi" w:hAnsiTheme="majorBidi"/>
                <w:sz w:val="22"/>
                <w:szCs w:val="22"/>
                <w:lang w:val="fr-FR"/>
              </w:rPr>
              <w:t xml:space="preserve">f) La production d’aliments et de nourriture pour les animaux à partir d’organismes terrestres et marins sauvages, gérés ou domestiqués ; </w:t>
            </w:r>
          </w:p>
          <w:p w14:paraId="4A5B4B71" w14:textId="77777777" w:rsidR="002F7724" w:rsidRPr="00EA71D3" w:rsidRDefault="002F7724" w:rsidP="004D47D0">
            <w:pPr>
              <w:spacing w:before="40" w:after="40"/>
              <w:jc w:val="left"/>
              <w:rPr>
                <w:rFonts w:asciiTheme="majorBidi" w:eastAsiaTheme="minorEastAsia" w:hAnsiTheme="majorBidi" w:cstheme="majorBidi"/>
                <w:kern w:val="2"/>
                <w:sz w:val="22"/>
                <w:szCs w:val="22"/>
                <w:lang w:val="fr-FR"/>
                <w14:ligatures w14:val="standardContextual"/>
              </w:rPr>
            </w:pPr>
            <w:r w:rsidRPr="00EA71D3">
              <w:rPr>
                <w:rFonts w:asciiTheme="majorBidi" w:hAnsiTheme="majorBidi"/>
                <w:sz w:val="22"/>
                <w:szCs w:val="22"/>
                <w:lang w:val="fr-FR"/>
              </w:rPr>
              <w:t>g) La régulation des organismes nuisibles, des pathogènes, des prédateurs, des compétiteurs, des parasites et des organismes potentiellement nuisibles ;</w:t>
            </w:r>
          </w:p>
          <w:p w14:paraId="2B6A17A0" w14:textId="77777777" w:rsidR="002F7724" w:rsidRPr="00EA71D3" w:rsidRDefault="002F7724" w:rsidP="004D47D0">
            <w:pPr>
              <w:spacing w:before="40" w:after="40"/>
              <w:jc w:val="left"/>
              <w:rPr>
                <w:rFonts w:asciiTheme="majorBidi" w:eastAsiaTheme="minorEastAsia" w:hAnsiTheme="majorBidi" w:cstheme="majorBidi"/>
                <w:kern w:val="2"/>
                <w:sz w:val="22"/>
                <w:szCs w:val="22"/>
                <w:lang w:val="fr-FR"/>
                <w14:ligatures w14:val="standardContextual"/>
              </w:rPr>
            </w:pPr>
            <w:r w:rsidRPr="00EA71D3">
              <w:rPr>
                <w:rFonts w:asciiTheme="majorBidi" w:hAnsiTheme="majorBidi"/>
                <w:sz w:val="22"/>
                <w:szCs w:val="22"/>
                <w:lang w:val="fr-FR"/>
              </w:rPr>
              <w:t>h) L’apprentissage (éducation, acquisition de connaissances et inspiration pour les créations artistiques et le design technologique, comme le biomimétisme ;</w:t>
            </w:r>
          </w:p>
          <w:p w14:paraId="20192C58" w14:textId="77777777" w:rsidR="002F7724" w:rsidRPr="00EA71D3" w:rsidRDefault="002F7724" w:rsidP="004D47D0">
            <w:pPr>
              <w:spacing w:before="40" w:after="40"/>
              <w:jc w:val="left"/>
              <w:rPr>
                <w:rFonts w:asciiTheme="majorBidi" w:eastAsiaTheme="minorEastAsia" w:hAnsiTheme="majorBidi" w:cstheme="majorBidi"/>
                <w:kern w:val="2"/>
                <w:sz w:val="22"/>
                <w:szCs w:val="22"/>
                <w:lang w:val="fr-FR"/>
                <w14:ligatures w14:val="standardContextual"/>
              </w:rPr>
            </w:pPr>
            <w:r w:rsidRPr="00EA71D3">
              <w:rPr>
                <w:rFonts w:asciiTheme="majorBidi" w:hAnsiTheme="majorBidi"/>
                <w:sz w:val="22"/>
                <w:szCs w:val="22"/>
                <w:lang w:val="fr-FR"/>
              </w:rPr>
              <w:t>i) La guérison, la relaxation, les loisirs et les activités de plaisance ;</w:t>
            </w:r>
          </w:p>
          <w:p w14:paraId="00C6EFEF" w14:textId="77777777" w:rsidR="002F7724" w:rsidRPr="00EA71D3" w:rsidRDefault="002F7724" w:rsidP="004D47D0">
            <w:pPr>
              <w:spacing w:before="40" w:after="40"/>
              <w:jc w:val="left"/>
              <w:rPr>
                <w:rFonts w:asciiTheme="majorBidi" w:eastAsiaTheme="minorEastAsia" w:hAnsiTheme="majorBidi" w:cstheme="majorBidi"/>
                <w:bCs/>
                <w:kern w:val="2"/>
                <w:sz w:val="22"/>
                <w:szCs w:val="22"/>
                <w:lang w:val="fr-FR"/>
                <w14:ligatures w14:val="standardContextual"/>
              </w:rPr>
            </w:pPr>
            <w:r w:rsidRPr="00EA71D3">
              <w:rPr>
                <w:rFonts w:asciiTheme="majorBidi" w:hAnsiTheme="majorBidi"/>
                <w:bCs/>
                <w:sz w:val="22"/>
                <w:szCs w:val="22"/>
                <w:lang w:val="fr-FR"/>
              </w:rPr>
              <w:t xml:space="preserve">j) L’interconnexion intrinsèque et les identités de soutien (c.-à-d. le </w:t>
            </w:r>
            <w:r w:rsidRPr="00EA71D3">
              <w:rPr>
                <w:rFonts w:asciiTheme="majorBidi" w:hAnsiTheme="majorBidi"/>
                <w:bCs/>
                <w:sz w:val="22"/>
                <w:szCs w:val="22"/>
                <w:lang w:val="fr-FR"/>
              </w:rPr>
              <w:lastRenderedPageBreak/>
              <w:t>fondement des expériences religieuses, spirituelles et de cohésion sociale et le sentiment d’appartenance, de vocation, de sens, d’enracinement ou de connexion) ;</w:t>
            </w:r>
          </w:p>
          <w:p w14:paraId="6AEF4DA2" w14:textId="77777777" w:rsidR="002F7724" w:rsidRPr="00EA71D3" w:rsidRDefault="002F7724" w:rsidP="004D47D0">
            <w:pPr>
              <w:spacing w:before="40" w:after="40"/>
              <w:jc w:val="left"/>
              <w:rPr>
                <w:rFonts w:asciiTheme="majorBidi" w:hAnsiTheme="majorBidi"/>
                <w:sz w:val="22"/>
                <w:szCs w:val="22"/>
                <w:lang w:val="fr-FR"/>
              </w:rPr>
            </w:pPr>
            <w:r w:rsidRPr="00EA71D3">
              <w:rPr>
                <w:rFonts w:asciiTheme="majorBidi" w:hAnsiTheme="majorBidi"/>
                <w:sz w:val="22"/>
                <w:szCs w:val="22"/>
                <w:lang w:val="fr-FR"/>
              </w:rPr>
              <w:t>k) La fourniture de ressources médicinales, biochimiques et génétiques.</w:t>
            </w:r>
          </w:p>
          <w:p w14:paraId="79822753" w14:textId="474F7539" w:rsidR="002F7724" w:rsidRPr="00EA71D3" w:rsidRDefault="002F7724" w:rsidP="004D47D0">
            <w:pPr>
              <w:spacing w:before="40" w:after="40"/>
              <w:ind w:left="72"/>
              <w:jc w:val="left"/>
              <w:rPr>
                <w:rFonts w:asciiTheme="majorBidi" w:eastAsiaTheme="minorEastAsia" w:hAnsiTheme="majorBidi" w:cstheme="majorBidi"/>
                <w:kern w:val="2"/>
                <w:sz w:val="22"/>
                <w:szCs w:val="22"/>
                <w:lang w:val="fr-FR"/>
                <w14:ligatures w14:val="standardContextual"/>
              </w:rPr>
            </w:pPr>
          </w:p>
        </w:tc>
        <w:tc>
          <w:tcPr>
            <w:tcW w:w="7068" w:type="dxa"/>
          </w:tcPr>
          <w:p w14:paraId="112BA10D" w14:textId="77777777" w:rsidR="002F7724" w:rsidRPr="00EA71D3" w:rsidRDefault="002F7724" w:rsidP="004D47D0">
            <w:pPr>
              <w:spacing w:before="60" w:after="60"/>
              <w:jc w:val="left"/>
              <w:rPr>
                <w:rFonts w:asciiTheme="majorBidi" w:hAnsiTheme="majorBidi" w:cstheme="majorBidi"/>
                <w:kern w:val="2"/>
                <w:sz w:val="22"/>
                <w:szCs w:val="22"/>
                <w:lang w:val="fr-FR"/>
                <w14:ligatures w14:val="standardContextual"/>
              </w:rPr>
            </w:pPr>
            <w:r w:rsidRPr="00EA71D3">
              <w:rPr>
                <w:rFonts w:asciiTheme="majorBidi" w:hAnsiTheme="majorBidi"/>
                <w:sz w:val="22"/>
                <w:szCs w:val="22"/>
                <w:lang w:val="fr-FR"/>
              </w:rPr>
              <w:lastRenderedPageBreak/>
              <w:t>1. Tenir compte de la contribution de la biodiversité aux politiques, stratégies et programmes nationaux, y compris tout au long de la vie et pour divers groupes communautaires, en reconnaissant les contributions positives de la nature envers toutes les dimensions de la santé et du bien-être des êtres humains.</w:t>
            </w:r>
          </w:p>
          <w:p w14:paraId="51CE39FA" w14:textId="77777777" w:rsidR="002F7724" w:rsidRPr="00EA71D3" w:rsidRDefault="002F7724" w:rsidP="004D47D0">
            <w:pPr>
              <w:spacing w:before="60" w:after="60"/>
              <w:jc w:val="left"/>
              <w:rPr>
                <w:rFonts w:asciiTheme="majorBidi" w:hAnsiTheme="majorBidi" w:cstheme="majorBidi"/>
                <w:kern w:val="2"/>
                <w:sz w:val="22"/>
                <w:szCs w:val="22"/>
                <w:lang w:val="fr-FR"/>
                <w14:ligatures w14:val="standardContextual"/>
              </w:rPr>
            </w:pPr>
            <w:r w:rsidRPr="00EA71D3">
              <w:rPr>
                <w:rFonts w:asciiTheme="majorBidi" w:hAnsiTheme="majorBidi"/>
                <w:sz w:val="22"/>
                <w:szCs w:val="22"/>
                <w:lang w:val="fr-FR"/>
              </w:rPr>
              <w:t>2. Prendre des mesures pour contrer les impacts défavorables de la perte de biodiversité sur la santé, y compris la santé mentale, par exemple en :</w:t>
            </w:r>
          </w:p>
          <w:p w14:paraId="6F9305E2" w14:textId="02B65178" w:rsidR="002F7724" w:rsidRPr="00EA71D3" w:rsidRDefault="002F7724" w:rsidP="004D47D0">
            <w:pPr>
              <w:tabs>
                <w:tab w:val="left" w:pos="691"/>
              </w:tabs>
              <w:spacing w:before="40" w:after="40"/>
              <w:ind w:firstLine="188"/>
              <w:jc w:val="left"/>
              <w:rPr>
                <w:rFonts w:asciiTheme="majorBidi" w:hAnsiTheme="majorBidi" w:cstheme="majorBidi"/>
                <w:snapToGrid w:val="0"/>
                <w:color w:val="000000" w:themeColor="text1"/>
                <w:sz w:val="22"/>
                <w:szCs w:val="22"/>
                <w:lang w:val="fr-FR"/>
              </w:rPr>
            </w:pPr>
            <w:r w:rsidRPr="00EA71D3">
              <w:rPr>
                <w:rFonts w:asciiTheme="majorBidi" w:hAnsiTheme="majorBidi"/>
                <w:sz w:val="22"/>
                <w:szCs w:val="22"/>
                <w:lang w:val="fr-FR"/>
              </w:rPr>
              <w:lastRenderedPageBreak/>
              <w:t xml:space="preserve">a) </w:t>
            </w:r>
            <w:r w:rsidR="000E6FDA" w:rsidRPr="00EA71D3">
              <w:rPr>
                <w:rFonts w:asciiTheme="majorBidi" w:hAnsiTheme="majorBidi"/>
                <w:sz w:val="22"/>
                <w:szCs w:val="22"/>
                <w:lang w:val="fr-FR"/>
              </w:rPr>
              <w:t>A</w:t>
            </w:r>
            <w:r w:rsidRPr="00EA71D3">
              <w:rPr>
                <w:rFonts w:asciiTheme="majorBidi" w:hAnsiTheme="majorBidi"/>
                <w:sz w:val="22"/>
                <w:szCs w:val="22"/>
                <w:lang w:val="fr-FR"/>
              </w:rPr>
              <w:t xml:space="preserve">ppuyant </w:t>
            </w:r>
            <w:r w:rsidRPr="00EA71D3">
              <w:rPr>
                <w:rFonts w:asciiTheme="majorBidi" w:hAnsiTheme="majorBidi"/>
                <w:snapToGrid w:val="0"/>
                <w:color w:val="000000" w:themeColor="text1"/>
                <w:sz w:val="22"/>
                <w:szCs w:val="22"/>
                <w:lang w:val="fr-FR"/>
              </w:rPr>
              <w:t xml:space="preserve">des initiatives qui aident les individus et les communautés qui souffrent de ces impacts ; </w:t>
            </w:r>
          </w:p>
          <w:p w14:paraId="765595AD" w14:textId="2AC8EB3E" w:rsidR="002F7724" w:rsidRPr="00EA71D3" w:rsidRDefault="002F7724" w:rsidP="004D47D0">
            <w:pPr>
              <w:tabs>
                <w:tab w:val="left" w:pos="691"/>
              </w:tabs>
              <w:spacing w:before="40" w:after="40"/>
              <w:ind w:firstLine="188"/>
              <w:jc w:val="left"/>
              <w:rPr>
                <w:rFonts w:asciiTheme="majorBidi" w:hAnsiTheme="majorBidi" w:cstheme="majorBidi"/>
                <w:snapToGrid w:val="0"/>
                <w:color w:val="000000" w:themeColor="text1"/>
                <w:sz w:val="22"/>
                <w:szCs w:val="22"/>
                <w:lang w:val="fr-FR"/>
              </w:rPr>
            </w:pPr>
            <w:r w:rsidRPr="00EA71D3">
              <w:rPr>
                <w:rFonts w:asciiTheme="majorBidi" w:hAnsiTheme="majorBidi"/>
                <w:snapToGrid w:val="0"/>
                <w:color w:val="000000" w:themeColor="text1"/>
                <w:sz w:val="22"/>
                <w:szCs w:val="22"/>
                <w:lang w:val="fr-FR"/>
              </w:rPr>
              <w:t xml:space="preserve">b) </w:t>
            </w:r>
            <w:r w:rsidR="000E6FDA" w:rsidRPr="00EA71D3">
              <w:rPr>
                <w:rFonts w:asciiTheme="majorBidi" w:hAnsiTheme="majorBidi"/>
                <w:snapToGrid w:val="0"/>
                <w:color w:val="000000" w:themeColor="text1"/>
                <w:sz w:val="22"/>
                <w:szCs w:val="22"/>
                <w:lang w:val="fr-FR"/>
              </w:rPr>
              <w:t>E</w:t>
            </w:r>
            <w:r w:rsidRPr="00EA71D3">
              <w:rPr>
                <w:rFonts w:asciiTheme="majorBidi" w:hAnsiTheme="majorBidi"/>
                <w:snapToGrid w:val="0"/>
                <w:color w:val="000000" w:themeColor="text1"/>
                <w:sz w:val="22"/>
                <w:szCs w:val="22"/>
                <w:lang w:val="fr-FR"/>
              </w:rPr>
              <w:t xml:space="preserve">ncourageant des récits positifs sur l’environnement en vue de l’avenir, en particulier auprès des enfants et des jeunes ; </w:t>
            </w:r>
          </w:p>
          <w:p w14:paraId="4C5C0150" w14:textId="01779FB6" w:rsidR="002F7724" w:rsidRPr="00EA71D3" w:rsidRDefault="002F7724" w:rsidP="004D47D0">
            <w:pPr>
              <w:tabs>
                <w:tab w:val="left" w:pos="691"/>
              </w:tabs>
              <w:spacing w:before="40" w:after="40"/>
              <w:ind w:firstLine="188"/>
              <w:jc w:val="left"/>
              <w:rPr>
                <w:rFonts w:asciiTheme="majorBidi" w:hAnsiTheme="majorBidi" w:cstheme="majorBidi"/>
                <w:kern w:val="2"/>
                <w:sz w:val="22"/>
                <w:szCs w:val="22"/>
                <w:lang w:val="fr-FR"/>
                <w14:ligatures w14:val="standardContextual"/>
              </w:rPr>
            </w:pPr>
            <w:r w:rsidRPr="00EA71D3">
              <w:rPr>
                <w:rFonts w:asciiTheme="majorBidi" w:hAnsiTheme="majorBidi"/>
                <w:snapToGrid w:val="0"/>
                <w:color w:val="000000" w:themeColor="text1"/>
                <w:sz w:val="22"/>
                <w:szCs w:val="22"/>
                <w:lang w:val="fr-FR"/>
              </w:rPr>
              <w:t xml:space="preserve">c) </w:t>
            </w:r>
            <w:r w:rsidR="000E6FDA" w:rsidRPr="00EA71D3">
              <w:rPr>
                <w:rFonts w:asciiTheme="majorBidi" w:hAnsiTheme="majorBidi"/>
                <w:snapToGrid w:val="0"/>
                <w:color w:val="000000" w:themeColor="text1"/>
                <w:sz w:val="22"/>
                <w:szCs w:val="22"/>
                <w:lang w:val="fr-FR"/>
              </w:rPr>
              <w:t>R</w:t>
            </w:r>
            <w:r w:rsidRPr="00EA71D3">
              <w:rPr>
                <w:rFonts w:asciiTheme="majorBidi" w:hAnsiTheme="majorBidi"/>
                <w:snapToGrid w:val="0"/>
                <w:color w:val="000000" w:themeColor="text1"/>
                <w:sz w:val="22"/>
                <w:szCs w:val="22"/>
                <w:lang w:val="fr-FR"/>
              </w:rPr>
              <w:t>econnaissant les outils de santé publique pertinents, comme les ordonnances fondées sur la nature et les thérapies axées sur la nature</w:t>
            </w:r>
            <w:r w:rsidRPr="00EA71D3">
              <w:rPr>
                <w:rFonts w:asciiTheme="majorBidi" w:hAnsiTheme="majorBidi"/>
                <w:sz w:val="22"/>
                <w:szCs w:val="22"/>
                <w:lang w:val="fr-FR"/>
              </w:rPr>
              <w:t>, la médecine traditionnelle et les produits phytothérapeutiques, afin de mobiliser le secteur de la santé à renforcer ses capacités pour minimiser, prévenir et traiter les impacts défavorables.</w:t>
            </w:r>
          </w:p>
          <w:p w14:paraId="00AB3076" w14:textId="77777777" w:rsidR="002F7724" w:rsidRPr="00EA71D3" w:rsidRDefault="002F7724" w:rsidP="004D47D0">
            <w:pPr>
              <w:spacing w:before="60" w:after="60"/>
              <w:jc w:val="left"/>
              <w:rPr>
                <w:rFonts w:asciiTheme="majorBidi" w:hAnsiTheme="majorBidi"/>
                <w:sz w:val="22"/>
                <w:szCs w:val="22"/>
                <w:lang w:val="fr-FR"/>
              </w:rPr>
            </w:pPr>
            <w:r w:rsidRPr="00EA71D3">
              <w:rPr>
                <w:rFonts w:asciiTheme="majorBidi" w:hAnsiTheme="majorBidi"/>
                <w:sz w:val="22"/>
                <w:szCs w:val="22"/>
                <w:lang w:val="fr-FR"/>
              </w:rPr>
              <w:t>3. Utiliser des solutions basées sur la nature et/ou les approches fondées sur les écosystèmes, ainsi que des approches novatrices, pour obtenir des avantages pour la biodiversité, l’intégrité des systèmes et les systèmes naturels tout en offrant des avantages durables pour la santé humaine, par exemple la réduction du risque de catastrophe.</w:t>
            </w:r>
          </w:p>
          <w:p w14:paraId="426EBC8A" w14:textId="68771C7D" w:rsidR="002F7724" w:rsidRPr="00EA71D3" w:rsidRDefault="002F7724" w:rsidP="004D47D0">
            <w:pPr>
              <w:spacing w:before="60" w:after="60"/>
              <w:jc w:val="left"/>
              <w:rPr>
                <w:rFonts w:asciiTheme="majorBidi" w:eastAsiaTheme="minorEastAsia" w:hAnsiTheme="majorBidi" w:cstheme="majorBidi"/>
                <w:kern w:val="2"/>
                <w:sz w:val="22"/>
                <w:szCs w:val="22"/>
                <w:lang w:val="fr-FR"/>
                <w14:ligatures w14:val="standardContextual"/>
              </w:rPr>
            </w:pPr>
          </w:p>
        </w:tc>
      </w:tr>
      <w:tr w:rsidR="002F7724" w:rsidRPr="00EA71D3" w14:paraId="772CB886" w14:textId="77777777" w:rsidTr="004D47D0">
        <w:trPr>
          <w:trHeight w:val="449"/>
        </w:trPr>
        <w:tc>
          <w:tcPr>
            <w:tcW w:w="13874" w:type="dxa"/>
            <w:gridSpan w:val="3"/>
          </w:tcPr>
          <w:p w14:paraId="1DC05940" w14:textId="77777777" w:rsidR="002F7724" w:rsidRPr="00EA71D3" w:rsidRDefault="002F7724" w:rsidP="004D47D0">
            <w:pPr>
              <w:spacing w:before="40" w:after="40"/>
              <w:jc w:val="left"/>
              <w:rPr>
                <w:rFonts w:asciiTheme="majorBidi" w:eastAsiaTheme="minorEastAsia" w:hAnsiTheme="majorBidi" w:cstheme="majorBidi"/>
                <w:b/>
                <w:color w:val="000000" w:themeColor="text1"/>
                <w:spacing w:val="6"/>
                <w:kern w:val="2"/>
                <w:sz w:val="22"/>
                <w:szCs w:val="22"/>
                <w:lang w:val="fr-FR"/>
                <w14:ligatures w14:val="standardContextual"/>
              </w:rPr>
            </w:pPr>
            <w:r w:rsidRPr="00EA71D3">
              <w:rPr>
                <w:rFonts w:asciiTheme="majorBidi" w:hAnsiTheme="majorBidi"/>
                <w:b/>
                <w:color w:val="000000" w:themeColor="text1"/>
                <w:sz w:val="22"/>
                <w:szCs w:val="22"/>
                <w:lang w:val="fr-FR"/>
              </w:rPr>
              <w:lastRenderedPageBreak/>
              <w:t>Zones urbaines</w:t>
            </w:r>
          </w:p>
        </w:tc>
      </w:tr>
      <w:tr w:rsidR="002F7724" w:rsidRPr="00EA71D3" w14:paraId="187DD0C8" w14:textId="77777777" w:rsidTr="004D47D0">
        <w:trPr>
          <w:trHeight w:val="449"/>
        </w:trPr>
        <w:tc>
          <w:tcPr>
            <w:tcW w:w="2984" w:type="dxa"/>
          </w:tcPr>
          <w:p w14:paraId="09AFE970" w14:textId="77777777" w:rsidR="002F7724" w:rsidRPr="00EA71D3" w:rsidRDefault="002F7724" w:rsidP="004D47D0">
            <w:pPr>
              <w:spacing w:before="40" w:after="40"/>
              <w:jc w:val="left"/>
              <w:rPr>
                <w:rFonts w:asciiTheme="majorBidi" w:eastAsiaTheme="minorEastAsia" w:hAnsiTheme="majorBidi" w:cstheme="majorBidi"/>
                <w:kern w:val="2"/>
                <w:sz w:val="22"/>
                <w:szCs w:val="22"/>
                <w:lang w:val="fr-FR"/>
                <w14:ligatures w14:val="standardContextual"/>
              </w:rPr>
            </w:pPr>
            <w:r w:rsidRPr="00EA71D3">
              <w:rPr>
                <w:rFonts w:asciiTheme="majorBidi" w:hAnsiTheme="majorBidi"/>
                <w:color w:val="000000" w:themeColor="text1"/>
                <w:sz w:val="22"/>
                <w:szCs w:val="22"/>
                <w:lang w:val="fr-FR"/>
              </w:rPr>
              <w:t>Cible 12</w:t>
            </w:r>
          </w:p>
        </w:tc>
        <w:tc>
          <w:tcPr>
            <w:tcW w:w="3822" w:type="dxa"/>
          </w:tcPr>
          <w:p w14:paraId="3C9B31CC" w14:textId="77777777" w:rsidR="002F7724" w:rsidRPr="00EA71D3" w:rsidRDefault="002F7724" w:rsidP="004D47D0">
            <w:pPr>
              <w:spacing w:before="40" w:after="40"/>
              <w:jc w:val="left"/>
              <w:rPr>
                <w:rFonts w:asciiTheme="majorBidi" w:eastAsiaTheme="minorEastAsia" w:hAnsiTheme="majorBidi" w:cstheme="majorBidi"/>
                <w:color w:val="000000" w:themeColor="text1"/>
                <w:kern w:val="2"/>
                <w:sz w:val="22"/>
                <w:szCs w:val="22"/>
                <w:lang w:val="fr-FR"/>
                <w14:ligatures w14:val="standardContextual"/>
              </w:rPr>
            </w:pPr>
            <w:r w:rsidRPr="00EA71D3">
              <w:rPr>
                <w:rFonts w:asciiTheme="majorBidi" w:hAnsiTheme="majorBidi"/>
                <w:color w:val="000000" w:themeColor="text1"/>
                <w:sz w:val="22"/>
                <w:szCs w:val="22"/>
                <w:lang w:val="fr-FR"/>
              </w:rPr>
              <w:t xml:space="preserve">Les espaces bleus et verts et l’urbanisme qui tiennent compte de la biodiversité peuvent optimiser l’intégrité et la connectivité des écosystèmes et améliorer la santé physique, mentale, spirituelle et émotionnelle grâce à divers mécanismes, notamment en améliorant la qualité de l’air, en réduisant l’effet des ilots de chaleur, en renforçant la résilience face aux inondations, en fournissant un microbiote bénéfique, en offrant des avantages culturels et psychologiques et en facilitant l’exercice physique, en plus de permettre la guérison, la relaxation, les activités de loisirs et les identités de soutien, ainsi que des activités de cohésion communautaire et sociale. </w:t>
            </w:r>
          </w:p>
        </w:tc>
        <w:tc>
          <w:tcPr>
            <w:tcW w:w="7068" w:type="dxa"/>
          </w:tcPr>
          <w:p w14:paraId="28D23D39" w14:textId="77777777" w:rsidR="002F7724" w:rsidRPr="00EA71D3" w:rsidRDefault="002F7724" w:rsidP="004D47D0">
            <w:pPr>
              <w:spacing w:before="60" w:after="60"/>
              <w:jc w:val="left"/>
              <w:rPr>
                <w:rFonts w:asciiTheme="majorBidi" w:hAnsiTheme="majorBidi" w:cstheme="majorBidi"/>
                <w:kern w:val="2"/>
                <w:sz w:val="22"/>
                <w:szCs w:val="22"/>
                <w:lang w:val="fr-FR"/>
                <w14:ligatures w14:val="standardContextual"/>
              </w:rPr>
            </w:pPr>
            <w:r w:rsidRPr="00EA71D3">
              <w:rPr>
                <w:rFonts w:asciiTheme="majorBidi" w:hAnsiTheme="majorBidi"/>
                <w:color w:val="000000" w:themeColor="text1"/>
                <w:sz w:val="22"/>
                <w:szCs w:val="22"/>
                <w:lang w:val="fr-FR"/>
              </w:rPr>
              <w:t xml:space="preserve">1. </w:t>
            </w:r>
            <w:r w:rsidRPr="00EA71D3">
              <w:rPr>
                <w:rFonts w:asciiTheme="majorBidi" w:hAnsiTheme="majorBidi"/>
                <w:sz w:val="22"/>
                <w:szCs w:val="22"/>
                <w:lang w:val="fr-FR"/>
              </w:rPr>
              <w:t>Tenir compte des avantages pour la santé humaine, sous toutes ses formes, dans les politiques d’urbanisme intégrant la biodiversité et dans la prestation d’espaces bleus et verts.</w:t>
            </w:r>
            <w:r w:rsidRPr="00EA71D3">
              <w:rPr>
                <w:rFonts w:asciiTheme="majorBidi" w:hAnsiTheme="majorBidi"/>
                <w:color w:val="000000" w:themeColor="text1"/>
                <w:sz w:val="22"/>
                <w:szCs w:val="22"/>
                <w:lang w:val="fr-FR"/>
              </w:rPr>
              <w:t xml:space="preserve"> </w:t>
            </w:r>
          </w:p>
          <w:p w14:paraId="24836C94" w14:textId="221F2235" w:rsidR="002F7724" w:rsidRPr="00EA71D3" w:rsidRDefault="002F7724" w:rsidP="004D47D0">
            <w:pPr>
              <w:spacing w:before="40" w:after="40"/>
              <w:ind w:left="-20" w:right="-20"/>
              <w:jc w:val="left"/>
              <w:rPr>
                <w:rFonts w:asciiTheme="majorBidi" w:hAnsiTheme="majorBidi" w:cstheme="majorBidi"/>
                <w:kern w:val="2"/>
                <w:sz w:val="22"/>
                <w:szCs w:val="22"/>
                <w:lang w:val="fr-FR"/>
                <w14:ligatures w14:val="standardContextual"/>
              </w:rPr>
            </w:pPr>
            <w:r w:rsidRPr="00EA71D3">
              <w:rPr>
                <w:rFonts w:asciiTheme="majorBidi" w:hAnsiTheme="majorBidi"/>
                <w:sz w:val="22"/>
                <w:szCs w:val="22"/>
                <w:lang w:val="fr-FR"/>
              </w:rPr>
              <w:t xml:space="preserve">2. Améliorer l’accès pour tous aux espaces bleus et verts offrant une riche biodiversité, et l’accessibilité à ceux-ci, surtout aux personnes les plus vulnérables aux conséquences des déterminants sociaux ou environnementaux, tels que les enfants, les jeunes, les personnes âgées, les personnes en situation de handicap, les migrants, les minorités raciales </w:t>
            </w:r>
            <w:r w:rsidR="000E6FDA" w:rsidRPr="00EA71D3">
              <w:rPr>
                <w:rFonts w:asciiTheme="majorBidi" w:hAnsiTheme="majorBidi"/>
                <w:sz w:val="22"/>
                <w:szCs w:val="22"/>
                <w:lang w:val="fr-FR"/>
              </w:rPr>
              <w:t>et</w:t>
            </w:r>
            <w:r w:rsidRPr="00EA71D3">
              <w:rPr>
                <w:rFonts w:asciiTheme="majorBidi" w:hAnsiTheme="majorBidi"/>
                <w:sz w:val="22"/>
                <w:szCs w:val="22"/>
                <w:lang w:val="fr-FR"/>
              </w:rPr>
              <w:t xml:space="preserve"> les populations à faible revenu.</w:t>
            </w:r>
          </w:p>
          <w:p w14:paraId="60E93E6F" w14:textId="77777777" w:rsidR="002F7724" w:rsidRPr="00EA71D3" w:rsidRDefault="002F7724" w:rsidP="004D47D0">
            <w:pPr>
              <w:jc w:val="left"/>
              <w:rPr>
                <w:rFonts w:asciiTheme="majorBidi" w:hAnsiTheme="majorBidi"/>
                <w:sz w:val="22"/>
                <w:szCs w:val="22"/>
                <w:lang w:val="fr-FR"/>
              </w:rPr>
            </w:pPr>
            <w:r w:rsidRPr="00EA71D3">
              <w:rPr>
                <w:rFonts w:asciiTheme="majorBidi" w:hAnsiTheme="majorBidi"/>
                <w:sz w:val="22"/>
                <w:szCs w:val="22"/>
                <w:lang w:val="fr-FR"/>
              </w:rPr>
              <w:t>3. Mettre au point des outils de communication en collaboration avec le secteur de la santé qui permettront d’informer les gens sur les raisons pour lesquelles l’amélioration de la biodiversité et de l’intégrité et de la connectivité écologiques dans les zones urbaines sont essentielles à la santé et au bien-être de toutes les espèces ; et prendre des mesures pour diffuser ces outils dans les différents secteurs, dans tous les secteurs liés à la santé et dans les écoles et les organisations communautaires.</w:t>
            </w:r>
          </w:p>
          <w:p w14:paraId="6F0D0BE7" w14:textId="4DEA6AED" w:rsidR="002F7724" w:rsidRPr="00EA71D3" w:rsidRDefault="000E6FDA" w:rsidP="004D47D0">
            <w:pPr>
              <w:jc w:val="left"/>
              <w:rPr>
                <w:rFonts w:asciiTheme="majorBidi" w:hAnsiTheme="majorBidi"/>
                <w:sz w:val="22"/>
                <w:szCs w:val="22"/>
                <w:lang w:val="fr-FR"/>
              </w:rPr>
            </w:pPr>
            <w:r w:rsidRPr="00EA71D3">
              <w:rPr>
                <w:rFonts w:asciiTheme="majorBidi" w:hAnsiTheme="majorBidi"/>
                <w:sz w:val="22"/>
                <w:szCs w:val="22"/>
                <w:lang w:val="fr-FR"/>
              </w:rPr>
              <w:t>4</w:t>
            </w:r>
            <w:r w:rsidR="002F7724" w:rsidRPr="00EA71D3">
              <w:rPr>
                <w:rFonts w:asciiTheme="majorBidi" w:hAnsiTheme="majorBidi"/>
                <w:sz w:val="22"/>
                <w:szCs w:val="22"/>
                <w:lang w:val="fr-FR"/>
              </w:rPr>
              <w:t xml:space="preserve">. Améliorer les infrastructures vertes et bleues ainsi que la connectivité, afin de favoriser la biodiversité et les services écosystémiques, surtout ceux ayant une grande importance pour la santé dans les zones urbaines, telles que l’élimination de la pollution de l’air, l’absorption de la pollution acoustique, l’évitement du ruissellement, l’érosion du sol, l’utilisation de plantes </w:t>
            </w:r>
            <w:r w:rsidR="002F7724" w:rsidRPr="00EA71D3">
              <w:rPr>
                <w:rFonts w:asciiTheme="majorBidi" w:hAnsiTheme="majorBidi"/>
                <w:sz w:val="22"/>
                <w:szCs w:val="22"/>
                <w:lang w:val="fr-FR"/>
              </w:rPr>
              <w:lastRenderedPageBreak/>
              <w:t xml:space="preserve">allergènes, </w:t>
            </w:r>
            <w:r w:rsidRPr="00EA71D3">
              <w:rPr>
                <w:rFonts w:asciiTheme="majorBidi" w:hAnsiTheme="majorBidi"/>
                <w:sz w:val="22"/>
                <w:szCs w:val="22"/>
                <w:lang w:val="fr-FR"/>
              </w:rPr>
              <w:t xml:space="preserve">et </w:t>
            </w:r>
            <w:r w:rsidR="002F7724" w:rsidRPr="00EA71D3">
              <w:rPr>
                <w:rFonts w:asciiTheme="majorBidi" w:hAnsiTheme="majorBidi"/>
                <w:sz w:val="22"/>
                <w:szCs w:val="22"/>
                <w:lang w:val="fr-FR"/>
              </w:rPr>
              <w:t>les espaces pour communier avec la nature et faire de l’exercice, entre autres.</w:t>
            </w:r>
          </w:p>
          <w:p w14:paraId="628E861E" w14:textId="293DFE92" w:rsidR="002F7724" w:rsidRPr="00EA71D3" w:rsidRDefault="000E6FDA" w:rsidP="004D47D0">
            <w:pPr>
              <w:jc w:val="left"/>
              <w:rPr>
                <w:rFonts w:asciiTheme="majorBidi" w:hAnsiTheme="majorBidi"/>
                <w:sz w:val="22"/>
                <w:szCs w:val="22"/>
                <w:lang w:val="fr-FR"/>
              </w:rPr>
            </w:pPr>
            <w:r w:rsidRPr="00EA71D3">
              <w:rPr>
                <w:rFonts w:asciiTheme="majorBidi" w:hAnsiTheme="majorBidi"/>
                <w:sz w:val="22"/>
                <w:szCs w:val="22"/>
                <w:lang w:val="fr-FR"/>
              </w:rPr>
              <w:t>5</w:t>
            </w:r>
            <w:r w:rsidR="002F7724" w:rsidRPr="00EA71D3">
              <w:rPr>
                <w:rFonts w:asciiTheme="majorBidi" w:hAnsiTheme="majorBidi"/>
                <w:sz w:val="22"/>
                <w:szCs w:val="22"/>
                <w:lang w:val="fr-FR"/>
              </w:rPr>
              <w:t>. Promouvoir la contribution de la nature aux populations, notamment en ce qui concerne la guérison, la relaxation et les loisirs, surtout dans les zones urbaines et densément peuplées.</w:t>
            </w:r>
          </w:p>
          <w:p w14:paraId="10BC07A4" w14:textId="77777777" w:rsidR="002F7724" w:rsidRPr="00EA71D3" w:rsidRDefault="002F7724" w:rsidP="004D47D0">
            <w:pPr>
              <w:jc w:val="left"/>
              <w:rPr>
                <w:rFonts w:asciiTheme="majorBidi" w:hAnsiTheme="majorBidi" w:cstheme="majorBidi"/>
                <w:kern w:val="2"/>
                <w:sz w:val="22"/>
                <w:szCs w:val="22"/>
                <w:lang w:val="fr-FR"/>
                <w14:ligatures w14:val="standardContextual"/>
              </w:rPr>
            </w:pPr>
          </w:p>
        </w:tc>
      </w:tr>
      <w:tr w:rsidR="002F7724" w:rsidRPr="00EA71D3" w14:paraId="2077C7BA" w14:textId="77777777" w:rsidTr="004D47D0">
        <w:tc>
          <w:tcPr>
            <w:tcW w:w="13874" w:type="dxa"/>
            <w:gridSpan w:val="3"/>
          </w:tcPr>
          <w:p w14:paraId="2DBF56F5" w14:textId="77777777" w:rsidR="002F7724" w:rsidRPr="00EA71D3" w:rsidRDefault="002F7724" w:rsidP="004D47D0">
            <w:pPr>
              <w:keepNext/>
              <w:spacing w:before="40" w:after="40"/>
              <w:jc w:val="left"/>
              <w:rPr>
                <w:rFonts w:asciiTheme="majorBidi" w:eastAsiaTheme="minorEastAsia" w:hAnsiTheme="majorBidi" w:cstheme="majorBidi"/>
                <w:color w:val="000000" w:themeColor="text1"/>
                <w:kern w:val="2"/>
                <w:sz w:val="22"/>
                <w:szCs w:val="22"/>
                <w:lang w:val="fr-FR"/>
                <w14:ligatures w14:val="standardContextual"/>
              </w:rPr>
            </w:pPr>
            <w:r w:rsidRPr="00EA71D3">
              <w:rPr>
                <w:rFonts w:asciiTheme="majorBidi" w:hAnsiTheme="majorBidi"/>
                <w:b/>
                <w:bCs/>
                <w:sz w:val="22"/>
                <w:szCs w:val="22"/>
                <w:lang w:val="fr-FR"/>
              </w:rPr>
              <w:lastRenderedPageBreak/>
              <w:t>Accès et partage des avantages</w:t>
            </w:r>
          </w:p>
        </w:tc>
      </w:tr>
      <w:tr w:rsidR="002F7724" w:rsidRPr="00EA71D3" w14:paraId="19E8C254" w14:textId="77777777" w:rsidTr="004D47D0">
        <w:tc>
          <w:tcPr>
            <w:tcW w:w="2984" w:type="dxa"/>
          </w:tcPr>
          <w:p w14:paraId="2E35F26E" w14:textId="77777777" w:rsidR="002F7724" w:rsidRPr="00EA71D3" w:rsidRDefault="002F7724" w:rsidP="004D47D0">
            <w:pPr>
              <w:spacing w:before="120" w:after="40"/>
              <w:jc w:val="left"/>
              <w:rPr>
                <w:rFonts w:asciiTheme="majorBidi" w:eastAsiaTheme="minorEastAsia" w:hAnsiTheme="majorBidi" w:cstheme="majorBidi"/>
                <w:kern w:val="2"/>
                <w:sz w:val="22"/>
                <w:szCs w:val="22"/>
                <w:lang w:val="fr-FR"/>
                <w14:ligatures w14:val="standardContextual"/>
              </w:rPr>
            </w:pPr>
            <w:r w:rsidRPr="00EA71D3">
              <w:rPr>
                <w:rFonts w:asciiTheme="majorBidi" w:hAnsiTheme="majorBidi"/>
                <w:sz w:val="22"/>
                <w:szCs w:val="22"/>
                <w:lang w:val="fr-FR"/>
              </w:rPr>
              <w:t xml:space="preserve">Cible 13 </w:t>
            </w:r>
          </w:p>
        </w:tc>
        <w:tc>
          <w:tcPr>
            <w:tcW w:w="3822" w:type="dxa"/>
          </w:tcPr>
          <w:p w14:paraId="66A220DA" w14:textId="77777777" w:rsidR="002F7724" w:rsidRPr="00EA71D3" w:rsidRDefault="002F7724" w:rsidP="004D47D0">
            <w:pPr>
              <w:spacing w:before="40" w:after="40"/>
              <w:jc w:val="left"/>
              <w:rPr>
                <w:rFonts w:asciiTheme="majorBidi" w:eastAsiaTheme="minorEastAsia" w:hAnsiTheme="majorBidi" w:cstheme="majorBidi"/>
                <w:kern w:val="2"/>
                <w:sz w:val="22"/>
                <w:szCs w:val="22"/>
                <w:lang w:val="fr-FR"/>
                <w14:ligatures w14:val="standardContextual"/>
              </w:rPr>
            </w:pPr>
            <w:r w:rsidRPr="00EA71D3">
              <w:rPr>
                <w:rFonts w:asciiTheme="majorBidi" w:hAnsiTheme="majorBidi"/>
                <w:sz w:val="22"/>
                <w:szCs w:val="22"/>
                <w:lang w:val="fr-FR"/>
              </w:rPr>
              <w:t xml:space="preserve">L’accès aux ressources génétiques et le partage juste et équitable des avantages de leur utilisation sont essentiels à la santé, aux pratiques d’hygiène et à l’efficacité des systèmes de santé. La mise au point des vaccins et des traitements thérapeutiques est fondée sur l’accès à la diversité des organismes, molécules et gènes que l’on retrouve dans la nature. Bon nombre des traitements thérapeutiques proviennent des systèmes de connaissances traditionnels et de la pratique de la médecine traditionnelle des peuples autochtones et des communautés locales. </w:t>
            </w:r>
          </w:p>
          <w:p w14:paraId="74D3428E" w14:textId="77777777" w:rsidR="002F7724" w:rsidRPr="00EA71D3" w:rsidRDefault="002F7724" w:rsidP="004D47D0">
            <w:pPr>
              <w:spacing w:before="40" w:after="40"/>
              <w:jc w:val="left"/>
              <w:rPr>
                <w:rFonts w:asciiTheme="majorBidi" w:eastAsiaTheme="minorEastAsia" w:hAnsiTheme="majorBidi" w:cstheme="majorBidi"/>
                <w:kern w:val="2"/>
                <w:sz w:val="22"/>
                <w:szCs w:val="22"/>
                <w:lang w:val="fr-FR"/>
                <w14:ligatures w14:val="standardContextual"/>
              </w:rPr>
            </w:pPr>
          </w:p>
        </w:tc>
        <w:tc>
          <w:tcPr>
            <w:tcW w:w="7068" w:type="dxa"/>
          </w:tcPr>
          <w:p w14:paraId="5E21C708" w14:textId="77777777" w:rsidR="000E6FDA" w:rsidRPr="00EA71D3" w:rsidRDefault="002F7724" w:rsidP="000E6FDA">
            <w:pPr>
              <w:spacing w:before="40" w:after="40"/>
              <w:jc w:val="left"/>
              <w:rPr>
                <w:rFonts w:eastAsiaTheme="minorEastAsia"/>
                <w:sz w:val="20"/>
                <w:szCs w:val="20"/>
                <w:lang w:val="fr-FR"/>
              </w:rPr>
            </w:pPr>
            <w:r w:rsidRPr="00EA71D3">
              <w:rPr>
                <w:rFonts w:asciiTheme="majorBidi" w:hAnsiTheme="majorBidi"/>
                <w:color w:val="000000" w:themeColor="text1"/>
                <w:sz w:val="22"/>
                <w:szCs w:val="22"/>
                <w:lang w:val="fr-FR"/>
              </w:rPr>
              <w:t>1. Reconnaître le rôle des ressources génétiques, de l’information de séquençage numérique sur les ressources génétiques et des connaissances traditionnelles associées aux ressources génétiques dans la recherche et le développement de produits et services de santé, ainsi que l’importance du partage juste et équitable des avantages découlant de l’utilisation des ressources génétiques à cette fin.</w:t>
            </w:r>
            <w:r w:rsidR="000E6FDA" w:rsidRPr="00EA71D3">
              <w:rPr>
                <w:rStyle w:val="FootnoteReference"/>
                <w:rFonts w:asciiTheme="majorBidi" w:eastAsiaTheme="minorEastAsia" w:hAnsiTheme="majorBidi" w:cstheme="majorBidi"/>
                <w:color w:val="000000" w:themeColor="text1"/>
                <w:kern w:val="2"/>
                <w:sz w:val="20"/>
                <w:szCs w:val="20"/>
                <w:lang w:val="fr-FR" w:eastAsia="zh-CN"/>
                <w14:ligatures w14:val="standardContextual"/>
              </w:rPr>
              <w:t xml:space="preserve"> </w:t>
            </w:r>
            <w:r w:rsidR="000E6FDA" w:rsidRPr="00EA71D3">
              <w:rPr>
                <w:rStyle w:val="FootnoteReference"/>
                <w:rFonts w:asciiTheme="majorBidi" w:eastAsiaTheme="minorEastAsia" w:hAnsiTheme="majorBidi" w:cstheme="majorBidi"/>
                <w:color w:val="000000" w:themeColor="text1"/>
                <w:kern w:val="2"/>
                <w:sz w:val="20"/>
                <w:szCs w:val="20"/>
                <w:lang w:val="fr-FR" w:eastAsia="zh-CN"/>
                <w14:ligatures w14:val="standardContextual"/>
              </w:rPr>
              <w:footnoteReference w:id="55"/>
            </w:r>
            <w:r w:rsidR="000E6FDA" w:rsidRPr="00EA71D3">
              <w:rPr>
                <w:rFonts w:eastAsiaTheme="minorEastAsia"/>
                <w:sz w:val="20"/>
                <w:szCs w:val="20"/>
                <w:lang w:val="fr-FR"/>
              </w:rPr>
              <w:t xml:space="preserve"> </w:t>
            </w:r>
          </w:p>
          <w:p w14:paraId="790A3EDC" w14:textId="7BA3FFFD" w:rsidR="002F7724" w:rsidRPr="00EA71D3" w:rsidRDefault="000E6FDA" w:rsidP="000E6FDA">
            <w:pPr>
              <w:spacing w:before="40" w:after="40"/>
              <w:jc w:val="left"/>
              <w:rPr>
                <w:rFonts w:asciiTheme="majorBidi" w:hAnsiTheme="majorBidi"/>
                <w:snapToGrid w:val="0"/>
                <w:color w:val="000000" w:themeColor="text1"/>
                <w:sz w:val="22"/>
                <w:szCs w:val="22"/>
                <w:lang w:val="fr-FR"/>
              </w:rPr>
            </w:pPr>
            <w:r w:rsidRPr="00EA71D3">
              <w:rPr>
                <w:rFonts w:asciiTheme="majorBidi" w:hAnsiTheme="majorBidi"/>
                <w:snapToGrid w:val="0"/>
                <w:color w:val="000000" w:themeColor="text1"/>
                <w:sz w:val="22"/>
                <w:szCs w:val="22"/>
                <w:lang w:val="fr-FR"/>
              </w:rPr>
              <w:t>2</w:t>
            </w:r>
            <w:r w:rsidR="002F7724" w:rsidRPr="00EA71D3">
              <w:rPr>
                <w:rFonts w:asciiTheme="majorBidi" w:hAnsiTheme="majorBidi"/>
                <w:snapToGrid w:val="0"/>
                <w:color w:val="000000" w:themeColor="text1"/>
                <w:sz w:val="22"/>
                <w:szCs w:val="22"/>
                <w:lang w:val="fr-FR"/>
              </w:rPr>
              <w:t xml:space="preserve">. Reconnaître le rôle des pratiques de médecine traditionnelle pour la conservation et l’utilisation durable de la biodiversité. </w:t>
            </w:r>
          </w:p>
          <w:p w14:paraId="191A6CAB" w14:textId="737AA178" w:rsidR="002F7724" w:rsidRPr="00EA71D3" w:rsidRDefault="000E6FDA" w:rsidP="004D47D0">
            <w:pPr>
              <w:tabs>
                <w:tab w:val="left" w:pos="1134"/>
              </w:tabs>
              <w:spacing w:before="40" w:after="40"/>
              <w:jc w:val="left"/>
              <w:rPr>
                <w:snapToGrid w:val="0"/>
                <w:color w:val="000000" w:themeColor="text1"/>
                <w:sz w:val="22"/>
                <w:szCs w:val="22"/>
                <w:lang w:val="fr-FR"/>
              </w:rPr>
            </w:pPr>
            <w:r w:rsidRPr="00EA71D3">
              <w:rPr>
                <w:rFonts w:asciiTheme="majorBidi" w:hAnsiTheme="majorBidi"/>
                <w:snapToGrid w:val="0"/>
                <w:color w:val="000000" w:themeColor="text1"/>
                <w:sz w:val="22"/>
                <w:szCs w:val="22"/>
                <w:lang w:val="fr-FR"/>
              </w:rPr>
              <w:t>3</w:t>
            </w:r>
            <w:r w:rsidR="002F7724" w:rsidRPr="00EA71D3">
              <w:rPr>
                <w:rFonts w:asciiTheme="majorBidi" w:hAnsiTheme="majorBidi"/>
                <w:snapToGrid w:val="0"/>
                <w:color w:val="000000" w:themeColor="text1"/>
                <w:sz w:val="22"/>
                <w:szCs w:val="22"/>
                <w:lang w:val="fr-FR"/>
              </w:rPr>
              <w:t xml:space="preserve">. </w:t>
            </w:r>
            <w:r w:rsidR="002F7724" w:rsidRPr="00EA71D3">
              <w:rPr>
                <w:snapToGrid w:val="0"/>
                <w:color w:val="000000" w:themeColor="text1"/>
                <w:sz w:val="22"/>
                <w:szCs w:val="22"/>
                <w:lang w:val="fr-FR"/>
              </w:rPr>
              <w:t>Faire en sorte que les avantages découlant de l’utilisation des ressources génétiques et de l’utilisation de l’information de séquençage numérique sur les ressources génétiques [et leurs dérivés] [ainsi que les utilisations et la commercialisation subséquentes] sont partagés de manière juste et équitable[, conformément aux instruments d’accès et de partage des avantages].</w:t>
            </w:r>
          </w:p>
          <w:p w14:paraId="25C7A195" w14:textId="44328D03" w:rsidR="002F7724" w:rsidRPr="00EA71D3" w:rsidRDefault="002F7724" w:rsidP="004D47D0">
            <w:pPr>
              <w:tabs>
                <w:tab w:val="left" w:pos="1134"/>
              </w:tabs>
              <w:spacing w:before="40" w:after="40"/>
              <w:jc w:val="left"/>
              <w:rPr>
                <w:snapToGrid w:val="0"/>
                <w:color w:val="000000" w:themeColor="text1"/>
                <w:sz w:val="22"/>
                <w:szCs w:val="22"/>
                <w:lang w:val="fr-FR"/>
              </w:rPr>
            </w:pPr>
            <w:r w:rsidRPr="00EA71D3">
              <w:rPr>
                <w:snapToGrid w:val="0"/>
                <w:color w:val="000000" w:themeColor="text1"/>
                <w:sz w:val="22"/>
                <w:szCs w:val="22"/>
                <w:lang w:val="fr-FR"/>
              </w:rPr>
              <w:t>[</w:t>
            </w:r>
            <w:r w:rsidR="000E6FDA" w:rsidRPr="00EA71D3">
              <w:rPr>
                <w:snapToGrid w:val="0"/>
                <w:color w:val="000000" w:themeColor="text1"/>
                <w:sz w:val="22"/>
                <w:szCs w:val="22"/>
                <w:lang w:val="fr-FR"/>
              </w:rPr>
              <w:t>4</w:t>
            </w:r>
            <w:r w:rsidRPr="00EA71D3">
              <w:rPr>
                <w:snapToGrid w:val="0"/>
                <w:color w:val="000000" w:themeColor="text1"/>
                <w:sz w:val="22"/>
                <w:szCs w:val="22"/>
                <w:lang w:val="fr-FR"/>
              </w:rPr>
              <w:t xml:space="preserve">. [Promouvoir] </w:t>
            </w:r>
            <w:r w:rsidR="000E6FDA" w:rsidRPr="00EA71D3">
              <w:rPr>
                <w:snapToGrid w:val="0"/>
                <w:color w:val="000000" w:themeColor="text1"/>
                <w:sz w:val="22"/>
                <w:szCs w:val="22"/>
                <w:lang w:val="fr-FR"/>
              </w:rPr>
              <w:t>[</w:t>
            </w:r>
            <w:r w:rsidRPr="00EA71D3">
              <w:rPr>
                <w:snapToGrid w:val="0"/>
                <w:color w:val="000000" w:themeColor="text1"/>
                <w:sz w:val="22"/>
                <w:szCs w:val="22"/>
                <w:lang w:val="fr-FR"/>
              </w:rPr>
              <w:t>garantir</w:t>
            </w:r>
            <w:r w:rsidR="000E6FDA" w:rsidRPr="00EA71D3">
              <w:rPr>
                <w:snapToGrid w:val="0"/>
                <w:color w:val="000000" w:themeColor="text1"/>
                <w:sz w:val="22"/>
                <w:szCs w:val="22"/>
                <w:lang w:val="fr-FR"/>
              </w:rPr>
              <w:t>]</w:t>
            </w:r>
            <w:r w:rsidRPr="00EA71D3">
              <w:rPr>
                <w:snapToGrid w:val="0"/>
                <w:color w:val="000000" w:themeColor="text1"/>
                <w:sz w:val="22"/>
                <w:szCs w:val="22"/>
                <w:lang w:val="fr-FR"/>
              </w:rPr>
              <w:t xml:space="preserve"> le respect des cadres d’accès et de partage des avantages[, notamment à l’échelle de l’industrie pharmaceutique, afin de prévenir le détournement de ressources génétiques et de l’information de séquençage numérique sur les ressources génétiques, et les connaissances traditionnelles apparentées].]</w:t>
            </w:r>
          </w:p>
          <w:p w14:paraId="56B286C3" w14:textId="16516DBD" w:rsidR="002F7724" w:rsidRPr="00EA71D3" w:rsidRDefault="002F7724" w:rsidP="000E6FDA">
            <w:pPr>
              <w:tabs>
                <w:tab w:val="left" w:pos="1134"/>
              </w:tabs>
              <w:spacing w:before="40" w:after="40"/>
              <w:jc w:val="left"/>
              <w:rPr>
                <w:rFonts w:eastAsiaTheme="minorEastAsia"/>
                <w:bCs/>
                <w:color w:val="000000" w:themeColor="text1"/>
                <w:kern w:val="2"/>
                <w:sz w:val="22"/>
                <w:szCs w:val="22"/>
                <w:lang w:val="fr-FR"/>
                <w14:ligatures w14:val="standardContextual"/>
              </w:rPr>
            </w:pPr>
            <w:r w:rsidRPr="00EA71D3">
              <w:rPr>
                <w:snapToGrid w:val="0"/>
                <w:color w:val="000000" w:themeColor="text1"/>
                <w:sz w:val="22"/>
                <w:szCs w:val="22"/>
                <w:lang w:val="fr-FR"/>
              </w:rPr>
              <w:t>[</w:t>
            </w:r>
            <w:r w:rsidR="000E6FDA" w:rsidRPr="00EA71D3">
              <w:rPr>
                <w:snapToGrid w:val="0"/>
                <w:color w:val="000000" w:themeColor="text1"/>
                <w:sz w:val="22"/>
                <w:szCs w:val="22"/>
                <w:lang w:val="fr-FR"/>
              </w:rPr>
              <w:t>5</w:t>
            </w:r>
            <w:r w:rsidRPr="00EA71D3">
              <w:rPr>
                <w:snapToGrid w:val="0"/>
                <w:color w:val="000000" w:themeColor="text1"/>
                <w:sz w:val="22"/>
                <w:szCs w:val="22"/>
                <w:lang w:val="fr-FR"/>
              </w:rPr>
              <w:t xml:space="preserve">. Renforcer les mécanismes de réglementation et de conformité s’appliquant aux régimes nationaux et internationaux d’accès et de partage des avantages, afin d’assurer un accès équitable aux outils et technologies requis pour la mise en œuvre de l’approche Une seule santé et autres </w:t>
            </w:r>
            <w:r w:rsidRPr="00EA71D3">
              <w:rPr>
                <w:snapToGrid w:val="0"/>
                <w:color w:val="000000" w:themeColor="text1"/>
                <w:sz w:val="22"/>
                <w:szCs w:val="22"/>
                <w:lang w:val="fr-FR"/>
              </w:rPr>
              <w:lastRenderedPageBreak/>
              <w:t>approches globales pour la gestion des maladies végétales, animales et humaines.]</w:t>
            </w:r>
          </w:p>
        </w:tc>
      </w:tr>
      <w:tr w:rsidR="002F7724" w:rsidRPr="00EA71D3" w14:paraId="25B36516" w14:textId="77777777" w:rsidTr="004D47D0">
        <w:tc>
          <w:tcPr>
            <w:tcW w:w="13874" w:type="dxa"/>
            <w:gridSpan w:val="3"/>
          </w:tcPr>
          <w:p w14:paraId="1173E20A" w14:textId="77777777" w:rsidR="002F7724" w:rsidRPr="00EA71D3" w:rsidRDefault="002F7724" w:rsidP="004D47D0">
            <w:pPr>
              <w:keepNext/>
              <w:spacing w:before="40" w:after="40"/>
              <w:jc w:val="left"/>
              <w:rPr>
                <w:rFonts w:asciiTheme="majorBidi" w:hAnsiTheme="majorBidi"/>
                <w:b/>
                <w:bCs/>
                <w:color w:val="000000" w:themeColor="text1"/>
                <w:lang w:val="fr-FR"/>
              </w:rPr>
            </w:pPr>
            <w:r w:rsidRPr="00EA71D3">
              <w:rPr>
                <w:rFonts w:asciiTheme="majorBidi" w:hAnsiTheme="majorBidi"/>
                <w:b/>
                <w:bCs/>
                <w:color w:val="000000" w:themeColor="text1"/>
                <w:lang w:val="fr-FR"/>
              </w:rPr>
              <w:lastRenderedPageBreak/>
              <w:t>Sécurité biologique et technologie</w:t>
            </w:r>
          </w:p>
        </w:tc>
      </w:tr>
      <w:tr w:rsidR="002F7724" w:rsidRPr="00EA71D3" w14:paraId="5C1F653E" w14:textId="77777777" w:rsidTr="004D47D0">
        <w:tc>
          <w:tcPr>
            <w:tcW w:w="2984" w:type="dxa"/>
          </w:tcPr>
          <w:p w14:paraId="6E39D375" w14:textId="77777777" w:rsidR="002F7724" w:rsidRPr="00EA71D3" w:rsidRDefault="002F7724" w:rsidP="004D47D0">
            <w:pPr>
              <w:spacing w:before="40" w:after="40"/>
              <w:jc w:val="left"/>
              <w:rPr>
                <w:rFonts w:asciiTheme="majorBidi" w:hAnsiTheme="majorBidi"/>
                <w:color w:val="000000" w:themeColor="text1"/>
                <w:lang w:val="fr-FR"/>
              </w:rPr>
            </w:pPr>
            <w:r w:rsidRPr="00EA71D3">
              <w:rPr>
                <w:rFonts w:asciiTheme="majorBidi" w:hAnsiTheme="majorBidi"/>
                <w:color w:val="000000" w:themeColor="text1"/>
                <w:sz w:val="22"/>
                <w:lang w:val="fr-FR"/>
              </w:rPr>
              <w:t>Cible 17</w:t>
            </w:r>
          </w:p>
        </w:tc>
        <w:tc>
          <w:tcPr>
            <w:tcW w:w="3822" w:type="dxa"/>
          </w:tcPr>
          <w:p w14:paraId="3B7220DF" w14:textId="77777777" w:rsidR="002F7724" w:rsidRPr="00EA71D3" w:rsidRDefault="002F7724" w:rsidP="004D47D0">
            <w:pPr>
              <w:spacing w:before="40" w:after="40"/>
              <w:jc w:val="left"/>
              <w:rPr>
                <w:rFonts w:asciiTheme="majorBidi" w:hAnsiTheme="majorBidi"/>
                <w:color w:val="000000" w:themeColor="text1"/>
                <w:lang w:val="fr-FR"/>
              </w:rPr>
            </w:pPr>
            <w:r w:rsidRPr="00EA71D3">
              <w:rPr>
                <w:rFonts w:asciiTheme="majorBidi" w:hAnsiTheme="majorBidi"/>
                <w:sz w:val="22"/>
                <w:szCs w:val="22"/>
                <w:lang w:val="fr-FR"/>
              </w:rPr>
              <w:t>L’utilisation sécuritaire des biotechnologies, y compris grâce à des mesures de sûreté biologique qui permettent de réguler, gérer et contrôler les effets défavorables potentiels sur la biodiversité et la santé humaine, peut jouer un rôle important dans la prestation d’outils et de solutions aux défis liés à la biodiversité et à la santé.</w:t>
            </w:r>
          </w:p>
        </w:tc>
        <w:tc>
          <w:tcPr>
            <w:tcW w:w="7068" w:type="dxa"/>
          </w:tcPr>
          <w:p w14:paraId="2463DE1C" w14:textId="77777777" w:rsidR="002F7724" w:rsidRPr="00EA71D3" w:rsidRDefault="002F7724" w:rsidP="004D47D0">
            <w:pPr>
              <w:tabs>
                <w:tab w:val="left" w:pos="1134"/>
              </w:tabs>
              <w:spacing w:before="40" w:after="40"/>
              <w:jc w:val="left"/>
              <w:rPr>
                <w:rFonts w:asciiTheme="majorBidi" w:hAnsiTheme="majorBidi"/>
                <w:snapToGrid w:val="0"/>
                <w:sz w:val="22"/>
                <w:szCs w:val="22"/>
                <w:lang w:val="fr-FR"/>
              </w:rPr>
            </w:pPr>
            <w:r w:rsidRPr="00EA71D3">
              <w:rPr>
                <w:rFonts w:asciiTheme="majorBidi" w:hAnsiTheme="majorBidi"/>
                <w:snapToGrid w:val="0"/>
                <w:sz w:val="22"/>
                <w:szCs w:val="22"/>
                <w:lang w:val="fr-FR"/>
              </w:rPr>
              <w:t>1. Veiller à mettre en place des moyens pour évaluer, réguler, gérer ou contrôler les risques associés à l’utilisation et à la libération d’organismes vivants modifiés provenant des biotechnologies qui pourraient avoir une incidence nuisible sur la conservation et l’utilisation durable de la diversité biologique, en tenant également compte des risques envers la santé humaine.</w:t>
            </w:r>
          </w:p>
          <w:p w14:paraId="264C9C82" w14:textId="77777777" w:rsidR="002F7724" w:rsidRPr="00EA71D3" w:rsidRDefault="002F7724" w:rsidP="004D47D0">
            <w:pPr>
              <w:tabs>
                <w:tab w:val="left" w:pos="1134"/>
              </w:tabs>
              <w:spacing w:before="40" w:after="40"/>
              <w:jc w:val="left"/>
              <w:rPr>
                <w:rFonts w:asciiTheme="majorBidi" w:hAnsiTheme="majorBidi" w:cstheme="majorBidi"/>
                <w:snapToGrid w:val="0"/>
                <w:color w:val="000000" w:themeColor="text1"/>
                <w:sz w:val="22"/>
                <w:szCs w:val="22"/>
                <w:lang w:val="fr-FR"/>
              </w:rPr>
            </w:pPr>
            <w:r w:rsidRPr="00EA71D3">
              <w:rPr>
                <w:rFonts w:asciiTheme="majorBidi" w:hAnsiTheme="majorBidi"/>
                <w:snapToGrid w:val="0"/>
                <w:sz w:val="22"/>
                <w:szCs w:val="22"/>
                <w:lang w:val="fr-FR"/>
              </w:rPr>
              <w:t>[2. Soutenir les mécanismes de recherche, de développement et de coordination lorsque les avantages et les risques possibles associés aux applications biotechnologiques peuvent être évaluées d’une manière multidisciplinaire, en tenant compte des perspectives pour la santé et environnementales.</w:t>
            </w:r>
          </w:p>
          <w:p w14:paraId="3C7F1A4D" w14:textId="77777777" w:rsidR="001A7DDB" w:rsidRDefault="002F7724" w:rsidP="004D47D0">
            <w:pPr>
              <w:spacing w:before="60" w:after="60"/>
              <w:jc w:val="left"/>
              <w:rPr>
                <w:rFonts w:asciiTheme="majorBidi" w:hAnsiTheme="majorBidi"/>
                <w:color w:val="000000" w:themeColor="text1"/>
                <w:sz w:val="22"/>
                <w:szCs w:val="22"/>
                <w:lang w:val="fr-FR"/>
              </w:rPr>
            </w:pPr>
            <w:r w:rsidRPr="00EA71D3">
              <w:rPr>
                <w:rFonts w:asciiTheme="majorBidi" w:hAnsiTheme="majorBidi"/>
                <w:color w:val="000000" w:themeColor="text1"/>
                <w:sz w:val="22"/>
                <w:szCs w:val="22"/>
                <w:lang w:val="fr-FR"/>
              </w:rPr>
              <w:t>3. Renforcer l’application de mesures de sécurité biologique, s’il y a lieu, afin de protéger la recherche, le développement et la commercialisation des activités impliquant des organismes vivants modifiés.]</w:t>
            </w:r>
          </w:p>
          <w:p w14:paraId="641CF3E0" w14:textId="0DE24509" w:rsidR="002F7724" w:rsidRPr="00EA71D3" w:rsidRDefault="002F7724" w:rsidP="004D47D0">
            <w:pPr>
              <w:spacing w:before="60" w:after="60"/>
              <w:jc w:val="left"/>
              <w:rPr>
                <w:rFonts w:asciiTheme="majorBidi" w:hAnsiTheme="majorBidi"/>
                <w:color w:val="000000" w:themeColor="text1"/>
                <w:sz w:val="22"/>
                <w:szCs w:val="22"/>
                <w:lang w:val="fr-FR"/>
              </w:rPr>
            </w:pPr>
            <w:r w:rsidRPr="00EA71D3">
              <w:rPr>
                <w:rFonts w:asciiTheme="majorBidi" w:hAnsiTheme="majorBidi"/>
                <w:color w:val="000000" w:themeColor="text1"/>
                <w:sz w:val="22"/>
                <w:szCs w:val="22"/>
                <w:lang w:val="fr-FR"/>
              </w:rPr>
              <w:t>4. Promouvoir le partage des avantages pour la santé découlant des développements biotechnologiques.</w:t>
            </w:r>
          </w:p>
          <w:p w14:paraId="45C4D19C" w14:textId="77777777" w:rsidR="002F7724" w:rsidRPr="00EA71D3" w:rsidRDefault="002F7724" w:rsidP="004D47D0">
            <w:pPr>
              <w:spacing w:before="60" w:after="60"/>
              <w:jc w:val="left"/>
              <w:rPr>
                <w:rFonts w:asciiTheme="majorBidi" w:hAnsiTheme="majorBidi"/>
                <w:color w:val="000000" w:themeColor="text1"/>
                <w:sz w:val="22"/>
                <w:szCs w:val="22"/>
                <w:lang w:val="fr-FR"/>
              </w:rPr>
            </w:pPr>
            <w:r w:rsidRPr="00EA71D3">
              <w:rPr>
                <w:rFonts w:asciiTheme="majorBidi" w:hAnsiTheme="majorBidi"/>
                <w:color w:val="000000" w:themeColor="text1"/>
                <w:sz w:val="22"/>
                <w:szCs w:val="22"/>
                <w:lang w:val="fr-FR"/>
              </w:rPr>
              <w:t xml:space="preserve">5. </w:t>
            </w:r>
            <w:r w:rsidRPr="00EA71D3">
              <w:rPr>
                <w:color w:val="000000" w:themeColor="text1"/>
                <w:sz w:val="22"/>
                <w:szCs w:val="22"/>
                <w:lang w:val="fr-FR"/>
              </w:rPr>
              <w:t>Prendre toutes les mesures pratiques possibles pour promouvoir la participation efficace des pays en développement, dont les Parties en mesure de fournir des ressources génétiques, aux activités de recherche biotechnologique, en respectant les circonstances nationales</w:t>
            </w:r>
            <w:r w:rsidRPr="00EA71D3">
              <w:rPr>
                <w:rFonts w:asciiTheme="majorBidi" w:hAnsiTheme="majorBidi"/>
                <w:color w:val="000000" w:themeColor="text1"/>
                <w:sz w:val="22"/>
                <w:szCs w:val="22"/>
                <w:lang w:val="fr-FR"/>
              </w:rPr>
              <w:t>.</w:t>
            </w:r>
          </w:p>
          <w:p w14:paraId="2AAA2377" w14:textId="77777777" w:rsidR="002F7724" w:rsidRPr="00EA71D3" w:rsidRDefault="002F7724" w:rsidP="004D47D0">
            <w:pPr>
              <w:spacing w:before="60" w:after="60"/>
              <w:jc w:val="left"/>
              <w:rPr>
                <w:rFonts w:asciiTheme="majorBidi" w:hAnsiTheme="majorBidi"/>
                <w:color w:val="000000" w:themeColor="text1"/>
                <w:lang w:val="fr-FR"/>
              </w:rPr>
            </w:pPr>
            <w:r w:rsidRPr="00EA71D3">
              <w:rPr>
                <w:rFonts w:asciiTheme="majorBidi" w:hAnsiTheme="majorBidi"/>
                <w:color w:val="000000" w:themeColor="text1"/>
                <w:sz w:val="22"/>
                <w:szCs w:val="22"/>
                <w:lang w:val="fr-FR"/>
              </w:rPr>
              <w:t xml:space="preserve">6. Prendre toutes les mesures pratiques possibles pour promouvoir et avancer l’accès prioritaire juste et équitable des pays en développement aux résultats et avantages découlant des biotechnologies fondées sur les ressources génétiques fournies par ces Parties, dans le respect des circonstances nationales. </w:t>
            </w:r>
          </w:p>
        </w:tc>
      </w:tr>
      <w:tr w:rsidR="002F7724" w:rsidRPr="00EA71D3" w14:paraId="1D3E6E36" w14:textId="77777777" w:rsidTr="004D47D0">
        <w:tc>
          <w:tcPr>
            <w:tcW w:w="13874" w:type="dxa"/>
            <w:gridSpan w:val="3"/>
          </w:tcPr>
          <w:p w14:paraId="3B7BF3A2" w14:textId="77777777" w:rsidR="002F7724" w:rsidRPr="00EA71D3" w:rsidRDefault="002F7724" w:rsidP="004D47D0">
            <w:pPr>
              <w:spacing w:before="60" w:after="60"/>
              <w:jc w:val="left"/>
              <w:rPr>
                <w:rFonts w:asciiTheme="majorBidi" w:hAnsiTheme="majorBidi"/>
                <w:b/>
                <w:color w:val="000000" w:themeColor="text1"/>
                <w:lang w:val="fr-FR"/>
              </w:rPr>
            </w:pPr>
            <w:r w:rsidRPr="00EA71D3">
              <w:rPr>
                <w:rFonts w:asciiTheme="majorBidi" w:hAnsiTheme="majorBidi"/>
                <w:b/>
                <w:color w:val="000000" w:themeColor="text1"/>
                <w:sz w:val="22"/>
                <w:lang w:val="fr-FR"/>
              </w:rPr>
              <w:t>Intégration</w:t>
            </w:r>
          </w:p>
        </w:tc>
      </w:tr>
      <w:tr w:rsidR="002F7724" w:rsidRPr="00EA71D3" w14:paraId="266195BD" w14:textId="77777777" w:rsidTr="004D47D0">
        <w:tc>
          <w:tcPr>
            <w:tcW w:w="2984" w:type="dxa"/>
          </w:tcPr>
          <w:p w14:paraId="7F16D7B8" w14:textId="77777777" w:rsidR="002F7724" w:rsidRPr="00EA71D3" w:rsidRDefault="002F7724" w:rsidP="004D47D0">
            <w:pPr>
              <w:spacing w:before="40" w:after="40"/>
              <w:jc w:val="left"/>
              <w:rPr>
                <w:rFonts w:asciiTheme="majorBidi" w:eastAsiaTheme="minorEastAsia" w:hAnsiTheme="majorBidi" w:cstheme="majorBidi"/>
                <w:color w:val="000000" w:themeColor="text1"/>
                <w:kern w:val="2"/>
                <w:sz w:val="22"/>
                <w:szCs w:val="22"/>
                <w:lang w:val="fr-FR"/>
                <w14:ligatures w14:val="standardContextual"/>
              </w:rPr>
            </w:pPr>
            <w:r w:rsidRPr="00EA71D3">
              <w:rPr>
                <w:rFonts w:asciiTheme="majorBidi" w:hAnsiTheme="majorBidi"/>
                <w:color w:val="000000" w:themeColor="text1"/>
                <w:sz w:val="22"/>
                <w:szCs w:val="22"/>
                <w:lang w:val="fr-FR"/>
              </w:rPr>
              <w:t>Cibles 14, 15 et 18</w:t>
            </w:r>
          </w:p>
        </w:tc>
        <w:tc>
          <w:tcPr>
            <w:tcW w:w="3822" w:type="dxa"/>
          </w:tcPr>
          <w:p w14:paraId="2A5EA056" w14:textId="77777777" w:rsidR="002F7724" w:rsidRPr="00EA71D3" w:rsidRDefault="002F7724" w:rsidP="004D47D0">
            <w:pPr>
              <w:spacing w:before="40" w:after="40"/>
              <w:jc w:val="left"/>
              <w:rPr>
                <w:rFonts w:asciiTheme="majorBidi" w:eastAsiaTheme="minorEastAsia" w:hAnsiTheme="majorBidi" w:cstheme="majorBidi"/>
                <w:color w:val="000000" w:themeColor="text1"/>
                <w:kern w:val="2"/>
                <w:sz w:val="22"/>
                <w:szCs w:val="22"/>
                <w:lang w:val="fr-FR"/>
                <w14:ligatures w14:val="standardContextual"/>
              </w:rPr>
            </w:pPr>
            <w:r w:rsidRPr="00EA71D3">
              <w:rPr>
                <w:rFonts w:asciiTheme="majorBidi" w:hAnsiTheme="majorBidi"/>
                <w:color w:val="000000" w:themeColor="text1"/>
                <w:sz w:val="22"/>
                <w:szCs w:val="22"/>
                <w:lang w:val="fr-FR"/>
              </w:rPr>
              <w:t xml:space="preserve">La prise en compte des interrelations entre la biodiversité et la santé dans la </w:t>
            </w:r>
            <w:r w:rsidRPr="00EA71D3">
              <w:rPr>
                <w:rFonts w:asciiTheme="majorBidi" w:hAnsiTheme="majorBidi"/>
                <w:color w:val="000000" w:themeColor="text1"/>
                <w:sz w:val="22"/>
                <w:szCs w:val="22"/>
                <w:lang w:val="fr-FR"/>
              </w:rPr>
              <w:lastRenderedPageBreak/>
              <w:t>prise de décisions à l’échelle de tous les secteurs peut hausser le niveau de sensibilisation aux bienfaits et biodiversité et ainsi favoriser des systèmes de santé plus équitables.</w:t>
            </w:r>
          </w:p>
        </w:tc>
        <w:tc>
          <w:tcPr>
            <w:tcW w:w="7068" w:type="dxa"/>
          </w:tcPr>
          <w:p w14:paraId="0B39CBB4" w14:textId="78E02F96" w:rsidR="002F7724" w:rsidRPr="00EA71D3" w:rsidRDefault="002F7724" w:rsidP="004D47D0">
            <w:pPr>
              <w:spacing w:before="60" w:after="60"/>
              <w:jc w:val="left"/>
              <w:rPr>
                <w:rFonts w:asciiTheme="majorBidi" w:eastAsiaTheme="minorEastAsia" w:hAnsiTheme="majorBidi" w:cstheme="majorBidi"/>
                <w:color w:val="000000" w:themeColor="text1"/>
                <w:kern w:val="2"/>
                <w:sz w:val="22"/>
                <w:szCs w:val="22"/>
                <w:lang w:val="fr-FR"/>
                <w14:ligatures w14:val="standardContextual"/>
              </w:rPr>
            </w:pPr>
            <w:r w:rsidRPr="00EA71D3">
              <w:rPr>
                <w:rFonts w:asciiTheme="majorBidi" w:hAnsiTheme="majorBidi"/>
                <w:color w:val="000000" w:themeColor="text1"/>
                <w:sz w:val="22"/>
                <w:szCs w:val="22"/>
                <w:lang w:val="fr-FR"/>
              </w:rPr>
              <w:lastRenderedPageBreak/>
              <w:t xml:space="preserve">1. </w:t>
            </w:r>
            <w:r w:rsidRPr="00EA71D3">
              <w:rPr>
                <w:rFonts w:asciiTheme="majorBidi" w:hAnsiTheme="majorBidi"/>
                <w:sz w:val="22"/>
                <w:szCs w:val="22"/>
                <w:lang w:val="fr-FR"/>
              </w:rPr>
              <w:t xml:space="preserve">Tenir compte des interrelations entre la biodiversité et la santé dans les activités d’affaires et l’environnement les normes de gouvernance </w:t>
            </w:r>
            <w:r w:rsidRPr="00EA71D3">
              <w:rPr>
                <w:rFonts w:asciiTheme="majorBidi" w:hAnsiTheme="majorBidi"/>
                <w:sz w:val="22"/>
                <w:szCs w:val="22"/>
                <w:lang w:val="fr-FR"/>
              </w:rPr>
              <w:lastRenderedPageBreak/>
              <w:t>environnementale et sociale des entreprises</w:t>
            </w:r>
            <w:r w:rsidRPr="00EA71D3">
              <w:rPr>
                <w:rFonts w:asciiTheme="majorBidi" w:hAnsiTheme="majorBidi"/>
                <w:i/>
                <w:iCs/>
                <w:color w:val="000000" w:themeColor="text1"/>
                <w:sz w:val="22"/>
                <w:szCs w:val="22"/>
                <w:vertAlign w:val="superscript"/>
                <w:lang w:val="fr-FR"/>
              </w:rPr>
              <w:t>h</w:t>
            </w:r>
            <w:r w:rsidRPr="00EA71D3">
              <w:rPr>
                <w:rFonts w:asciiTheme="majorBidi" w:hAnsiTheme="majorBidi"/>
                <w:color w:val="000000" w:themeColor="text1"/>
                <w:sz w:val="22"/>
                <w:szCs w:val="22"/>
                <w:lang w:val="fr-FR"/>
              </w:rPr>
              <w:t xml:space="preserve">, selon qu’il convient, au moyen de dialogues actifs avec la communauté des entreprises, ainsi que dans les évaluations des valeurs et des bénéficiaires de la biodiversité. </w:t>
            </w:r>
          </w:p>
          <w:p w14:paraId="43485E4E" w14:textId="77777777" w:rsidR="002F7724" w:rsidRPr="00EA71D3" w:rsidRDefault="002F7724" w:rsidP="004D47D0">
            <w:pPr>
              <w:spacing w:before="60" w:after="60"/>
              <w:jc w:val="left"/>
              <w:rPr>
                <w:rFonts w:asciiTheme="majorBidi" w:eastAsiaTheme="minorEastAsia" w:hAnsiTheme="majorBidi" w:cstheme="majorBidi"/>
                <w:color w:val="000000" w:themeColor="text1"/>
                <w:kern w:val="2"/>
                <w:sz w:val="22"/>
                <w:szCs w:val="22"/>
                <w:lang w:val="fr-FR"/>
                <w14:ligatures w14:val="standardContextual"/>
              </w:rPr>
            </w:pPr>
            <w:r w:rsidRPr="00EA71D3">
              <w:rPr>
                <w:rFonts w:asciiTheme="majorBidi" w:hAnsiTheme="majorBidi"/>
                <w:color w:val="000000" w:themeColor="text1"/>
                <w:sz w:val="22"/>
                <w:szCs w:val="22"/>
                <w:lang w:val="fr-FR"/>
              </w:rPr>
              <w:t xml:space="preserve">2. </w:t>
            </w:r>
            <w:r w:rsidRPr="00EA71D3">
              <w:rPr>
                <w:rFonts w:asciiTheme="majorBidi" w:hAnsiTheme="majorBidi"/>
                <w:sz w:val="22"/>
                <w:szCs w:val="22"/>
                <w:lang w:val="fr-FR"/>
              </w:rPr>
              <w:t>Inclure les interrelations entre la biodiversité et la santé dans les communications de renseignements financiers liés à la nature.</w:t>
            </w:r>
          </w:p>
          <w:p w14:paraId="4A56ACBA" w14:textId="77777777" w:rsidR="002F7724" w:rsidRPr="00EA71D3" w:rsidRDefault="002F7724" w:rsidP="004D47D0">
            <w:pPr>
              <w:spacing w:before="60" w:after="60"/>
              <w:jc w:val="left"/>
              <w:rPr>
                <w:rFonts w:asciiTheme="majorBidi" w:eastAsiaTheme="minorEastAsia" w:hAnsiTheme="majorBidi" w:cstheme="majorBidi"/>
                <w:color w:val="000000" w:themeColor="text1"/>
                <w:kern w:val="2"/>
                <w:sz w:val="22"/>
                <w:szCs w:val="22"/>
                <w:lang w:val="fr-FR"/>
                <w14:ligatures w14:val="standardContextual"/>
              </w:rPr>
            </w:pPr>
            <w:r w:rsidRPr="00EA71D3">
              <w:rPr>
                <w:rFonts w:asciiTheme="majorBidi" w:hAnsiTheme="majorBidi"/>
                <w:color w:val="000000" w:themeColor="text1"/>
                <w:sz w:val="22"/>
                <w:szCs w:val="22"/>
                <w:lang w:val="fr-FR"/>
              </w:rPr>
              <w:t xml:space="preserve">3. </w:t>
            </w:r>
            <w:r w:rsidRPr="00EA71D3">
              <w:rPr>
                <w:rFonts w:asciiTheme="majorBidi" w:hAnsiTheme="majorBidi"/>
                <w:sz w:val="22"/>
                <w:szCs w:val="22"/>
                <w:lang w:val="fr-FR"/>
              </w:rPr>
              <w:t>Promouvoir les investissements et les mesures incitatives privées et publiques qui protègent un large éventail d’interrelations entre la biodiversité et la santé.</w:t>
            </w:r>
          </w:p>
          <w:p w14:paraId="02B3E6A8" w14:textId="3CDFC172" w:rsidR="000E6FDA" w:rsidRPr="00EA71D3" w:rsidRDefault="002F7724" w:rsidP="000E6FDA">
            <w:pPr>
              <w:spacing w:before="60" w:after="60"/>
              <w:jc w:val="left"/>
              <w:rPr>
                <w:rFonts w:asciiTheme="majorBidi" w:eastAsiaTheme="minorEastAsia" w:hAnsiTheme="majorBidi" w:cstheme="majorBidi"/>
                <w:color w:val="000000" w:themeColor="text1"/>
                <w:kern w:val="2"/>
                <w:sz w:val="20"/>
                <w:szCs w:val="20"/>
                <w:lang w:val="fr-FR" w:eastAsia="zh-CN"/>
                <w14:ligatures w14:val="standardContextual"/>
              </w:rPr>
            </w:pPr>
            <w:r w:rsidRPr="00EA71D3">
              <w:rPr>
                <w:rFonts w:asciiTheme="majorBidi" w:hAnsiTheme="majorBidi"/>
                <w:color w:val="000000" w:themeColor="text1"/>
                <w:sz w:val="22"/>
                <w:szCs w:val="22"/>
                <w:lang w:val="fr-FR"/>
              </w:rPr>
              <w:t>4. Promouvoir la prise en compte des nombreuses valeurs de la nature envers la santé, en se fondant sur la diversité des connaissances et des systèmes de connaissances, dans les programmes pédagogiques et les programmes de formation de tous les niveaux et de toutes disciplines, en veillant à faire participer les détenteurs de connaissances et les communicateurs des peuples autochtones et des communautés locales, ainsi que du secteur de la santé, entre autres.</w:t>
            </w:r>
            <w:r w:rsidR="000E6FDA" w:rsidRPr="00EA71D3">
              <w:rPr>
                <w:rFonts w:asciiTheme="majorBidi" w:eastAsiaTheme="minorEastAsia" w:hAnsiTheme="majorBidi" w:cstheme="majorBidi"/>
                <w:color w:val="000000" w:themeColor="text1"/>
                <w:kern w:val="2"/>
                <w:sz w:val="20"/>
                <w:szCs w:val="20"/>
                <w:lang w:val="fr-FR" w:eastAsia="zh-CN"/>
                <w14:ligatures w14:val="standardContextual"/>
              </w:rPr>
              <w:t xml:space="preserve"> .</w:t>
            </w:r>
            <w:r w:rsidR="000E6FDA" w:rsidRPr="00EA71D3">
              <w:rPr>
                <w:rStyle w:val="FootnoteReference"/>
                <w:rFonts w:asciiTheme="majorBidi" w:eastAsiaTheme="minorEastAsia" w:hAnsiTheme="majorBidi" w:cstheme="majorBidi"/>
                <w:color w:val="000000" w:themeColor="text1"/>
                <w:kern w:val="2"/>
                <w:sz w:val="20"/>
                <w:szCs w:val="20"/>
                <w:lang w:val="fr-FR" w:eastAsia="zh-CN"/>
                <w14:ligatures w14:val="standardContextual"/>
              </w:rPr>
              <w:footnoteReference w:id="56"/>
            </w:r>
            <w:r w:rsidR="000E6FDA" w:rsidRPr="00EA71D3">
              <w:rPr>
                <w:rFonts w:asciiTheme="majorBidi" w:eastAsiaTheme="minorEastAsia" w:hAnsiTheme="majorBidi" w:cstheme="majorBidi"/>
                <w:color w:val="000000" w:themeColor="text1"/>
                <w:kern w:val="2"/>
                <w:sz w:val="20"/>
                <w:szCs w:val="20"/>
                <w:vertAlign w:val="superscript"/>
                <w:lang w:val="fr-FR" w:eastAsia="zh-CN"/>
                <w14:ligatures w14:val="standardContextual"/>
              </w:rPr>
              <w:t xml:space="preserve">, </w:t>
            </w:r>
            <w:r w:rsidR="000E6FDA" w:rsidRPr="00EA71D3">
              <w:rPr>
                <w:rStyle w:val="FootnoteReference"/>
                <w:rFonts w:asciiTheme="majorBidi" w:eastAsiaTheme="minorEastAsia" w:hAnsiTheme="majorBidi" w:cstheme="majorBidi"/>
                <w:color w:val="000000" w:themeColor="text1"/>
                <w:kern w:val="2"/>
                <w:sz w:val="20"/>
                <w:szCs w:val="20"/>
                <w:lang w:val="fr-FR" w:eastAsia="zh-CN"/>
                <w14:ligatures w14:val="standardContextual"/>
              </w:rPr>
              <w:footnoteReference w:id="57"/>
            </w:r>
          </w:p>
          <w:p w14:paraId="707A7EDB" w14:textId="0645D0C1" w:rsidR="002F7724" w:rsidRPr="00EA71D3" w:rsidRDefault="00E932AE" w:rsidP="000E6FDA">
            <w:pPr>
              <w:spacing w:before="60" w:after="60"/>
              <w:jc w:val="left"/>
              <w:rPr>
                <w:rFonts w:asciiTheme="majorBidi" w:hAnsiTheme="majorBidi"/>
                <w:color w:val="000000" w:themeColor="text1"/>
                <w:sz w:val="22"/>
                <w:szCs w:val="22"/>
                <w:lang w:val="fr-FR"/>
              </w:rPr>
            </w:pPr>
            <w:r>
              <w:rPr>
                <w:rFonts w:asciiTheme="majorBidi" w:hAnsiTheme="majorBidi" w:hint="eastAsia"/>
                <w:color w:val="000000" w:themeColor="text1"/>
                <w:sz w:val="22"/>
                <w:szCs w:val="22"/>
                <w:lang w:val="fr-FR" w:eastAsia="zh-CN"/>
              </w:rPr>
              <w:t>5</w:t>
            </w:r>
            <w:r w:rsidR="002F7724" w:rsidRPr="00EA71D3">
              <w:rPr>
                <w:rFonts w:asciiTheme="majorBidi" w:hAnsiTheme="majorBidi"/>
                <w:color w:val="000000" w:themeColor="text1"/>
                <w:sz w:val="22"/>
                <w:szCs w:val="22"/>
                <w:lang w:val="fr-FR"/>
              </w:rPr>
              <w:t xml:space="preserve">. Élaborer du matériel d’information propre au secteur tels que des fiches d’information, afin d’intégrer les </w:t>
            </w:r>
            <w:r w:rsidR="00663B4B" w:rsidRPr="00EA71D3">
              <w:rPr>
                <w:rFonts w:asciiTheme="majorBidi" w:hAnsiTheme="majorBidi"/>
                <w:color w:val="000000" w:themeColor="text1"/>
                <w:sz w:val="22"/>
                <w:szCs w:val="22"/>
                <w:lang w:val="fr-FR"/>
              </w:rPr>
              <w:t>interrelations</w:t>
            </w:r>
            <w:r w:rsidR="002F7724" w:rsidRPr="00EA71D3">
              <w:rPr>
                <w:rFonts w:asciiTheme="majorBidi" w:hAnsiTheme="majorBidi"/>
                <w:color w:val="000000" w:themeColor="text1"/>
                <w:sz w:val="22"/>
                <w:szCs w:val="22"/>
                <w:lang w:val="fr-FR"/>
              </w:rPr>
              <w:t xml:space="preserve"> entre la biodiversité et la santé dans les secteurs concernés. [</w:t>
            </w:r>
            <w:r w:rsidR="002F7724" w:rsidRPr="00EA71D3">
              <w:rPr>
                <w:rStyle w:val="FootnoteReference"/>
                <w:rFonts w:asciiTheme="majorBidi" w:hAnsiTheme="majorBidi"/>
                <w:color w:val="000000" w:themeColor="text1"/>
                <w:sz w:val="22"/>
                <w:szCs w:val="22"/>
                <w:lang w:val="fr-FR"/>
              </w:rPr>
              <w:footnoteReference w:id="58"/>
            </w:r>
            <w:r w:rsidR="002F7724" w:rsidRPr="00EA71D3">
              <w:rPr>
                <w:rFonts w:asciiTheme="majorBidi" w:hAnsiTheme="majorBidi"/>
                <w:color w:val="000000" w:themeColor="text1"/>
                <w:sz w:val="22"/>
                <w:szCs w:val="22"/>
                <w:lang w:val="fr-FR"/>
              </w:rPr>
              <w:t>]</w:t>
            </w:r>
          </w:p>
        </w:tc>
      </w:tr>
      <w:tr w:rsidR="002F7724" w:rsidRPr="00EA71D3" w14:paraId="6D8F80EE" w14:textId="77777777" w:rsidTr="004D47D0">
        <w:tc>
          <w:tcPr>
            <w:tcW w:w="13874" w:type="dxa"/>
            <w:gridSpan w:val="3"/>
          </w:tcPr>
          <w:p w14:paraId="08BA4902" w14:textId="77777777" w:rsidR="002F7724" w:rsidRPr="00EA71D3" w:rsidRDefault="002F7724" w:rsidP="004D47D0">
            <w:pPr>
              <w:spacing w:before="40" w:after="40"/>
              <w:jc w:val="left"/>
              <w:rPr>
                <w:rFonts w:asciiTheme="majorBidi" w:eastAsiaTheme="minorEastAsia" w:hAnsiTheme="majorBidi" w:cstheme="majorBidi"/>
                <w:b/>
                <w:color w:val="000000" w:themeColor="text1"/>
                <w:spacing w:val="6"/>
                <w:kern w:val="2"/>
                <w:sz w:val="22"/>
                <w:szCs w:val="22"/>
                <w:shd w:val="clear" w:color="auto" w:fill="FFFFFF"/>
                <w:lang w:val="fr-FR"/>
                <w14:ligatures w14:val="standardContextual"/>
              </w:rPr>
            </w:pPr>
            <w:r w:rsidRPr="00EA71D3">
              <w:rPr>
                <w:rFonts w:asciiTheme="majorBidi" w:hAnsiTheme="majorBidi"/>
                <w:b/>
                <w:color w:val="000000" w:themeColor="text1"/>
                <w:sz w:val="22"/>
                <w:szCs w:val="22"/>
                <w:shd w:val="clear" w:color="auto" w:fill="FFFFFF"/>
                <w:lang w:val="fr-FR"/>
              </w:rPr>
              <w:lastRenderedPageBreak/>
              <w:t>Consommation</w:t>
            </w:r>
          </w:p>
        </w:tc>
      </w:tr>
      <w:tr w:rsidR="002F7724" w:rsidRPr="00EA71D3" w14:paraId="172AFFCF" w14:textId="77777777" w:rsidTr="004D47D0">
        <w:tc>
          <w:tcPr>
            <w:tcW w:w="2984" w:type="dxa"/>
          </w:tcPr>
          <w:p w14:paraId="355214EF" w14:textId="77777777" w:rsidR="002F7724" w:rsidRPr="00EA71D3" w:rsidRDefault="002F7724" w:rsidP="004D47D0">
            <w:pPr>
              <w:spacing w:before="40" w:after="40"/>
              <w:jc w:val="left"/>
              <w:rPr>
                <w:rFonts w:asciiTheme="majorBidi" w:eastAsiaTheme="minorEastAsia" w:hAnsiTheme="majorBidi" w:cstheme="majorBidi"/>
                <w:b/>
                <w:bCs/>
                <w:color w:val="000000" w:themeColor="text1"/>
                <w:kern w:val="2"/>
                <w:sz w:val="22"/>
                <w:szCs w:val="22"/>
                <w:lang w:val="fr-FR"/>
                <w14:ligatures w14:val="standardContextual"/>
              </w:rPr>
            </w:pPr>
            <w:r w:rsidRPr="00EA71D3">
              <w:rPr>
                <w:rFonts w:asciiTheme="majorBidi" w:hAnsiTheme="majorBidi"/>
                <w:color w:val="000000" w:themeColor="text1"/>
                <w:sz w:val="22"/>
                <w:szCs w:val="22"/>
                <w:shd w:val="clear" w:color="auto" w:fill="FFFFFF"/>
                <w:lang w:val="fr-FR"/>
              </w:rPr>
              <w:t>Cible 16</w:t>
            </w:r>
          </w:p>
        </w:tc>
        <w:tc>
          <w:tcPr>
            <w:tcW w:w="3822" w:type="dxa"/>
          </w:tcPr>
          <w:p w14:paraId="28F9F303" w14:textId="77777777" w:rsidR="002F7724" w:rsidRPr="00EA71D3" w:rsidRDefault="002F7724" w:rsidP="004D47D0">
            <w:pPr>
              <w:spacing w:before="60" w:after="60"/>
              <w:jc w:val="left"/>
              <w:rPr>
                <w:rFonts w:asciiTheme="majorBidi" w:eastAsiaTheme="minorEastAsia" w:hAnsiTheme="majorBidi" w:cstheme="majorBidi"/>
                <w:bCs/>
                <w:color w:val="000000" w:themeColor="text1"/>
                <w:kern w:val="2"/>
                <w:sz w:val="22"/>
                <w:szCs w:val="22"/>
                <w:lang w:val="fr-FR"/>
                <w14:ligatures w14:val="standardContextual"/>
              </w:rPr>
            </w:pPr>
            <w:r w:rsidRPr="00EA71D3">
              <w:rPr>
                <w:rFonts w:asciiTheme="majorBidi" w:hAnsiTheme="majorBidi"/>
                <w:sz w:val="22"/>
                <w:szCs w:val="22"/>
                <w:lang w:val="fr-FR"/>
              </w:rPr>
              <w:t>La surconsommation est un moteur de la perte de biodiversité et de maladie.</w:t>
            </w:r>
            <w:r w:rsidRPr="00EA71D3">
              <w:rPr>
                <w:rFonts w:asciiTheme="majorBidi" w:hAnsiTheme="majorBidi"/>
                <w:color w:val="000000" w:themeColor="text1"/>
                <w:sz w:val="22"/>
                <w:szCs w:val="22"/>
                <w:lang w:val="fr-FR"/>
              </w:rPr>
              <w:t xml:space="preserve"> L’utilisation plus équitable et plus durable des ressources, notamment une réduction des matières résiduelles et de la surconsommation, permet à tous de </w:t>
            </w:r>
            <w:r w:rsidRPr="00EA71D3">
              <w:rPr>
                <w:rFonts w:asciiTheme="majorBidi" w:hAnsiTheme="majorBidi"/>
                <w:color w:val="000000" w:themeColor="text1"/>
                <w:sz w:val="22"/>
                <w:szCs w:val="22"/>
                <w:lang w:val="fr-FR"/>
              </w:rPr>
              <w:lastRenderedPageBreak/>
              <w:t>bien vivre, le tout en harmonie avec la nature.</w:t>
            </w:r>
            <w:r w:rsidRPr="00EA71D3">
              <w:rPr>
                <w:rFonts w:asciiTheme="majorBidi" w:hAnsiTheme="majorBidi"/>
                <w:bCs/>
                <w:color w:val="000000" w:themeColor="text1"/>
                <w:sz w:val="22"/>
                <w:szCs w:val="22"/>
                <w:lang w:val="fr-FR"/>
              </w:rPr>
              <w:t xml:space="preserve"> </w:t>
            </w:r>
          </w:p>
          <w:p w14:paraId="17EC79EE" w14:textId="77777777" w:rsidR="002F7724" w:rsidRPr="00EA71D3" w:rsidRDefault="002F7724" w:rsidP="004D47D0">
            <w:pPr>
              <w:spacing w:before="40" w:after="40"/>
              <w:jc w:val="left"/>
              <w:rPr>
                <w:rFonts w:asciiTheme="majorBidi" w:eastAsiaTheme="minorEastAsia" w:hAnsiTheme="majorBidi" w:cstheme="majorBidi"/>
                <w:color w:val="000000" w:themeColor="text1"/>
                <w:kern w:val="2"/>
                <w:sz w:val="22"/>
                <w:szCs w:val="22"/>
                <w:lang w:val="fr-FR"/>
                <w14:ligatures w14:val="standardContextual"/>
              </w:rPr>
            </w:pPr>
          </w:p>
        </w:tc>
        <w:tc>
          <w:tcPr>
            <w:tcW w:w="7068" w:type="dxa"/>
          </w:tcPr>
          <w:p w14:paraId="660E7002" w14:textId="77777777" w:rsidR="002F7724" w:rsidRPr="00EA71D3" w:rsidRDefault="002F7724" w:rsidP="004D47D0">
            <w:pPr>
              <w:spacing w:before="60" w:after="60"/>
              <w:jc w:val="left"/>
              <w:rPr>
                <w:rFonts w:asciiTheme="majorBidi" w:eastAsiaTheme="minorEastAsia" w:hAnsiTheme="majorBidi" w:cstheme="majorBidi"/>
                <w:color w:val="000000" w:themeColor="text1"/>
                <w:kern w:val="2"/>
                <w:sz w:val="22"/>
                <w:szCs w:val="22"/>
                <w:lang w:val="fr-FR"/>
                <w14:ligatures w14:val="standardContextual"/>
              </w:rPr>
            </w:pPr>
            <w:r w:rsidRPr="00EA71D3">
              <w:rPr>
                <w:rFonts w:asciiTheme="majorBidi" w:hAnsiTheme="majorBidi"/>
                <w:color w:val="000000" w:themeColor="text1"/>
                <w:sz w:val="22"/>
                <w:szCs w:val="22"/>
                <w:lang w:val="fr-FR"/>
              </w:rPr>
              <w:lastRenderedPageBreak/>
              <w:t xml:space="preserve">1. </w:t>
            </w:r>
            <w:r w:rsidRPr="00EA71D3">
              <w:rPr>
                <w:rFonts w:asciiTheme="majorBidi" w:hAnsiTheme="majorBidi"/>
                <w:sz w:val="22"/>
                <w:szCs w:val="22"/>
                <w:lang w:val="fr-FR"/>
              </w:rPr>
              <w:t>Promouvoir les co-avantages provenant de choix de consommation durables en :</w:t>
            </w:r>
          </w:p>
          <w:p w14:paraId="52EBE0AE" w14:textId="5019B00F" w:rsidR="002F7724" w:rsidRPr="00EA71D3" w:rsidRDefault="002F7724" w:rsidP="004D47D0">
            <w:pPr>
              <w:spacing w:before="40" w:after="40"/>
              <w:ind w:firstLine="168"/>
              <w:jc w:val="left"/>
              <w:rPr>
                <w:rFonts w:asciiTheme="majorBidi" w:eastAsiaTheme="minorEastAsia" w:hAnsiTheme="majorBidi" w:cstheme="majorBidi"/>
                <w:color w:val="000000" w:themeColor="text1"/>
                <w:kern w:val="2"/>
                <w:sz w:val="22"/>
                <w:szCs w:val="22"/>
                <w:lang w:val="fr-FR"/>
                <w14:ligatures w14:val="standardContextual"/>
              </w:rPr>
            </w:pPr>
            <w:r w:rsidRPr="00EA71D3">
              <w:rPr>
                <w:rFonts w:asciiTheme="majorBidi" w:hAnsiTheme="majorBidi"/>
                <w:sz w:val="22"/>
                <w:szCs w:val="22"/>
                <w:lang w:val="fr-FR"/>
              </w:rPr>
              <w:t>a) Repérant les possibilités de promouvoir les modes de vie sains et durables, les tendances de consommation durable, la réduction des matières résiduelles et les changements comportementaux connexes qui pourraient être profitables à la biodiversité et à la santé</w:t>
            </w:r>
            <w:r w:rsidR="000E6FDA" w:rsidRPr="00EA71D3">
              <w:rPr>
                <w:rFonts w:asciiTheme="majorBidi" w:eastAsiaTheme="minorEastAsia" w:hAnsiTheme="majorBidi" w:cstheme="majorBidi"/>
                <w:color w:val="000000" w:themeColor="text1"/>
                <w:kern w:val="2"/>
                <w:sz w:val="20"/>
                <w:szCs w:val="20"/>
                <w:lang w:val="fr-FR" w:eastAsia="zh-CN"/>
                <w14:ligatures w14:val="standardContextual"/>
              </w:rPr>
              <w:t xml:space="preserve"> ;</w:t>
            </w:r>
            <w:r w:rsidR="000E6FDA" w:rsidRPr="00EA71D3">
              <w:rPr>
                <w:rStyle w:val="FootnoteReference"/>
                <w:rFonts w:asciiTheme="majorBidi" w:eastAsiaTheme="minorEastAsia" w:hAnsiTheme="majorBidi" w:cstheme="majorBidi"/>
                <w:color w:val="000000" w:themeColor="text1"/>
                <w:kern w:val="2"/>
                <w:sz w:val="20"/>
                <w:szCs w:val="20"/>
                <w:lang w:val="fr-FR" w:eastAsia="zh-CN"/>
                <w14:ligatures w14:val="standardContextual"/>
              </w:rPr>
              <w:footnoteReference w:id="59"/>
            </w:r>
          </w:p>
          <w:p w14:paraId="20B9E8F7" w14:textId="41F9ADBF" w:rsidR="002F7724" w:rsidRPr="00EA71D3" w:rsidRDefault="002F7724" w:rsidP="000E6FDA">
            <w:pPr>
              <w:spacing w:before="40" w:after="40"/>
              <w:ind w:firstLine="188"/>
              <w:jc w:val="left"/>
              <w:rPr>
                <w:rFonts w:asciiTheme="majorBidi" w:eastAsiaTheme="minorEastAsia" w:hAnsiTheme="majorBidi" w:cstheme="majorBidi"/>
                <w:color w:val="000000" w:themeColor="text1"/>
                <w:kern w:val="2"/>
                <w:sz w:val="22"/>
                <w:szCs w:val="22"/>
                <w:lang w:val="fr-FR"/>
                <w14:ligatures w14:val="standardContextual"/>
              </w:rPr>
            </w:pPr>
            <w:r w:rsidRPr="00EA71D3">
              <w:rPr>
                <w:rFonts w:asciiTheme="majorBidi" w:hAnsiTheme="majorBidi"/>
                <w:color w:val="000000" w:themeColor="text1"/>
                <w:sz w:val="22"/>
                <w:szCs w:val="22"/>
                <w:lang w:val="fr-FR"/>
              </w:rPr>
              <w:lastRenderedPageBreak/>
              <w:t>b) Mettre au point des outils de connaissance et des activités éducatives qui permettront de sensibiliser les consommateurs aux répercussions défavorables de la surconsommation et des matières résiduelles sur la biodiversité et la santé et d’améliorer leur compréhension de ces répercussions.</w:t>
            </w:r>
          </w:p>
        </w:tc>
      </w:tr>
      <w:tr w:rsidR="002F7724" w:rsidRPr="00EA71D3" w14:paraId="28BF5D9D" w14:textId="77777777" w:rsidTr="004D47D0">
        <w:tc>
          <w:tcPr>
            <w:tcW w:w="13874" w:type="dxa"/>
            <w:gridSpan w:val="3"/>
          </w:tcPr>
          <w:p w14:paraId="67A464E4" w14:textId="77777777" w:rsidR="002F7724" w:rsidRPr="00EA71D3" w:rsidRDefault="002F7724" w:rsidP="004D47D0">
            <w:pPr>
              <w:keepNext/>
              <w:spacing w:before="40" w:after="40"/>
              <w:jc w:val="left"/>
              <w:rPr>
                <w:rFonts w:asciiTheme="majorBidi" w:eastAsiaTheme="minorEastAsia" w:hAnsiTheme="majorBidi" w:cstheme="majorBidi"/>
                <w:bCs/>
                <w:color w:val="000000" w:themeColor="text1"/>
                <w:kern w:val="2"/>
                <w:sz w:val="22"/>
                <w:szCs w:val="22"/>
                <w:lang w:val="fr-FR"/>
                <w14:ligatures w14:val="standardContextual"/>
              </w:rPr>
            </w:pPr>
            <w:r w:rsidRPr="00EA71D3">
              <w:rPr>
                <w:rFonts w:asciiTheme="majorBidi" w:hAnsiTheme="majorBidi"/>
                <w:b/>
                <w:color w:val="000000" w:themeColor="text1"/>
                <w:sz w:val="22"/>
                <w:szCs w:val="22"/>
                <w:lang w:val="fr-FR"/>
              </w:rPr>
              <w:lastRenderedPageBreak/>
              <w:t>Moyens de mise en œuvre</w:t>
            </w:r>
          </w:p>
        </w:tc>
      </w:tr>
      <w:tr w:rsidR="002F7724" w:rsidRPr="00EA71D3" w14:paraId="2EBE2B24" w14:textId="77777777" w:rsidTr="004D47D0">
        <w:tc>
          <w:tcPr>
            <w:tcW w:w="2984" w:type="dxa"/>
          </w:tcPr>
          <w:p w14:paraId="50772142" w14:textId="77777777" w:rsidR="002F7724" w:rsidRPr="00EA71D3" w:rsidRDefault="002F7724" w:rsidP="004D47D0">
            <w:pPr>
              <w:spacing w:before="40" w:after="40"/>
              <w:jc w:val="left"/>
              <w:rPr>
                <w:rFonts w:asciiTheme="majorBidi" w:eastAsiaTheme="minorEastAsia" w:hAnsiTheme="majorBidi" w:cstheme="majorBidi"/>
                <w:b/>
                <w:color w:val="000000" w:themeColor="text1"/>
                <w:spacing w:val="6"/>
                <w:kern w:val="2"/>
                <w:sz w:val="22"/>
                <w:szCs w:val="22"/>
                <w:shd w:val="clear" w:color="auto" w:fill="FFFFFF"/>
                <w:lang w:val="fr-FR"/>
                <w14:ligatures w14:val="standardContextual"/>
              </w:rPr>
            </w:pPr>
            <w:r w:rsidRPr="00EA71D3">
              <w:rPr>
                <w:rFonts w:asciiTheme="majorBidi" w:hAnsiTheme="majorBidi"/>
                <w:bCs/>
                <w:color w:val="000000" w:themeColor="text1"/>
                <w:sz w:val="22"/>
                <w:szCs w:val="22"/>
                <w:lang w:val="fr-FR"/>
              </w:rPr>
              <w:t xml:space="preserve">Cible 19 </w:t>
            </w:r>
          </w:p>
        </w:tc>
        <w:tc>
          <w:tcPr>
            <w:tcW w:w="3822" w:type="dxa"/>
          </w:tcPr>
          <w:p w14:paraId="0543B6EC" w14:textId="77777777" w:rsidR="002F7724" w:rsidRPr="00EA71D3" w:rsidRDefault="002F7724" w:rsidP="004D47D0">
            <w:pPr>
              <w:spacing w:before="60" w:after="60"/>
              <w:jc w:val="left"/>
              <w:rPr>
                <w:rFonts w:asciiTheme="majorBidi" w:eastAsiaTheme="minorEastAsia" w:hAnsiTheme="majorBidi" w:cstheme="majorBidi"/>
                <w:color w:val="000000" w:themeColor="text1"/>
                <w:kern w:val="2"/>
                <w:sz w:val="22"/>
                <w:szCs w:val="22"/>
                <w:lang w:val="fr-FR"/>
                <w14:ligatures w14:val="standardContextual"/>
              </w:rPr>
            </w:pPr>
            <w:r w:rsidRPr="00EA71D3">
              <w:rPr>
                <w:rFonts w:asciiTheme="majorBidi" w:hAnsiTheme="majorBidi"/>
                <w:sz w:val="22"/>
                <w:szCs w:val="22"/>
                <w:lang w:val="fr-FR"/>
              </w:rPr>
              <w:t>Comprendre les coavantages pour la santé de l’investissement dans des stratégies et des activités visant à endiguer la perte de biodiversité peut aider à mobiliser les ressources financières nécessaires.</w:t>
            </w:r>
          </w:p>
        </w:tc>
        <w:tc>
          <w:tcPr>
            <w:tcW w:w="7068" w:type="dxa"/>
          </w:tcPr>
          <w:p w14:paraId="11CD3C53" w14:textId="503EF0C1" w:rsidR="002F7724" w:rsidRPr="00EA71D3" w:rsidRDefault="002F7724" w:rsidP="004D47D0">
            <w:pPr>
              <w:spacing w:before="60" w:after="60"/>
              <w:jc w:val="left"/>
              <w:rPr>
                <w:rFonts w:asciiTheme="majorBidi" w:hAnsiTheme="majorBidi"/>
                <w:color w:val="000000" w:themeColor="text1"/>
                <w:sz w:val="22"/>
                <w:szCs w:val="22"/>
                <w:lang w:val="fr-FR"/>
              </w:rPr>
            </w:pPr>
            <w:r w:rsidRPr="00EA71D3">
              <w:rPr>
                <w:rFonts w:asciiTheme="majorBidi" w:hAnsiTheme="majorBidi"/>
                <w:color w:val="000000" w:themeColor="text1"/>
                <w:sz w:val="22"/>
                <w:szCs w:val="22"/>
                <w:lang w:val="fr-FR"/>
              </w:rPr>
              <w:t xml:space="preserve">Augmenter le financement provenant de toutes les sources, y compris l’aide officielle aux pays en développement, en appui aux projets et aux programmes, afin d’intégrer les </w:t>
            </w:r>
            <w:r w:rsidR="00663B4B" w:rsidRPr="00EA71D3">
              <w:rPr>
                <w:rFonts w:asciiTheme="majorBidi" w:hAnsiTheme="majorBidi"/>
                <w:color w:val="000000" w:themeColor="text1"/>
                <w:sz w:val="22"/>
                <w:szCs w:val="22"/>
                <w:lang w:val="fr-FR"/>
              </w:rPr>
              <w:t>interrelations</w:t>
            </w:r>
            <w:r w:rsidRPr="00EA71D3">
              <w:rPr>
                <w:rFonts w:asciiTheme="majorBidi" w:hAnsiTheme="majorBidi"/>
                <w:color w:val="000000" w:themeColor="text1"/>
                <w:sz w:val="22"/>
                <w:szCs w:val="22"/>
                <w:lang w:val="fr-FR"/>
              </w:rPr>
              <w:t xml:space="preserve"> entre la biodiversité et la santé aux politiques, stratégies, programmes et comptes pertinents.</w:t>
            </w:r>
          </w:p>
          <w:p w14:paraId="099005A9" w14:textId="77777777" w:rsidR="002F7724" w:rsidRPr="00EA71D3" w:rsidRDefault="002F7724" w:rsidP="004D47D0">
            <w:pPr>
              <w:spacing w:before="60" w:after="60"/>
              <w:jc w:val="left"/>
              <w:rPr>
                <w:rFonts w:asciiTheme="majorBidi" w:eastAsiaTheme="minorEastAsia" w:hAnsiTheme="majorBidi" w:cstheme="majorBidi"/>
                <w:color w:val="000000" w:themeColor="text1"/>
                <w:kern w:val="2"/>
                <w:sz w:val="22"/>
                <w:szCs w:val="22"/>
                <w:lang w:val="fr-FR"/>
                <w14:ligatures w14:val="standardContextual"/>
              </w:rPr>
            </w:pPr>
          </w:p>
          <w:p w14:paraId="7535DF23" w14:textId="77777777" w:rsidR="002F7724" w:rsidRPr="00EA71D3" w:rsidRDefault="002F7724" w:rsidP="004D47D0">
            <w:pPr>
              <w:spacing w:before="60" w:after="60"/>
              <w:jc w:val="left"/>
              <w:rPr>
                <w:rFonts w:asciiTheme="majorBidi" w:eastAsiaTheme="minorEastAsia" w:hAnsiTheme="majorBidi" w:cstheme="majorBidi"/>
                <w:color w:val="000000" w:themeColor="text1"/>
                <w:kern w:val="2"/>
                <w:sz w:val="22"/>
                <w:szCs w:val="22"/>
                <w:lang w:val="fr-FR"/>
                <w14:ligatures w14:val="standardContextual"/>
              </w:rPr>
            </w:pPr>
          </w:p>
        </w:tc>
      </w:tr>
      <w:tr w:rsidR="002F7724" w:rsidRPr="00EA71D3" w14:paraId="46EEE9B9" w14:textId="77777777" w:rsidTr="004D47D0">
        <w:tc>
          <w:tcPr>
            <w:tcW w:w="2984" w:type="dxa"/>
          </w:tcPr>
          <w:p w14:paraId="5089CD6F" w14:textId="77777777" w:rsidR="002F7724" w:rsidRPr="00EA71D3" w:rsidRDefault="002F7724" w:rsidP="004D47D0">
            <w:pPr>
              <w:spacing w:before="60" w:after="60"/>
              <w:jc w:val="left"/>
              <w:rPr>
                <w:rFonts w:asciiTheme="majorBidi" w:hAnsiTheme="majorBidi"/>
                <w:color w:val="000000" w:themeColor="text1"/>
                <w:sz w:val="22"/>
                <w:szCs w:val="22"/>
                <w:lang w:val="fr-FR"/>
              </w:rPr>
            </w:pPr>
            <w:r w:rsidRPr="00EA71D3">
              <w:rPr>
                <w:rFonts w:asciiTheme="majorBidi" w:hAnsiTheme="majorBidi"/>
                <w:color w:val="000000" w:themeColor="text1"/>
                <w:sz w:val="22"/>
                <w:szCs w:val="22"/>
                <w:lang w:val="fr-FR"/>
              </w:rPr>
              <w:t>Cible 20</w:t>
            </w:r>
          </w:p>
        </w:tc>
        <w:tc>
          <w:tcPr>
            <w:tcW w:w="3822" w:type="dxa"/>
          </w:tcPr>
          <w:p w14:paraId="519AEE7E" w14:textId="0A7F1E78" w:rsidR="002F7724" w:rsidRPr="00EA71D3" w:rsidRDefault="002F7724" w:rsidP="004D47D0">
            <w:pPr>
              <w:spacing w:before="60" w:after="60"/>
              <w:jc w:val="left"/>
              <w:rPr>
                <w:rFonts w:asciiTheme="majorBidi" w:hAnsiTheme="majorBidi"/>
                <w:color w:val="000000" w:themeColor="text1"/>
                <w:sz w:val="22"/>
                <w:szCs w:val="22"/>
                <w:lang w:val="fr-FR"/>
              </w:rPr>
            </w:pPr>
            <w:r w:rsidRPr="00EA71D3">
              <w:rPr>
                <w:rFonts w:asciiTheme="majorBidi" w:hAnsiTheme="majorBidi"/>
                <w:color w:val="000000" w:themeColor="text1"/>
                <w:sz w:val="22"/>
                <w:szCs w:val="22"/>
                <w:lang w:val="fr-FR"/>
              </w:rPr>
              <w:t xml:space="preserve">Améliorer le renforcement des capacités, la coopération technique et scientifique et l’accès aux technologies pertinentes aux interrelations entre la biodiversité et la santé, </w:t>
            </w:r>
            <w:r w:rsidR="000E6FDA" w:rsidRPr="00EA71D3">
              <w:rPr>
                <w:rFonts w:asciiTheme="majorBidi" w:hAnsiTheme="majorBidi"/>
                <w:color w:val="000000" w:themeColor="text1"/>
                <w:sz w:val="22"/>
                <w:szCs w:val="22"/>
                <w:lang w:val="fr-FR"/>
              </w:rPr>
              <w:t xml:space="preserve">y compris </w:t>
            </w:r>
            <w:r w:rsidRPr="00EA71D3">
              <w:rPr>
                <w:rFonts w:asciiTheme="majorBidi" w:hAnsiTheme="majorBidi"/>
                <w:color w:val="000000" w:themeColor="text1"/>
                <w:sz w:val="22"/>
                <w:szCs w:val="22"/>
                <w:lang w:val="fr-FR"/>
              </w:rPr>
              <w:t>par le biais de partenariats Nord-Sud, Sud-Sud et triangulaires, et le transfert de celles-ci</w:t>
            </w:r>
            <w:r w:rsidR="000E6FDA" w:rsidRPr="00EA71D3">
              <w:rPr>
                <w:rFonts w:asciiTheme="majorBidi" w:hAnsiTheme="majorBidi"/>
                <w:color w:val="000000" w:themeColor="text1"/>
                <w:sz w:val="22"/>
                <w:szCs w:val="22"/>
                <w:lang w:val="fr-FR"/>
              </w:rPr>
              <w:t xml:space="preserve"> peut appuyer l'intégration de ces liens dans les politiques publiques.</w:t>
            </w:r>
          </w:p>
        </w:tc>
        <w:tc>
          <w:tcPr>
            <w:tcW w:w="7068" w:type="dxa"/>
          </w:tcPr>
          <w:p w14:paraId="3FBC4971" w14:textId="77777777" w:rsidR="002F7724" w:rsidRPr="00EA71D3" w:rsidRDefault="002F7724" w:rsidP="004D47D0">
            <w:pPr>
              <w:spacing w:before="60" w:after="60"/>
              <w:jc w:val="left"/>
              <w:rPr>
                <w:rFonts w:asciiTheme="majorBidi" w:hAnsiTheme="majorBidi"/>
                <w:sz w:val="22"/>
                <w:szCs w:val="22"/>
                <w:lang w:val="fr-FR"/>
              </w:rPr>
            </w:pPr>
            <w:r w:rsidRPr="00EA71D3">
              <w:rPr>
                <w:rFonts w:asciiTheme="majorBidi" w:hAnsiTheme="majorBidi"/>
                <w:color w:val="000000" w:themeColor="text1"/>
                <w:sz w:val="22"/>
                <w:szCs w:val="22"/>
                <w:lang w:val="fr-FR"/>
              </w:rPr>
              <w:t xml:space="preserve">1. </w:t>
            </w:r>
            <w:r w:rsidRPr="00EA71D3">
              <w:rPr>
                <w:rFonts w:asciiTheme="majorBidi" w:hAnsiTheme="majorBidi"/>
                <w:sz w:val="22"/>
                <w:szCs w:val="22"/>
                <w:lang w:val="fr-FR"/>
              </w:rPr>
              <w:t>Intégrer les interrelations entre la biodiversité et la santé dans le développement et le renforcement des capacités, la coopération technique et scientifique et les activités de transfert de technologies en appuyant les programmes et les activités de formation destinées à différents professionnels de la santé et fournisseurs de services de santé, afin d’améliorer leur compréhension des interrelations entre la biodiversité et la santé, y compris les pratiques de médecine traditionnelle et les connaissances traditionnelles.</w:t>
            </w:r>
          </w:p>
          <w:p w14:paraId="355A3C95" w14:textId="560AB991" w:rsidR="002F7724" w:rsidRPr="00EA71D3" w:rsidRDefault="002F7724" w:rsidP="004D47D0">
            <w:pPr>
              <w:spacing w:before="60" w:after="60"/>
              <w:jc w:val="left"/>
              <w:rPr>
                <w:rFonts w:asciiTheme="majorBidi" w:hAnsiTheme="majorBidi"/>
                <w:sz w:val="22"/>
                <w:szCs w:val="22"/>
                <w:lang w:val="fr-FR"/>
              </w:rPr>
            </w:pPr>
            <w:r w:rsidRPr="00EA71D3">
              <w:rPr>
                <w:rFonts w:asciiTheme="majorBidi" w:hAnsiTheme="majorBidi"/>
                <w:sz w:val="22"/>
                <w:szCs w:val="22"/>
                <w:lang w:val="fr-FR"/>
              </w:rPr>
              <w:t xml:space="preserve">2. </w:t>
            </w:r>
            <w:r w:rsidR="000E6FDA" w:rsidRPr="00EA71D3">
              <w:rPr>
                <w:rFonts w:asciiTheme="majorBidi" w:hAnsiTheme="majorBidi"/>
                <w:sz w:val="22"/>
                <w:szCs w:val="22"/>
                <w:lang w:val="fr-FR"/>
              </w:rPr>
              <w:t>Fournir et faciliter aux Parties, en particulier aux pays en développement, l'accès aux technologies pertinentes pour la conservation et l'utilisation durable de la diversité biologique et pour l'intégration des liens entre la diversité biologique et la santé dans les politiques et initiatives pertinentes, ainsi que le transfert [volontaire et d'un commun accord] de ces technologies</w:t>
            </w:r>
            <w:r w:rsidRPr="00EA71D3">
              <w:rPr>
                <w:rFonts w:asciiTheme="majorBidi" w:hAnsiTheme="majorBidi"/>
                <w:sz w:val="22"/>
                <w:szCs w:val="22"/>
                <w:lang w:val="fr-FR"/>
              </w:rPr>
              <w:t xml:space="preserve">.  </w:t>
            </w:r>
          </w:p>
          <w:p w14:paraId="61D2F35F" w14:textId="567C41B5" w:rsidR="002F7724" w:rsidRPr="00EA71D3" w:rsidRDefault="002F7724" w:rsidP="004D47D0">
            <w:pPr>
              <w:spacing w:before="60" w:after="60"/>
              <w:jc w:val="left"/>
              <w:rPr>
                <w:rFonts w:asciiTheme="majorBidi" w:hAnsiTheme="majorBidi"/>
                <w:sz w:val="22"/>
                <w:szCs w:val="22"/>
                <w:lang w:val="fr-FR"/>
              </w:rPr>
            </w:pPr>
            <w:r w:rsidRPr="00EA71D3">
              <w:rPr>
                <w:rFonts w:asciiTheme="majorBidi" w:hAnsiTheme="majorBidi"/>
                <w:sz w:val="22"/>
                <w:szCs w:val="22"/>
                <w:lang w:val="fr-FR"/>
              </w:rPr>
              <w:t xml:space="preserve">3. Prendre des mesures législatives, administratives ou de politique, selon qu’il convient, </w:t>
            </w:r>
            <w:r w:rsidR="000E6FDA" w:rsidRPr="00EA71D3">
              <w:rPr>
                <w:rFonts w:asciiTheme="majorBidi" w:hAnsiTheme="majorBidi"/>
                <w:sz w:val="22"/>
                <w:szCs w:val="22"/>
                <w:lang w:val="fr-FR"/>
              </w:rPr>
              <w:t>pour veiller à ce</w:t>
            </w:r>
            <w:r w:rsidRPr="00EA71D3">
              <w:rPr>
                <w:rFonts w:asciiTheme="majorBidi" w:hAnsiTheme="majorBidi"/>
                <w:sz w:val="22"/>
                <w:szCs w:val="22"/>
                <w:lang w:val="fr-FR"/>
              </w:rPr>
              <w:t xml:space="preserve"> que le secteur privé facilite l’accès et le développement conjoint du transfert [volontaire et contenu d’un commun accord] de technologie pertinente à l’intégration des interrelations entre la biodiversité et la santé dans les politiques et initiatives pertinentes.</w:t>
            </w:r>
          </w:p>
          <w:p w14:paraId="74CF7C25" w14:textId="77777777" w:rsidR="002F7724" w:rsidRPr="00EA71D3" w:rsidRDefault="002F7724" w:rsidP="004D47D0">
            <w:pPr>
              <w:spacing w:before="60" w:after="60"/>
              <w:jc w:val="left"/>
              <w:rPr>
                <w:rFonts w:asciiTheme="majorBidi" w:hAnsiTheme="majorBidi"/>
                <w:sz w:val="22"/>
                <w:szCs w:val="22"/>
                <w:lang w:val="fr-FR"/>
              </w:rPr>
            </w:pPr>
            <w:r w:rsidRPr="00EA71D3">
              <w:rPr>
                <w:rFonts w:asciiTheme="majorBidi" w:hAnsiTheme="majorBidi"/>
                <w:sz w:val="22"/>
                <w:szCs w:val="22"/>
                <w:lang w:val="fr-FR"/>
              </w:rPr>
              <w:t xml:space="preserve">4. Faciliter l’échange d’information, provenant de toutes les sources publiques disponibles, d’intérêt pour la conservation et l’utilisation durable </w:t>
            </w:r>
            <w:r w:rsidRPr="00EA71D3">
              <w:rPr>
                <w:rFonts w:asciiTheme="majorBidi" w:hAnsiTheme="majorBidi"/>
                <w:sz w:val="22"/>
                <w:szCs w:val="22"/>
                <w:lang w:val="fr-FR"/>
              </w:rPr>
              <w:lastRenderedPageBreak/>
              <w:t>de la biodiversité et l’intégration des interrelations entre la biodiversité et la santé aux politiques et initiatives pertinentes, en tenant compte des besoins spéciaux des pays en développement.</w:t>
            </w:r>
          </w:p>
          <w:p w14:paraId="56DA8237" w14:textId="28D30953" w:rsidR="002F7724" w:rsidRPr="00EA71D3" w:rsidRDefault="002F7724" w:rsidP="004D47D0">
            <w:pPr>
              <w:spacing w:before="60" w:after="60"/>
              <w:jc w:val="left"/>
              <w:rPr>
                <w:rFonts w:asciiTheme="majorBidi" w:hAnsiTheme="majorBidi"/>
                <w:sz w:val="22"/>
                <w:szCs w:val="22"/>
                <w:lang w:val="fr-FR"/>
              </w:rPr>
            </w:pPr>
            <w:r w:rsidRPr="00EA71D3">
              <w:rPr>
                <w:rFonts w:asciiTheme="majorBidi" w:hAnsiTheme="majorBidi"/>
                <w:sz w:val="22"/>
                <w:szCs w:val="22"/>
                <w:lang w:val="fr-FR"/>
              </w:rPr>
              <w:t xml:space="preserve">5. Favoriser la coopération technique et scientifique avec les autres Parties, en particulier les pays en développement, pour la mise en œuvre </w:t>
            </w:r>
            <w:r w:rsidR="000E6FDA" w:rsidRPr="00EA71D3">
              <w:rPr>
                <w:rFonts w:asciiTheme="majorBidi" w:hAnsiTheme="majorBidi"/>
                <w:sz w:val="22"/>
                <w:szCs w:val="22"/>
                <w:lang w:val="fr-FR"/>
              </w:rPr>
              <w:t>du présent</w:t>
            </w:r>
            <w:r w:rsidRPr="00EA71D3">
              <w:rPr>
                <w:rFonts w:asciiTheme="majorBidi" w:hAnsiTheme="majorBidi"/>
                <w:sz w:val="22"/>
                <w:szCs w:val="22"/>
                <w:lang w:val="fr-FR"/>
              </w:rPr>
              <w:t xml:space="preserve"> Plan, notamment en élaborant et en mettant en œuvre des politiques nationales. Une attention particulière doit être accordée au développement et au renforcement des capacités nationales, en développant des ressources humaines et des institutions, lors de la promotion de cette coopération.</w:t>
            </w:r>
          </w:p>
          <w:p w14:paraId="17C24BAE" w14:textId="77777777" w:rsidR="002F7724" w:rsidRPr="00EA71D3" w:rsidRDefault="002F7724" w:rsidP="004D47D0">
            <w:pPr>
              <w:spacing w:before="60" w:after="60"/>
              <w:jc w:val="left"/>
              <w:rPr>
                <w:rFonts w:asciiTheme="majorBidi" w:hAnsiTheme="majorBidi"/>
                <w:sz w:val="22"/>
                <w:szCs w:val="22"/>
                <w:lang w:val="fr-FR"/>
              </w:rPr>
            </w:pPr>
            <w:r w:rsidRPr="00EA71D3">
              <w:rPr>
                <w:rFonts w:asciiTheme="majorBidi" w:hAnsiTheme="majorBidi"/>
                <w:sz w:val="22"/>
                <w:szCs w:val="22"/>
                <w:lang w:val="fr-FR"/>
              </w:rPr>
              <w:t>6. Soutenir les efforts afin de documenter les pratiques de médecine traditionnelle, en particulier celles qu’utilisent les peuples autochtones et les communautés locales, avec leur consentement préalable, libre et éclairé, [y compris grâce à leur participation pleine et efficace au processus décisionnel, conformément aux lois nationales et aux instruments internationaux,] et reconnaître et respecter leur souveraineté à l’égard de leurs connaissances traditionnelles.</w:t>
            </w:r>
          </w:p>
          <w:p w14:paraId="13DE0192" w14:textId="77777777" w:rsidR="002F7724" w:rsidRPr="00EA71D3" w:rsidRDefault="002F7724" w:rsidP="004D47D0">
            <w:pPr>
              <w:spacing w:before="60" w:after="60"/>
              <w:jc w:val="left"/>
              <w:rPr>
                <w:rFonts w:asciiTheme="majorBidi" w:hAnsiTheme="majorBidi"/>
                <w:color w:val="000000" w:themeColor="text1"/>
                <w:sz w:val="22"/>
                <w:szCs w:val="22"/>
                <w:lang w:val="fr-FR"/>
              </w:rPr>
            </w:pPr>
          </w:p>
        </w:tc>
      </w:tr>
      <w:tr w:rsidR="002F7724" w:rsidRPr="00EA71D3" w14:paraId="689F9CE2" w14:textId="77777777" w:rsidTr="004D47D0">
        <w:tc>
          <w:tcPr>
            <w:tcW w:w="13874" w:type="dxa"/>
            <w:gridSpan w:val="3"/>
          </w:tcPr>
          <w:p w14:paraId="56893413" w14:textId="77777777" w:rsidR="002F7724" w:rsidRPr="00EA71D3" w:rsidRDefault="002F7724" w:rsidP="004D47D0">
            <w:pPr>
              <w:spacing w:before="60" w:after="60"/>
              <w:jc w:val="left"/>
              <w:rPr>
                <w:rFonts w:asciiTheme="majorBidi" w:hAnsiTheme="majorBidi"/>
                <w:b/>
                <w:color w:val="000000" w:themeColor="text1"/>
                <w:lang w:val="fr-FR"/>
              </w:rPr>
            </w:pPr>
            <w:r w:rsidRPr="00EA71D3">
              <w:rPr>
                <w:rFonts w:asciiTheme="majorBidi" w:hAnsiTheme="majorBidi"/>
                <w:b/>
                <w:color w:val="000000" w:themeColor="text1"/>
                <w:sz w:val="22"/>
                <w:lang w:val="fr-FR"/>
              </w:rPr>
              <w:lastRenderedPageBreak/>
              <w:t>Connaissances et participation des populations</w:t>
            </w:r>
          </w:p>
        </w:tc>
      </w:tr>
      <w:tr w:rsidR="002F7724" w:rsidRPr="00EA71D3" w14:paraId="663033E8" w14:textId="77777777" w:rsidTr="004D47D0">
        <w:tc>
          <w:tcPr>
            <w:tcW w:w="2984" w:type="dxa"/>
          </w:tcPr>
          <w:p w14:paraId="4E527E17" w14:textId="77777777" w:rsidR="002F7724" w:rsidRPr="00EA71D3" w:rsidRDefault="002F7724" w:rsidP="004D47D0">
            <w:pPr>
              <w:spacing w:before="60" w:after="60"/>
              <w:jc w:val="left"/>
              <w:rPr>
                <w:rFonts w:asciiTheme="majorBidi" w:eastAsiaTheme="minorEastAsia" w:hAnsiTheme="majorBidi" w:cstheme="majorBidi"/>
                <w:b/>
                <w:color w:val="000000" w:themeColor="text1"/>
                <w:kern w:val="2"/>
                <w:sz w:val="22"/>
                <w:szCs w:val="22"/>
                <w:lang w:val="fr-FR"/>
                <w14:ligatures w14:val="standardContextual"/>
              </w:rPr>
            </w:pPr>
            <w:r w:rsidRPr="00EA71D3">
              <w:rPr>
                <w:rFonts w:asciiTheme="majorBidi" w:hAnsiTheme="majorBidi"/>
                <w:color w:val="000000" w:themeColor="text1"/>
                <w:sz w:val="22"/>
                <w:szCs w:val="22"/>
                <w:lang w:val="fr-FR"/>
              </w:rPr>
              <w:t xml:space="preserve">Cibles 21, 22 et 23 </w:t>
            </w:r>
          </w:p>
        </w:tc>
        <w:tc>
          <w:tcPr>
            <w:tcW w:w="3822" w:type="dxa"/>
          </w:tcPr>
          <w:p w14:paraId="4DBC1916" w14:textId="77777777" w:rsidR="002F7724" w:rsidRPr="00EA71D3" w:rsidRDefault="002F7724" w:rsidP="004D47D0">
            <w:pPr>
              <w:spacing w:before="60" w:after="60"/>
              <w:jc w:val="left"/>
              <w:rPr>
                <w:rFonts w:asciiTheme="majorBidi" w:eastAsiaTheme="minorEastAsia" w:hAnsiTheme="majorBidi" w:cstheme="majorBidi"/>
                <w:sz w:val="22"/>
                <w:szCs w:val="22"/>
                <w:lang w:val="fr-FR"/>
              </w:rPr>
            </w:pPr>
            <w:r w:rsidRPr="00EA71D3">
              <w:rPr>
                <w:rFonts w:asciiTheme="majorBidi" w:hAnsiTheme="majorBidi"/>
                <w:color w:val="000000" w:themeColor="text1"/>
                <w:sz w:val="22"/>
                <w:szCs w:val="22"/>
                <w:lang w:val="fr-FR"/>
              </w:rPr>
              <w:t>Le fait de s’assurer que les connaissances soient mises à la disposition de tout un chacun et que tous les groupes de personnes soient consultés pour la prise de décisions en matière de biodiversité peut aider à garantir que les interrelations entre la biodiversité et la santé d’une importance particulière pour certains groupes soient prises en compte, contribuant ainsi à la protection des droits, la prise en compte des questions de genre, l’équité entre les générations et l’équité en santé.</w:t>
            </w:r>
          </w:p>
        </w:tc>
        <w:tc>
          <w:tcPr>
            <w:tcW w:w="7068" w:type="dxa"/>
          </w:tcPr>
          <w:p w14:paraId="441B4DF0" w14:textId="153454A0" w:rsidR="002F7724" w:rsidRPr="00EA71D3" w:rsidRDefault="002F7724" w:rsidP="004D47D0">
            <w:pPr>
              <w:spacing w:before="60" w:after="60"/>
              <w:jc w:val="left"/>
              <w:rPr>
                <w:rFonts w:asciiTheme="majorBidi" w:hAnsiTheme="majorBidi"/>
                <w:sz w:val="22"/>
                <w:szCs w:val="22"/>
                <w:lang w:val="fr-FR"/>
              </w:rPr>
            </w:pPr>
            <w:r w:rsidRPr="00EA71D3">
              <w:rPr>
                <w:rFonts w:asciiTheme="majorBidi" w:hAnsiTheme="majorBidi"/>
                <w:color w:val="000000" w:themeColor="text1"/>
                <w:sz w:val="22"/>
                <w:szCs w:val="22"/>
                <w:lang w:val="fr-FR"/>
              </w:rPr>
              <w:t xml:space="preserve">1. </w:t>
            </w:r>
            <w:r w:rsidRPr="00EA71D3">
              <w:rPr>
                <w:rFonts w:asciiTheme="majorBidi" w:hAnsiTheme="majorBidi"/>
                <w:sz w:val="22"/>
                <w:szCs w:val="22"/>
                <w:lang w:val="fr-FR"/>
              </w:rPr>
              <w:t>Faciliter la mise en place ou le renforcement de plateformes de partage des connaissances et de réseaux d’apprentissage sur les interrelations entre la biodiversité et la santé afin de favoriser l’échange des meilleures pratiques, des enseignements tirés et des solutions novatrices, en tenant compte des besoins des groupes vulnérable</w:t>
            </w:r>
            <w:r w:rsidR="000E6FDA" w:rsidRPr="00EA71D3">
              <w:rPr>
                <w:rFonts w:asciiTheme="majorBidi" w:hAnsiTheme="majorBidi"/>
                <w:sz w:val="22"/>
                <w:szCs w:val="22"/>
                <w:lang w:val="fr-FR"/>
              </w:rPr>
              <w:t>s</w:t>
            </w:r>
            <w:r w:rsidRPr="00EA71D3">
              <w:rPr>
                <w:rFonts w:asciiTheme="majorBidi" w:hAnsiTheme="majorBidi"/>
                <w:sz w:val="22"/>
                <w:szCs w:val="22"/>
                <w:lang w:val="fr-FR"/>
              </w:rPr>
              <w:t xml:space="preserve"> et </w:t>
            </w:r>
            <w:r w:rsidR="000E6FDA" w:rsidRPr="00EA71D3">
              <w:rPr>
                <w:rFonts w:asciiTheme="majorBidi" w:hAnsiTheme="majorBidi"/>
                <w:sz w:val="22"/>
                <w:szCs w:val="22"/>
                <w:lang w:val="fr-FR"/>
              </w:rPr>
              <w:t xml:space="preserve">de ceux </w:t>
            </w:r>
            <w:r w:rsidRPr="00EA71D3">
              <w:rPr>
                <w:rFonts w:asciiTheme="majorBidi" w:hAnsiTheme="majorBidi"/>
                <w:sz w:val="22"/>
                <w:szCs w:val="22"/>
                <w:lang w:val="fr-FR"/>
              </w:rPr>
              <w:t>des peuples autochtones et des communautés locales.</w:t>
            </w:r>
          </w:p>
          <w:p w14:paraId="6689CE12" w14:textId="1C4DBF4B" w:rsidR="002F7724" w:rsidRPr="00EA71D3" w:rsidRDefault="000E6FDA" w:rsidP="004D47D0">
            <w:pPr>
              <w:spacing w:before="60" w:after="60"/>
              <w:jc w:val="left"/>
              <w:rPr>
                <w:rFonts w:asciiTheme="majorBidi" w:hAnsiTheme="majorBidi"/>
                <w:sz w:val="22"/>
                <w:szCs w:val="22"/>
                <w:lang w:val="fr-FR"/>
              </w:rPr>
            </w:pPr>
            <w:r w:rsidRPr="00EA71D3">
              <w:rPr>
                <w:rFonts w:asciiTheme="majorBidi" w:hAnsiTheme="majorBidi"/>
                <w:sz w:val="22"/>
                <w:szCs w:val="22"/>
                <w:lang w:val="fr-FR"/>
              </w:rPr>
              <w:t>2</w:t>
            </w:r>
            <w:r w:rsidR="002F7724" w:rsidRPr="00EA71D3">
              <w:rPr>
                <w:rFonts w:asciiTheme="majorBidi" w:hAnsiTheme="majorBidi"/>
                <w:sz w:val="22"/>
                <w:szCs w:val="22"/>
                <w:lang w:val="fr-FR"/>
              </w:rPr>
              <w:t>. Promouvoir et diffuser du matériel de sensibilisation, des outils de représentation, des meilleures pratiques et des politiques qui maximisent les co-avantages pour la biodiversité et la santé et mettent en lumière les contributions pertinentes des peuples autochtones et des communautés locales, et des groupes vulnérables tels que les femmes, les enfants, les jeunes, les personnes âgées et les personnes en situation de handicap.</w:t>
            </w:r>
          </w:p>
          <w:p w14:paraId="4FB3793B" w14:textId="78972E9E" w:rsidR="002F7724" w:rsidRPr="00EA71D3" w:rsidRDefault="000E6FDA" w:rsidP="004D47D0">
            <w:pPr>
              <w:spacing w:before="60" w:after="60"/>
              <w:jc w:val="left"/>
              <w:rPr>
                <w:rFonts w:asciiTheme="majorBidi" w:eastAsiaTheme="minorEastAsia" w:hAnsiTheme="majorBidi" w:cstheme="majorBidi"/>
                <w:color w:val="000000" w:themeColor="text1"/>
                <w:kern w:val="2"/>
                <w:sz w:val="22"/>
                <w:szCs w:val="22"/>
                <w:lang w:val="fr-FR"/>
                <w14:ligatures w14:val="standardContextual"/>
              </w:rPr>
            </w:pPr>
            <w:r w:rsidRPr="00EA71D3">
              <w:rPr>
                <w:rFonts w:asciiTheme="majorBidi" w:hAnsiTheme="majorBidi"/>
                <w:sz w:val="22"/>
                <w:szCs w:val="22"/>
                <w:lang w:val="fr-FR"/>
              </w:rPr>
              <w:lastRenderedPageBreak/>
              <w:t>3</w:t>
            </w:r>
            <w:r w:rsidR="002F7724" w:rsidRPr="00EA71D3">
              <w:rPr>
                <w:rFonts w:asciiTheme="majorBidi" w:hAnsiTheme="majorBidi"/>
                <w:sz w:val="22"/>
                <w:szCs w:val="22"/>
                <w:lang w:val="fr-FR"/>
              </w:rPr>
              <w:t xml:space="preserve">. Intégrer les avantages pour la santé que procure la biodiversité aux programmes d’éducation formels, depuis le cours primaire jusqu’aux études postsecondaires, afin d’avancer davantage les interrelations entre la biodiversité et la santé.  </w:t>
            </w:r>
          </w:p>
          <w:p w14:paraId="333EAD78" w14:textId="0375433C" w:rsidR="002F7724" w:rsidRPr="00EA71D3" w:rsidRDefault="000E6FDA" w:rsidP="004D47D0">
            <w:pPr>
              <w:spacing w:before="40" w:after="40"/>
              <w:jc w:val="left"/>
              <w:rPr>
                <w:rFonts w:asciiTheme="majorBidi" w:eastAsiaTheme="minorEastAsia" w:hAnsiTheme="majorBidi" w:cstheme="majorBidi"/>
                <w:color w:val="000000" w:themeColor="text1"/>
                <w:kern w:val="2"/>
                <w:sz w:val="22"/>
                <w:szCs w:val="22"/>
                <w:lang w:val="fr-FR"/>
                <w14:ligatures w14:val="standardContextual"/>
              </w:rPr>
            </w:pPr>
            <w:r w:rsidRPr="00EA71D3">
              <w:rPr>
                <w:rFonts w:asciiTheme="majorBidi" w:hAnsiTheme="majorBidi"/>
                <w:color w:val="000000" w:themeColor="text1"/>
                <w:sz w:val="22"/>
                <w:szCs w:val="22"/>
                <w:lang w:val="fr-FR"/>
              </w:rPr>
              <w:t>4</w:t>
            </w:r>
            <w:r w:rsidR="002F7724" w:rsidRPr="00EA71D3">
              <w:rPr>
                <w:rFonts w:asciiTheme="majorBidi" w:hAnsiTheme="majorBidi"/>
                <w:color w:val="000000" w:themeColor="text1"/>
                <w:sz w:val="22"/>
                <w:szCs w:val="22"/>
                <w:lang w:val="fr-FR"/>
              </w:rPr>
              <w:t>. Reconnaître les connaissances traditionnelles des peuples autochtones et des communautés locales comme un important système de connaissances qui contribue aux progrès techniques, sociaux et économiques pour le bien-être des êtres humains.</w:t>
            </w:r>
          </w:p>
          <w:p w14:paraId="069190B1" w14:textId="71D28B12" w:rsidR="002F7724" w:rsidRPr="00EA71D3" w:rsidRDefault="000E6FDA" w:rsidP="004D47D0">
            <w:pPr>
              <w:spacing w:before="40" w:after="40"/>
              <w:jc w:val="left"/>
              <w:rPr>
                <w:rFonts w:asciiTheme="majorBidi" w:eastAsiaTheme="minorEastAsia" w:hAnsiTheme="majorBidi" w:cstheme="majorBidi"/>
                <w:color w:val="000000" w:themeColor="text1"/>
                <w:kern w:val="2"/>
                <w:sz w:val="22"/>
                <w:szCs w:val="22"/>
                <w:lang w:val="fr-FR"/>
                <w14:ligatures w14:val="standardContextual"/>
              </w:rPr>
            </w:pPr>
            <w:r w:rsidRPr="00EA71D3">
              <w:rPr>
                <w:rFonts w:asciiTheme="majorBidi" w:hAnsiTheme="majorBidi"/>
                <w:color w:val="000000" w:themeColor="text1"/>
                <w:sz w:val="22"/>
                <w:szCs w:val="22"/>
                <w:lang w:val="fr-FR"/>
              </w:rPr>
              <w:t>5</w:t>
            </w:r>
            <w:r w:rsidR="002F7724" w:rsidRPr="00EA71D3">
              <w:rPr>
                <w:rFonts w:asciiTheme="majorBidi" w:hAnsiTheme="majorBidi"/>
                <w:color w:val="000000" w:themeColor="text1"/>
                <w:sz w:val="22"/>
                <w:szCs w:val="22"/>
                <w:lang w:val="fr-FR"/>
              </w:rPr>
              <w:t xml:space="preserve">. </w:t>
            </w:r>
            <w:r w:rsidR="002F7724" w:rsidRPr="00EA71D3">
              <w:rPr>
                <w:rFonts w:asciiTheme="majorBidi" w:hAnsiTheme="majorBidi"/>
                <w:sz w:val="22"/>
                <w:szCs w:val="22"/>
                <w:lang w:val="fr-FR"/>
              </w:rPr>
              <w:t>Promouvoir et appuyer la participation significative et active de tous les acteurs de la société civile, y compris les détenteurs des connaissances traditionnelles, les peuples autochtones et les communautés locales, les femmes, les enfants, les jeunes, les personnes âgées et les personnes en situation de handicap, en reconnaissant en outre leurs contributions uniques et leurs rôles actifs en matière d’intégration des interrelations entre la biodiversité et la santé.</w:t>
            </w:r>
          </w:p>
          <w:p w14:paraId="19687D57" w14:textId="483437D3" w:rsidR="002F7724" w:rsidRPr="00EA71D3" w:rsidRDefault="000E6FDA" w:rsidP="004D47D0">
            <w:pPr>
              <w:spacing w:before="60" w:after="60"/>
              <w:jc w:val="left"/>
              <w:rPr>
                <w:rFonts w:asciiTheme="majorBidi" w:hAnsiTheme="majorBidi" w:cstheme="majorBidi"/>
                <w:kern w:val="2"/>
                <w:sz w:val="22"/>
                <w:szCs w:val="22"/>
                <w:lang w:val="fr-FR"/>
                <w14:ligatures w14:val="standardContextual"/>
              </w:rPr>
            </w:pPr>
            <w:r w:rsidRPr="00EA71D3">
              <w:rPr>
                <w:rFonts w:asciiTheme="majorBidi" w:hAnsiTheme="majorBidi"/>
                <w:color w:val="000000" w:themeColor="text1"/>
                <w:sz w:val="22"/>
                <w:szCs w:val="22"/>
                <w:lang w:val="fr-FR"/>
              </w:rPr>
              <w:t>6</w:t>
            </w:r>
            <w:r w:rsidR="002F7724" w:rsidRPr="00EA71D3">
              <w:rPr>
                <w:rFonts w:asciiTheme="majorBidi" w:hAnsiTheme="majorBidi"/>
                <w:color w:val="000000" w:themeColor="text1"/>
                <w:sz w:val="22"/>
                <w:szCs w:val="22"/>
                <w:lang w:val="fr-FR"/>
              </w:rPr>
              <w:t xml:space="preserve">. </w:t>
            </w:r>
            <w:r w:rsidR="002F7724" w:rsidRPr="00EA71D3">
              <w:rPr>
                <w:rFonts w:asciiTheme="majorBidi" w:hAnsiTheme="majorBidi"/>
                <w:sz w:val="22"/>
                <w:szCs w:val="22"/>
                <w:lang w:val="fr-FR"/>
              </w:rPr>
              <w:t>Investir dans les outils et stratégies de communication qui sensibilisent les différentes parties prenantes à la valeur des fonctions et services écosystémiques pour garantir la santé, le bien-être et l’équité en santé, dans des langues et formats accessibles aux divers groupes d’acteurs.</w:t>
            </w:r>
          </w:p>
          <w:p w14:paraId="589D3E6F" w14:textId="250ADCC3" w:rsidR="002F7724" w:rsidRPr="00EA71D3" w:rsidRDefault="000E6FDA" w:rsidP="004D47D0">
            <w:pPr>
              <w:spacing w:before="60" w:after="60"/>
              <w:jc w:val="left"/>
              <w:rPr>
                <w:rFonts w:asciiTheme="majorBidi" w:hAnsiTheme="majorBidi"/>
                <w:color w:val="000000" w:themeColor="text1"/>
                <w:sz w:val="22"/>
                <w:szCs w:val="22"/>
                <w:lang w:val="fr-FR"/>
              </w:rPr>
            </w:pPr>
            <w:r w:rsidRPr="00EA71D3">
              <w:rPr>
                <w:rFonts w:asciiTheme="majorBidi" w:hAnsiTheme="majorBidi"/>
                <w:color w:val="000000" w:themeColor="text1"/>
                <w:sz w:val="22"/>
                <w:szCs w:val="22"/>
                <w:lang w:val="fr-FR"/>
              </w:rPr>
              <w:t>7</w:t>
            </w:r>
            <w:r w:rsidR="002F7724" w:rsidRPr="00EA71D3">
              <w:rPr>
                <w:rFonts w:asciiTheme="majorBidi" w:hAnsiTheme="majorBidi"/>
                <w:color w:val="000000" w:themeColor="text1"/>
                <w:sz w:val="22"/>
                <w:szCs w:val="22"/>
                <w:lang w:val="fr-FR"/>
              </w:rPr>
              <w:t xml:space="preserve">. Mettre en place le Plan d’action pour l’égalité hommes-femmes </w:t>
            </w:r>
            <w:r w:rsidRPr="00EA71D3">
              <w:rPr>
                <w:rFonts w:asciiTheme="majorBidi" w:eastAsiaTheme="minorEastAsia" w:hAnsiTheme="majorBidi" w:cstheme="majorBidi"/>
                <w:color w:val="000000" w:themeColor="text1"/>
                <w:kern w:val="2"/>
                <w:sz w:val="20"/>
                <w:szCs w:val="20"/>
                <w:lang w:val="fr-FR" w:eastAsia="zh-CN"/>
                <w14:ligatures w14:val="standardContextual"/>
              </w:rPr>
              <w:t xml:space="preserve">(2023–2030) </w:t>
            </w:r>
            <w:r w:rsidR="002F7724" w:rsidRPr="00EA71D3">
              <w:rPr>
                <w:rFonts w:asciiTheme="majorBidi" w:hAnsiTheme="majorBidi"/>
                <w:color w:val="000000" w:themeColor="text1"/>
                <w:sz w:val="22"/>
                <w:szCs w:val="22"/>
                <w:lang w:val="fr-FR"/>
              </w:rPr>
              <w:t>adopté par la Conférence des Parties</w:t>
            </w:r>
            <w:r w:rsidRPr="00EA71D3">
              <w:rPr>
                <w:rStyle w:val="FootnoteReference"/>
                <w:rFonts w:asciiTheme="majorBidi" w:eastAsiaTheme="minorEastAsia" w:hAnsiTheme="majorBidi" w:cstheme="majorBidi"/>
                <w:color w:val="000000" w:themeColor="text1"/>
                <w:kern w:val="2"/>
                <w:sz w:val="20"/>
                <w:szCs w:val="20"/>
                <w:lang w:val="fr-FR" w:eastAsia="zh-CN"/>
                <w14:ligatures w14:val="standardContextual"/>
              </w:rPr>
              <w:footnoteReference w:id="60"/>
            </w:r>
            <w:r w:rsidR="002F7724" w:rsidRPr="00EA71D3">
              <w:rPr>
                <w:rFonts w:asciiTheme="majorBidi" w:hAnsiTheme="majorBidi"/>
                <w:color w:val="000000" w:themeColor="text1"/>
                <w:sz w:val="22"/>
                <w:szCs w:val="22"/>
                <w:lang w:val="fr-FR"/>
              </w:rPr>
              <w:t xml:space="preserve"> afin de soutenir, d’une façon qui tient compte des questions de genre, l’intégration des interrelations entre la biodiversité et la santé. </w:t>
            </w:r>
          </w:p>
          <w:p w14:paraId="406462D4" w14:textId="04840F49" w:rsidR="002F7724" w:rsidRPr="00E932AE" w:rsidRDefault="002F7724" w:rsidP="004D47D0">
            <w:pPr>
              <w:spacing w:before="60" w:after="60"/>
              <w:jc w:val="left"/>
              <w:rPr>
                <w:rFonts w:asciiTheme="majorBidi" w:hAnsiTheme="majorBidi"/>
                <w:color w:val="000000" w:themeColor="text1"/>
                <w:sz w:val="22"/>
                <w:szCs w:val="22"/>
                <w:lang w:val="fr-FR" w:eastAsia="zh-CN"/>
              </w:rPr>
            </w:pPr>
            <w:r w:rsidRPr="00EA71D3">
              <w:rPr>
                <w:rFonts w:asciiTheme="majorBidi" w:hAnsiTheme="majorBidi"/>
                <w:color w:val="000000" w:themeColor="text1"/>
                <w:sz w:val="22"/>
                <w:szCs w:val="22"/>
                <w:lang w:val="fr-FR"/>
              </w:rPr>
              <w:t>[</w:t>
            </w:r>
            <w:r w:rsidR="000E6FDA" w:rsidRPr="00EA71D3">
              <w:rPr>
                <w:rFonts w:asciiTheme="majorBidi" w:hAnsiTheme="majorBidi"/>
                <w:color w:val="000000" w:themeColor="text1"/>
                <w:sz w:val="22"/>
                <w:szCs w:val="22"/>
                <w:lang w:val="fr-FR"/>
              </w:rPr>
              <w:t>8</w:t>
            </w:r>
            <w:r w:rsidRPr="00EA71D3">
              <w:rPr>
                <w:rFonts w:asciiTheme="majorBidi" w:hAnsiTheme="majorBidi"/>
                <w:color w:val="000000" w:themeColor="text1"/>
                <w:sz w:val="22"/>
                <w:szCs w:val="22"/>
                <w:lang w:val="fr-FR"/>
              </w:rPr>
              <w:t>. Communiquer sur les coûts pour la santé et les risques associés à l’inaction et la dégradation continue des écosystèmes et l’appauvrissement de la biodiversité.]</w:t>
            </w:r>
          </w:p>
        </w:tc>
      </w:tr>
    </w:tbl>
    <w:p w14:paraId="070EEC80" w14:textId="77777777" w:rsidR="00444212" w:rsidRPr="00EA71D3" w:rsidRDefault="00444212" w:rsidP="00444212">
      <w:pPr>
        <w:tabs>
          <w:tab w:val="left" w:pos="1380"/>
        </w:tabs>
        <w:spacing w:before="60" w:after="60" w:line="259" w:lineRule="auto"/>
        <w:jc w:val="left"/>
        <w:rPr>
          <w:sz w:val="18"/>
          <w:szCs w:val="18"/>
          <w:lang w:val="fr-FR"/>
        </w:rPr>
      </w:pPr>
      <w:r w:rsidRPr="00EA71D3">
        <w:rPr>
          <w:i/>
          <w:iCs/>
          <w:sz w:val="18"/>
          <w:szCs w:val="18"/>
          <w:vertAlign w:val="superscript"/>
          <w:lang w:val="fr-FR"/>
        </w:rPr>
        <w:lastRenderedPageBreak/>
        <w:t>a</w:t>
      </w:r>
      <w:r w:rsidRPr="00EA71D3">
        <w:rPr>
          <w:sz w:val="18"/>
          <w:szCs w:val="18"/>
          <w:lang w:val="fr-FR"/>
        </w:rPr>
        <w:t xml:space="preserve"> Pour voir le texte des cibles, consulter l’annexe de la décision </w:t>
      </w:r>
      <w:hyperlink r:id="rId33" w:history="1">
        <w:r w:rsidRPr="00EA71D3">
          <w:rPr>
            <w:rStyle w:val="Hyperlink"/>
            <w:sz w:val="18"/>
            <w:szCs w:val="18"/>
            <w:lang w:val="fr-FR"/>
          </w:rPr>
          <w:t>15/4</w:t>
        </w:r>
      </w:hyperlink>
      <w:r w:rsidRPr="00EA71D3">
        <w:rPr>
          <w:sz w:val="18"/>
          <w:szCs w:val="18"/>
          <w:lang w:val="fr-FR"/>
        </w:rPr>
        <w:t>, section H.</w:t>
      </w:r>
    </w:p>
    <w:p w14:paraId="62938D91" w14:textId="77777777" w:rsidR="00444212" w:rsidRPr="00EA71D3" w:rsidRDefault="00444212" w:rsidP="00444212">
      <w:pPr>
        <w:tabs>
          <w:tab w:val="left" w:pos="1380"/>
        </w:tabs>
        <w:spacing w:after="60" w:line="259" w:lineRule="auto"/>
        <w:jc w:val="left"/>
        <w:rPr>
          <w:sz w:val="18"/>
          <w:szCs w:val="18"/>
          <w:lang w:val="fr-FR"/>
        </w:rPr>
      </w:pPr>
      <w:r w:rsidRPr="00EA71D3">
        <w:rPr>
          <w:i/>
          <w:iCs/>
          <w:sz w:val="18"/>
          <w:szCs w:val="18"/>
          <w:vertAlign w:val="superscript"/>
          <w:lang w:val="fr-FR"/>
        </w:rPr>
        <w:t>b</w:t>
      </w:r>
      <w:r w:rsidRPr="00EA71D3">
        <w:rPr>
          <w:sz w:val="18"/>
          <w:szCs w:val="18"/>
          <w:lang w:val="fr-FR"/>
        </w:rPr>
        <w:t xml:space="preserve"> Voir CBD/SBSTTA/26/INF/3 pour obtenir des renseignements supplémentaires sur les interrelations entre la biodiversité et la santé.</w:t>
      </w:r>
    </w:p>
    <w:p w14:paraId="51AACDD0" w14:textId="77777777" w:rsidR="00444212" w:rsidRPr="00EA71D3" w:rsidRDefault="00444212" w:rsidP="00444212">
      <w:pPr>
        <w:tabs>
          <w:tab w:val="left" w:pos="1380"/>
        </w:tabs>
        <w:spacing w:after="60" w:line="259" w:lineRule="auto"/>
        <w:jc w:val="left"/>
        <w:rPr>
          <w:rFonts w:asciiTheme="majorBidi" w:hAnsiTheme="majorBidi" w:cstheme="majorBidi"/>
          <w:sz w:val="18"/>
          <w:szCs w:val="18"/>
          <w:lang w:val="fr-FR"/>
        </w:rPr>
      </w:pPr>
      <w:r w:rsidRPr="00EA71D3">
        <w:rPr>
          <w:rFonts w:asciiTheme="majorBidi" w:hAnsiTheme="majorBidi"/>
          <w:i/>
          <w:iCs/>
          <w:sz w:val="18"/>
          <w:szCs w:val="18"/>
          <w:vertAlign w:val="superscript"/>
          <w:lang w:val="fr-FR"/>
        </w:rPr>
        <w:t>c</w:t>
      </w:r>
      <w:r w:rsidRPr="00EA71D3">
        <w:rPr>
          <w:rFonts w:asciiTheme="majorBidi" w:hAnsiTheme="majorBidi"/>
          <w:sz w:val="18"/>
          <w:szCs w:val="18"/>
          <w:lang w:val="fr-FR"/>
        </w:rPr>
        <w:t xml:space="preserve"> Une espèce exotique envahissante est une espèce dont l’introduction ou la propagation menace la diversité biologique. Voir la décision </w:t>
      </w:r>
      <w:hyperlink r:id="rId34" w:history="1">
        <w:r w:rsidRPr="00EA71D3">
          <w:rPr>
            <w:rStyle w:val="Hyperlink"/>
            <w:rFonts w:asciiTheme="majorBidi" w:hAnsiTheme="majorBidi"/>
            <w:sz w:val="18"/>
            <w:szCs w:val="18"/>
            <w:lang w:val="fr-FR"/>
          </w:rPr>
          <w:t>VI/23</w:t>
        </w:r>
      </w:hyperlink>
      <w:r w:rsidRPr="00EA71D3">
        <w:rPr>
          <w:rFonts w:asciiTheme="majorBidi" w:hAnsiTheme="majorBidi"/>
          <w:sz w:val="18"/>
          <w:szCs w:val="18"/>
          <w:lang w:val="fr-FR"/>
        </w:rPr>
        <w:t xml:space="preserve"> pour plus de renseignements.</w:t>
      </w:r>
    </w:p>
    <w:p w14:paraId="20A6921C" w14:textId="77777777" w:rsidR="00444212" w:rsidRPr="00EA71D3" w:rsidRDefault="00444212" w:rsidP="00444212">
      <w:pPr>
        <w:tabs>
          <w:tab w:val="left" w:pos="1380"/>
        </w:tabs>
        <w:spacing w:after="60" w:line="259" w:lineRule="auto"/>
        <w:jc w:val="left"/>
        <w:rPr>
          <w:sz w:val="18"/>
          <w:szCs w:val="18"/>
          <w:lang w:val="fr-FR"/>
        </w:rPr>
      </w:pPr>
      <w:r w:rsidRPr="00EA71D3">
        <w:rPr>
          <w:rFonts w:asciiTheme="majorBidi" w:hAnsiTheme="majorBidi"/>
          <w:i/>
          <w:iCs/>
          <w:sz w:val="18"/>
          <w:szCs w:val="18"/>
          <w:vertAlign w:val="superscript"/>
          <w:lang w:val="fr-FR"/>
        </w:rPr>
        <w:lastRenderedPageBreak/>
        <w:t>d</w:t>
      </w:r>
      <w:r w:rsidRPr="00EA71D3">
        <w:rPr>
          <w:rFonts w:asciiTheme="majorBidi" w:hAnsiTheme="majorBidi"/>
          <w:sz w:val="18"/>
          <w:szCs w:val="18"/>
          <w:lang w:val="fr-FR"/>
        </w:rPr>
        <w:t xml:space="preserve"> </w:t>
      </w:r>
      <w:r w:rsidRPr="00EA71D3">
        <w:rPr>
          <w:sz w:val="18"/>
          <w:szCs w:val="18"/>
          <w:lang w:val="fr-FR"/>
        </w:rPr>
        <w:t>La biosurveillance humaine mesure directement la concentration de polluants ou de leurs métabolites dans les fluides humains (p. ex. : sang, urine, lait maternel et salive) et dans les tissus humains (p. ex. : cheveux, ongles et dents) (voir le document technique WHO/EURO:2023-7574-47341-69480</w:t>
      </w:r>
      <w:r w:rsidRPr="00EA71D3">
        <w:rPr>
          <w:i/>
          <w:iCs/>
          <w:sz w:val="18"/>
          <w:szCs w:val="18"/>
          <w:lang w:val="fr-FR"/>
        </w:rPr>
        <w:t>, Human biomonitoring: assessment of exposure to chemicals and their health risks – Summary for decision makers</w:t>
      </w:r>
      <w:r w:rsidRPr="00EA71D3">
        <w:rPr>
          <w:sz w:val="18"/>
          <w:szCs w:val="18"/>
          <w:lang w:val="fr-FR"/>
        </w:rPr>
        <w:t>, Organisation mondiale de la santé, Genève, 2023).</w:t>
      </w:r>
    </w:p>
    <w:p w14:paraId="31400514" w14:textId="77777777" w:rsidR="00444212" w:rsidRPr="00EA71D3" w:rsidRDefault="00444212" w:rsidP="00444212">
      <w:pPr>
        <w:tabs>
          <w:tab w:val="left" w:pos="1380"/>
        </w:tabs>
        <w:spacing w:after="60" w:line="259" w:lineRule="auto"/>
        <w:rPr>
          <w:sz w:val="18"/>
          <w:szCs w:val="18"/>
          <w:lang w:val="fr-FR"/>
        </w:rPr>
      </w:pPr>
      <w:r w:rsidRPr="00EA71D3">
        <w:rPr>
          <w:i/>
          <w:iCs/>
          <w:sz w:val="18"/>
          <w:szCs w:val="18"/>
          <w:vertAlign w:val="superscript"/>
          <w:lang w:val="fr-FR"/>
        </w:rPr>
        <w:t>e</w:t>
      </w:r>
      <w:r w:rsidRPr="00EA71D3">
        <w:rPr>
          <w:sz w:val="18"/>
          <w:szCs w:val="18"/>
          <w:lang w:val="fr-FR"/>
        </w:rPr>
        <w:t xml:space="preserve"> Les solutions basées sur la nature sont des gestes qui visent à protéger, conserver, rétablir, utiliser de façon durable et gérer les écosystèmes terrestres, d’eau douce, côtiers et marins naturels ou modifiés et qui permettent de relever les défis sociaux, économiques et environnementaux de façon efficace et adaptative, tout en fournissant simultanément des avantages sur les plans du bien-être humain, des services écosystémiques, de la résilience et de la diversité biologique (voir la résolution 5/5 de l’Assemblée des Nations Unies pour l’environnement),</w:t>
      </w:r>
    </w:p>
    <w:p w14:paraId="000F9FFE" w14:textId="77777777" w:rsidR="00444212" w:rsidRPr="00EA71D3" w:rsidRDefault="00444212" w:rsidP="00444212">
      <w:pPr>
        <w:tabs>
          <w:tab w:val="left" w:pos="1380"/>
        </w:tabs>
        <w:spacing w:after="60" w:line="259" w:lineRule="auto"/>
        <w:jc w:val="left"/>
        <w:rPr>
          <w:sz w:val="18"/>
          <w:szCs w:val="18"/>
          <w:lang w:val="fr-FR"/>
        </w:rPr>
      </w:pPr>
      <w:r w:rsidRPr="00EA71D3">
        <w:rPr>
          <w:i/>
          <w:iCs/>
          <w:sz w:val="18"/>
          <w:szCs w:val="18"/>
          <w:vertAlign w:val="superscript"/>
          <w:lang w:val="fr-FR"/>
        </w:rPr>
        <w:t>f</w:t>
      </w:r>
      <w:r w:rsidRPr="00EA71D3">
        <w:rPr>
          <w:sz w:val="18"/>
          <w:szCs w:val="18"/>
          <w:lang w:val="fr-FR"/>
        </w:rPr>
        <w:t xml:space="preserve"> On entend généralement par « information interopérable » l’information qui peut être utilisée dans divers secteurs et disciplines, en particulier celle destinée à une utilisation par les gouvernements dont les ressources humaines, financières et techniques sont restreintes, dans le but de régler séparément des problèmes concomitants.</w:t>
      </w:r>
    </w:p>
    <w:p w14:paraId="727990F0" w14:textId="57DA3A7F" w:rsidR="00444212" w:rsidRPr="00EA71D3" w:rsidRDefault="00444212" w:rsidP="00444212">
      <w:pPr>
        <w:tabs>
          <w:tab w:val="left" w:pos="1380"/>
        </w:tabs>
        <w:spacing w:after="60" w:line="259" w:lineRule="auto"/>
        <w:jc w:val="left"/>
        <w:rPr>
          <w:sz w:val="18"/>
          <w:szCs w:val="18"/>
          <w:lang w:val="fr-FR"/>
        </w:rPr>
      </w:pPr>
      <w:r w:rsidRPr="00EA71D3">
        <w:rPr>
          <w:i/>
          <w:iCs/>
          <w:sz w:val="18"/>
          <w:szCs w:val="18"/>
          <w:vertAlign w:val="superscript"/>
          <w:lang w:val="fr-FR"/>
        </w:rPr>
        <w:t>g</w:t>
      </w:r>
      <w:r w:rsidRPr="00EA71D3">
        <w:rPr>
          <w:sz w:val="18"/>
          <w:szCs w:val="18"/>
          <w:lang w:val="fr-FR"/>
        </w:rPr>
        <w:t xml:space="preserve"> Voir Eduardo S. Brondízio et collaborateurs, </w:t>
      </w:r>
      <w:r w:rsidR="006A480B" w:rsidRPr="00EA71D3">
        <w:rPr>
          <w:sz w:val="18"/>
          <w:szCs w:val="18"/>
          <w:lang w:val="fr-FR"/>
        </w:rPr>
        <w:t>réd.</w:t>
      </w:r>
      <w:r w:rsidRPr="00EA71D3">
        <w:rPr>
          <w:sz w:val="18"/>
          <w:szCs w:val="18"/>
          <w:lang w:val="fr-FR"/>
        </w:rPr>
        <w:t xml:space="preserve"> </w:t>
      </w:r>
      <w:r w:rsidRPr="00EA71D3">
        <w:rPr>
          <w:i/>
          <w:iCs/>
          <w:sz w:val="18"/>
          <w:szCs w:val="18"/>
          <w:lang w:val="fr-FR"/>
        </w:rPr>
        <w:t>The</w:t>
      </w:r>
      <w:r w:rsidRPr="00EA71D3">
        <w:rPr>
          <w:sz w:val="18"/>
          <w:szCs w:val="18"/>
          <w:lang w:val="fr-FR"/>
        </w:rPr>
        <w:t xml:space="preserve"> </w:t>
      </w:r>
      <w:r w:rsidRPr="00EA71D3">
        <w:rPr>
          <w:i/>
          <w:iCs/>
          <w:sz w:val="18"/>
          <w:szCs w:val="18"/>
          <w:lang w:val="fr-FR"/>
        </w:rPr>
        <w:t>Global Assessment Report on Biodiversity and Ecosystem Services</w:t>
      </w:r>
      <w:r w:rsidRPr="00EA71D3">
        <w:rPr>
          <w:sz w:val="18"/>
          <w:szCs w:val="18"/>
          <w:lang w:val="fr-FR"/>
        </w:rPr>
        <w:t>, Bonn (Allemagne), Plateforme intergouvernementale scientifique et politique sur la biodiversité et les services écosystémiques, 2019), tableau 231, p. 318.</w:t>
      </w:r>
    </w:p>
    <w:p w14:paraId="044F7768" w14:textId="3CBA33D6" w:rsidR="00D826EC" w:rsidRPr="00EA71D3" w:rsidRDefault="00444212" w:rsidP="00444212">
      <w:pPr>
        <w:tabs>
          <w:tab w:val="left" w:pos="1380"/>
        </w:tabs>
        <w:spacing w:after="160" w:line="259" w:lineRule="auto"/>
        <w:jc w:val="left"/>
        <w:rPr>
          <w:rFonts w:eastAsiaTheme="minorEastAsia"/>
          <w:i/>
          <w:iCs/>
          <w:kern w:val="2"/>
          <w:sz w:val="18"/>
          <w:szCs w:val="18"/>
          <w:lang w:val="fr-FR"/>
          <w14:ligatures w14:val="standardContextual"/>
        </w:rPr>
      </w:pPr>
      <w:r w:rsidRPr="00EA71D3">
        <w:rPr>
          <w:i/>
          <w:iCs/>
          <w:sz w:val="18"/>
          <w:szCs w:val="18"/>
          <w:vertAlign w:val="superscript"/>
          <w:lang w:val="fr-FR"/>
        </w:rPr>
        <w:t>h</w:t>
      </w:r>
      <w:r w:rsidRPr="00EA71D3">
        <w:rPr>
          <w:sz w:val="18"/>
          <w:szCs w:val="18"/>
          <w:lang w:val="fr-FR"/>
        </w:rPr>
        <w:t xml:space="preserve"> </w:t>
      </w:r>
      <w:r w:rsidRPr="00EA71D3">
        <w:rPr>
          <w:rFonts w:asciiTheme="majorBidi" w:hAnsiTheme="majorBidi"/>
          <w:sz w:val="18"/>
          <w:szCs w:val="18"/>
          <w:lang w:val="fr-FR"/>
        </w:rPr>
        <w:t>Facteurs et normes environnementaux, sociaux et de gouvernance à des fins d’investissement commercial durable.</w:t>
      </w:r>
    </w:p>
    <w:p w14:paraId="77A495F0" w14:textId="77777777" w:rsidR="00CF32FF" w:rsidRPr="00EA71D3" w:rsidRDefault="00CF32FF" w:rsidP="004C2B61">
      <w:pPr>
        <w:pStyle w:val="Annex"/>
        <w:rPr>
          <w:lang w:val="fr-FR" w:eastAsia="zh-CN"/>
        </w:rPr>
      </w:pPr>
    </w:p>
    <w:p w14:paraId="00190B22" w14:textId="77777777" w:rsidR="00D91A8D" w:rsidRPr="00EA71D3" w:rsidRDefault="00D91A8D">
      <w:pPr>
        <w:pStyle w:val="Annex"/>
        <w:rPr>
          <w:lang w:val="fr-FR" w:eastAsia="zh-CN"/>
        </w:rPr>
        <w:sectPr w:rsidR="00D91A8D" w:rsidRPr="00EA71D3" w:rsidSect="0021303A">
          <w:pgSz w:w="15840" w:h="12240" w:orient="landscape"/>
          <w:pgMar w:top="1440" w:right="1134" w:bottom="1440" w:left="1134" w:header="709" w:footer="709" w:gutter="0"/>
          <w:cols w:space="708"/>
          <w:docGrid w:linePitch="360"/>
        </w:sectPr>
      </w:pPr>
    </w:p>
    <w:bookmarkEnd w:id="1"/>
    <w:p w14:paraId="305880C3" w14:textId="7490868B" w:rsidR="00D37A7E" w:rsidRPr="00EA71D3" w:rsidRDefault="00B90351" w:rsidP="00D37A7E">
      <w:pPr>
        <w:pStyle w:val="Annex"/>
        <w:rPr>
          <w:lang w:val="fr-FR"/>
        </w:rPr>
      </w:pPr>
      <w:r w:rsidRPr="00EA71D3">
        <w:rPr>
          <w:lang w:val="fr-FR"/>
        </w:rPr>
        <w:lastRenderedPageBreak/>
        <w:t>[</w:t>
      </w:r>
      <w:r w:rsidR="00D37A7E" w:rsidRPr="00EA71D3">
        <w:rPr>
          <w:lang w:val="fr-FR"/>
        </w:rPr>
        <w:t>Annexe II</w:t>
      </w:r>
    </w:p>
    <w:p w14:paraId="4E508438" w14:textId="77777777" w:rsidR="00D37A7E" w:rsidRPr="00EA71D3" w:rsidRDefault="00D37A7E" w:rsidP="00D37A7E">
      <w:pPr>
        <w:pStyle w:val="Title"/>
        <w:spacing w:before="120" w:after="120"/>
        <w:jc w:val="left"/>
        <w:rPr>
          <w:rFonts w:hint="eastAsia"/>
          <w:b w:val="0"/>
          <w:bCs w:val="0"/>
          <w:lang w:val="fr-FR"/>
        </w:rPr>
      </w:pPr>
      <w:r w:rsidRPr="00EA71D3">
        <w:rPr>
          <w:lang w:val="fr-FR"/>
        </w:rPr>
        <w:t>Éléments de suivi du Plan d’action mondial sur la biodiversité et la santé</w:t>
      </w:r>
    </w:p>
    <w:p w14:paraId="01ED27D9" w14:textId="77777777" w:rsidR="00D37A7E" w:rsidRPr="00EA71D3" w:rsidRDefault="00D37A7E" w:rsidP="00D37A7E">
      <w:pPr>
        <w:pStyle w:val="CBD-Para1-Not-numbered"/>
        <w:ind w:firstLine="567"/>
        <w:rPr>
          <w:lang w:val="fr-FR"/>
        </w:rPr>
      </w:pPr>
      <w:r w:rsidRPr="00EA71D3">
        <w:rPr>
          <w:lang w:val="fr-FR"/>
        </w:rPr>
        <w:t>Le suivi de la mise en œuvre du Plan d’action mondial sur la biodiversité et la santé peut être étayé par des indicateurs provenant du cadre de suivi du Cadre mondial de la biodiversité de Kunming-Montréal</w:t>
      </w:r>
      <w:r w:rsidRPr="00EA71D3">
        <w:rPr>
          <w:rStyle w:val="FootnoteReference"/>
          <w:rFonts w:eastAsiaTheme="minorEastAsia"/>
          <w:lang w:val="fr-FR" w:eastAsia="zh-CN"/>
        </w:rPr>
        <w:footnoteReference w:id="61"/>
      </w:r>
      <w:r w:rsidRPr="00EA71D3">
        <w:rPr>
          <w:lang w:val="fr-FR"/>
        </w:rPr>
        <w:t xml:space="preserve"> et par les autres éléments de surveillance énumérés ci-dessous :</w:t>
      </w:r>
    </w:p>
    <w:p w14:paraId="021E5899" w14:textId="77777777" w:rsidR="00D37A7E" w:rsidRPr="00EA71D3" w:rsidRDefault="00D37A7E" w:rsidP="00D37A7E">
      <w:pPr>
        <w:numPr>
          <w:ilvl w:val="1"/>
          <w:numId w:val="24"/>
        </w:numPr>
        <w:tabs>
          <w:tab w:val="left" w:pos="1701"/>
        </w:tabs>
        <w:spacing w:after="120"/>
        <w:ind w:left="567" w:firstLine="544"/>
        <w:rPr>
          <w:rFonts w:asciiTheme="majorBidi" w:hAnsiTheme="majorBidi" w:cstheme="majorBidi"/>
          <w:kern w:val="2"/>
          <w:lang w:val="fr-FR"/>
          <w14:ligatures w14:val="standardContextual"/>
        </w:rPr>
      </w:pPr>
      <w:r w:rsidRPr="00EA71D3">
        <w:rPr>
          <w:rFonts w:asciiTheme="majorBidi" w:hAnsiTheme="majorBidi"/>
          <w:lang w:val="fr-FR"/>
        </w:rPr>
        <w:t>La charge environnementale de morbidité par année (en pourcentage) est utilisée comme mesure dans les rapports gouvernementaux à l’échelle nationale ;</w:t>
      </w:r>
    </w:p>
    <w:p w14:paraId="613991DE" w14:textId="77777777" w:rsidR="00D37A7E" w:rsidRPr="00EA71D3" w:rsidRDefault="00D37A7E" w:rsidP="00D37A7E">
      <w:pPr>
        <w:numPr>
          <w:ilvl w:val="1"/>
          <w:numId w:val="24"/>
        </w:numPr>
        <w:tabs>
          <w:tab w:val="left" w:pos="1701"/>
        </w:tabs>
        <w:spacing w:after="120"/>
        <w:ind w:left="567" w:firstLine="544"/>
        <w:rPr>
          <w:rFonts w:asciiTheme="majorBidi" w:eastAsiaTheme="minorEastAsia" w:hAnsiTheme="majorBidi" w:cstheme="majorBidi"/>
          <w:kern w:val="2"/>
          <w:lang w:val="fr-FR"/>
          <w14:ligatures w14:val="standardContextual"/>
        </w:rPr>
      </w:pPr>
      <w:r w:rsidRPr="00EA71D3">
        <w:rPr>
          <w:rFonts w:asciiTheme="majorBidi" w:hAnsiTheme="majorBidi"/>
          <w:lang w:val="fr-FR"/>
        </w:rPr>
        <w:t>Les interrelations entre la biodiversité et la santé sont prises en compte dans les politiques et stratégies sectorielles et à titre d’éléments formant les déterminants environnementaux de la santé ;</w:t>
      </w:r>
    </w:p>
    <w:p w14:paraId="789DC988" w14:textId="77777777" w:rsidR="00D37A7E" w:rsidRPr="00EA71D3" w:rsidRDefault="00D37A7E" w:rsidP="00D37A7E">
      <w:pPr>
        <w:numPr>
          <w:ilvl w:val="1"/>
          <w:numId w:val="24"/>
        </w:numPr>
        <w:tabs>
          <w:tab w:val="left" w:pos="1701"/>
        </w:tabs>
        <w:spacing w:after="120"/>
        <w:ind w:left="567" w:firstLine="544"/>
        <w:rPr>
          <w:rFonts w:asciiTheme="majorBidi" w:hAnsiTheme="majorBidi" w:cstheme="majorBidi"/>
          <w:kern w:val="2"/>
          <w:lang w:val="fr-FR"/>
          <w14:ligatures w14:val="standardContextual"/>
        </w:rPr>
      </w:pPr>
      <w:r w:rsidRPr="00EA71D3">
        <w:rPr>
          <w:rFonts w:asciiTheme="majorBidi" w:hAnsiTheme="majorBidi"/>
          <w:lang w:val="fr-FR"/>
        </w:rPr>
        <w:t>L’équité intergénérationnelle, les rôles différenciés et les impacts sur les femmes et les hommes et la relation interdépendante unique des peuples autochtones et des communautés locales avec la nature sont pris en compte dans les politiques, stratégies et programmes nationaux qui portent sur les interrelations entre la biodiversité et la santé ;</w:t>
      </w:r>
    </w:p>
    <w:p w14:paraId="58496170" w14:textId="77777777" w:rsidR="00D37A7E" w:rsidRPr="00EA71D3" w:rsidRDefault="00D37A7E" w:rsidP="00D37A7E">
      <w:pPr>
        <w:numPr>
          <w:ilvl w:val="1"/>
          <w:numId w:val="24"/>
        </w:numPr>
        <w:tabs>
          <w:tab w:val="left" w:pos="1701"/>
        </w:tabs>
        <w:spacing w:after="120"/>
        <w:ind w:left="567" w:firstLine="544"/>
        <w:rPr>
          <w:rFonts w:asciiTheme="majorBidi" w:hAnsiTheme="majorBidi" w:cstheme="majorBidi"/>
          <w:kern w:val="2"/>
          <w:lang w:val="fr-FR"/>
          <w14:ligatures w14:val="standardContextual"/>
        </w:rPr>
      </w:pPr>
      <w:r w:rsidRPr="00EA71D3">
        <w:rPr>
          <w:rFonts w:asciiTheme="majorBidi" w:hAnsiTheme="majorBidi"/>
          <w:lang w:val="fr-FR"/>
        </w:rPr>
        <w:t>Des mécanismes de coordination multisectoriels et multidisciplinaires sont en place à l’échelle nationale pour traiter les interrelations entre la biodiversité et la santé ;</w:t>
      </w:r>
    </w:p>
    <w:p w14:paraId="122BE96C" w14:textId="77777777" w:rsidR="00D37A7E" w:rsidRPr="00EA71D3" w:rsidRDefault="00D37A7E" w:rsidP="00D37A7E">
      <w:pPr>
        <w:numPr>
          <w:ilvl w:val="1"/>
          <w:numId w:val="24"/>
        </w:numPr>
        <w:tabs>
          <w:tab w:val="left" w:pos="1701"/>
        </w:tabs>
        <w:spacing w:after="120"/>
        <w:ind w:left="567" w:firstLine="544"/>
        <w:rPr>
          <w:rFonts w:asciiTheme="majorBidi" w:hAnsiTheme="majorBidi" w:cstheme="majorBidi"/>
          <w:kern w:val="2"/>
          <w:lang w:val="fr-FR"/>
          <w14:ligatures w14:val="standardContextual"/>
        </w:rPr>
      </w:pPr>
      <w:r w:rsidRPr="00EA71D3">
        <w:rPr>
          <w:rFonts w:asciiTheme="majorBidi" w:hAnsiTheme="majorBidi"/>
          <w:lang w:val="fr-FR"/>
        </w:rPr>
        <w:t>Des correspondants nationaux responsables des interrelations entre la biodiversité et la santé ont été nommés ;</w:t>
      </w:r>
    </w:p>
    <w:p w14:paraId="39A67EA5" w14:textId="77777777" w:rsidR="00D37A7E" w:rsidRPr="00EA71D3" w:rsidRDefault="00D37A7E" w:rsidP="00D37A7E">
      <w:pPr>
        <w:numPr>
          <w:ilvl w:val="1"/>
          <w:numId w:val="24"/>
        </w:numPr>
        <w:tabs>
          <w:tab w:val="left" w:pos="1701"/>
        </w:tabs>
        <w:spacing w:after="120"/>
        <w:ind w:left="567" w:firstLine="544"/>
        <w:rPr>
          <w:rFonts w:asciiTheme="majorBidi" w:hAnsiTheme="majorBidi" w:cstheme="majorBidi"/>
          <w:kern w:val="2"/>
          <w:lang w:val="fr-FR"/>
          <w14:ligatures w14:val="standardContextual"/>
        </w:rPr>
      </w:pPr>
      <w:r w:rsidRPr="00EA71D3">
        <w:rPr>
          <w:rFonts w:asciiTheme="majorBidi" w:hAnsiTheme="majorBidi"/>
          <w:lang w:val="fr-FR"/>
        </w:rPr>
        <w:t xml:space="preserve">Les mécanismes de coordination nationaux qui portent sur les interrelations entre la biodiversité et la santé intègrent divers systèmes de connaissances et perspectives mondiales ; </w:t>
      </w:r>
    </w:p>
    <w:p w14:paraId="43555270" w14:textId="77777777" w:rsidR="00D37A7E" w:rsidRPr="00EA71D3" w:rsidRDefault="00D37A7E" w:rsidP="00D37A7E">
      <w:pPr>
        <w:numPr>
          <w:ilvl w:val="1"/>
          <w:numId w:val="24"/>
        </w:numPr>
        <w:tabs>
          <w:tab w:val="left" w:pos="1701"/>
        </w:tabs>
        <w:spacing w:after="120"/>
        <w:ind w:left="567" w:right="-20" w:firstLine="544"/>
        <w:rPr>
          <w:rFonts w:asciiTheme="majorBidi" w:hAnsiTheme="majorBidi" w:cstheme="majorBidi"/>
          <w:kern w:val="2"/>
          <w:lang w:val="fr-FR"/>
          <w14:ligatures w14:val="standardContextual"/>
        </w:rPr>
      </w:pPr>
      <w:r w:rsidRPr="00EA71D3">
        <w:rPr>
          <w:rFonts w:asciiTheme="majorBidi" w:hAnsiTheme="majorBidi"/>
          <w:lang w:val="fr-FR"/>
        </w:rPr>
        <w:t xml:space="preserve">Les interrelations entre la biodiversité et la santé sont incluses dans les stratégies nationales en matière de santé ; </w:t>
      </w:r>
    </w:p>
    <w:p w14:paraId="3B486C01" w14:textId="77777777" w:rsidR="00D37A7E" w:rsidRPr="00EA71D3" w:rsidRDefault="00D37A7E" w:rsidP="00D37A7E">
      <w:pPr>
        <w:numPr>
          <w:ilvl w:val="1"/>
          <w:numId w:val="24"/>
        </w:numPr>
        <w:tabs>
          <w:tab w:val="left" w:pos="1701"/>
        </w:tabs>
        <w:spacing w:after="120"/>
        <w:ind w:left="567" w:right="-20" w:firstLine="544"/>
        <w:rPr>
          <w:rFonts w:asciiTheme="majorBidi" w:hAnsiTheme="majorBidi" w:cstheme="majorBidi"/>
          <w:kern w:val="2"/>
          <w:lang w:val="fr-FR"/>
          <w14:ligatures w14:val="standardContextual"/>
        </w:rPr>
      </w:pPr>
      <w:r w:rsidRPr="00EA71D3">
        <w:rPr>
          <w:rFonts w:asciiTheme="majorBidi" w:hAnsiTheme="majorBidi"/>
          <w:lang w:val="fr-FR"/>
        </w:rPr>
        <w:t>Les interrelations entre la biodiversité et la santé sont incluses dans les stratégies et plans d’action nationaux en matière de biodiversité ;</w:t>
      </w:r>
    </w:p>
    <w:p w14:paraId="6464299E" w14:textId="77777777" w:rsidR="00D37A7E" w:rsidRPr="00EA71D3" w:rsidRDefault="00D37A7E" w:rsidP="00D37A7E">
      <w:pPr>
        <w:numPr>
          <w:ilvl w:val="1"/>
          <w:numId w:val="24"/>
        </w:numPr>
        <w:tabs>
          <w:tab w:val="left" w:pos="1701"/>
        </w:tabs>
        <w:spacing w:after="120"/>
        <w:ind w:left="567" w:firstLine="544"/>
        <w:rPr>
          <w:rFonts w:asciiTheme="majorBidi" w:hAnsiTheme="majorBidi" w:cstheme="majorBidi"/>
          <w:kern w:val="2"/>
          <w:lang w:val="fr-FR"/>
          <w14:ligatures w14:val="standardContextual"/>
        </w:rPr>
      </w:pPr>
      <w:r w:rsidRPr="00EA71D3">
        <w:rPr>
          <w:lang w:val="fr-FR"/>
        </w:rPr>
        <w:t>Les projets de l’initiative « Une seule santé » tiennent compte des interrelations entre la biodiversité et la santé ;</w:t>
      </w:r>
    </w:p>
    <w:p w14:paraId="719D88A2" w14:textId="1F7CC5D1" w:rsidR="00D37A7E" w:rsidRPr="00EA71D3" w:rsidRDefault="00D37A7E" w:rsidP="00D37A7E">
      <w:pPr>
        <w:numPr>
          <w:ilvl w:val="1"/>
          <w:numId w:val="24"/>
        </w:numPr>
        <w:tabs>
          <w:tab w:val="left" w:pos="1701"/>
        </w:tabs>
        <w:spacing w:after="120"/>
        <w:ind w:left="567" w:right="-20" w:firstLine="544"/>
        <w:rPr>
          <w:rFonts w:asciiTheme="majorBidi" w:hAnsiTheme="majorBidi" w:cstheme="majorBidi"/>
          <w:kern w:val="2"/>
          <w:lang w:val="fr-FR"/>
          <w14:ligatures w14:val="standardContextual"/>
        </w:rPr>
      </w:pPr>
      <w:r w:rsidRPr="00EA71D3">
        <w:rPr>
          <w:rFonts w:asciiTheme="majorBidi" w:hAnsiTheme="majorBidi"/>
          <w:lang w:val="fr-FR"/>
        </w:rPr>
        <w:t xml:space="preserve">Le nombre de mesures visant la conservation et l’utilisation durable de la biodiversité </w:t>
      </w:r>
      <w:r w:rsidR="000E6FDA" w:rsidRPr="00EA71D3">
        <w:rPr>
          <w:rFonts w:asciiTheme="majorBidi" w:hAnsiTheme="majorBidi"/>
          <w:lang w:val="fr-FR"/>
        </w:rPr>
        <w:t xml:space="preserve">prises afin d’appuyer </w:t>
      </w:r>
      <w:r w:rsidRPr="00EA71D3">
        <w:rPr>
          <w:rFonts w:asciiTheme="majorBidi" w:hAnsiTheme="majorBidi"/>
          <w:lang w:val="fr-FR"/>
        </w:rPr>
        <w:t xml:space="preserve">la prévention et la réduction des risques de maladies transmissibles et non transmissibles ; </w:t>
      </w:r>
    </w:p>
    <w:p w14:paraId="438FA0D1" w14:textId="77777777" w:rsidR="00D37A7E" w:rsidRPr="00EA71D3" w:rsidRDefault="00D37A7E" w:rsidP="00D37A7E">
      <w:pPr>
        <w:numPr>
          <w:ilvl w:val="1"/>
          <w:numId w:val="24"/>
        </w:numPr>
        <w:tabs>
          <w:tab w:val="left" w:pos="1701"/>
        </w:tabs>
        <w:spacing w:after="120"/>
        <w:ind w:left="567" w:firstLine="544"/>
        <w:rPr>
          <w:rFonts w:asciiTheme="majorBidi" w:hAnsiTheme="majorBidi" w:cstheme="majorBidi"/>
          <w:kern w:val="2"/>
          <w:lang w:val="fr-FR"/>
          <w14:ligatures w14:val="standardContextual"/>
        </w:rPr>
      </w:pPr>
      <w:r w:rsidRPr="00EA71D3">
        <w:rPr>
          <w:rFonts w:asciiTheme="majorBidi" w:hAnsiTheme="majorBidi"/>
          <w:lang w:val="fr-FR"/>
        </w:rPr>
        <w:t xml:space="preserve">Les alertes liées aux maladies sont détectées et signalées au moyen de systèmes de surveillance intersectoriels interopérables ; </w:t>
      </w:r>
    </w:p>
    <w:p w14:paraId="78195667" w14:textId="77777777" w:rsidR="00D37A7E" w:rsidRPr="00EA71D3" w:rsidRDefault="00D37A7E" w:rsidP="00D37A7E">
      <w:pPr>
        <w:numPr>
          <w:ilvl w:val="1"/>
          <w:numId w:val="24"/>
        </w:numPr>
        <w:tabs>
          <w:tab w:val="left" w:pos="1701"/>
        </w:tabs>
        <w:spacing w:after="120"/>
        <w:ind w:left="567" w:firstLine="544"/>
        <w:rPr>
          <w:rFonts w:asciiTheme="majorBidi" w:hAnsiTheme="majorBidi" w:cstheme="majorBidi"/>
          <w:kern w:val="2"/>
          <w:lang w:val="fr-FR"/>
          <w14:ligatures w14:val="standardContextual"/>
        </w:rPr>
      </w:pPr>
      <w:r w:rsidRPr="00EA71D3">
        <w:rPr>
          <w:rFonts w:asciiTheme="majorBidi" w:hAnsiTheme="majorBidi"/>
          <w:lang w:val="fr-FR"/>
        </w:rPr>
        <w:t>Les évaluations d’impact environnemental intègrent les interrelations entre la biodiversité et la santé ;</w:t>
      </w:r>
    </w:p>
    <w:p w14:paraId="7F149D82" w14:textId="77777777" w:rsidR="00D37A7E" w:rsidRPr="00EA71D3" w:rsidRDefault="00D37A7E" w:rsidP="00D37A7E">
      <w:pPr>
        <w:numPr>
          <w:ilvl w:val="1"/>
          <w:numId w:val="24"/>
        </w:numPr>
        <w:tabs>
          <w:tab w:val="left" w:pos="1701"/>
        </w:tabs>
        <w:spacing w:after="120"/>
        <w:ind w:left="567" w:firstLine="544"/>
        <w:rPr>
          <w:rFonts w:asciiTheme="majorBidi" w:hAnsiTheme="majorBidi" w:cstheme="majorBidi"/>
          <w:kern w:val="2"/>
          <w:lang w:val="fr-FR"/>
          <w14:ligatures w14:val="standardContextual"/>
        </w:rPr>
      </w:pPr>
      <w:r w:rsidRPr="00EA71D3">
        <w:rPr>
          <w:rFonts w:asciiTheme="majorBidi" w:hAnsiTheme="majorBidi"/>
          <w:lang w:val="fr-FR"/>
        </w:rPr>
        <w:t>Des documents et outils de communication adaptés au contexte national sont à disposition pour favoriser la compréhension des interrelations entre la biodiversité et la santé et faciliter la mobilisation d’une vaste gamme de parties prenantes dans tous les secteurs ;</w:t>
      </w:r>
    </w:p>
    <w:p w14:paraId="54EB7A3D" w14:textId="77777777" w:rsidR="00D37A7E" w:rsidRPr="00EA71D3" w:rsidRDefault="00D37A7E" w:rsidP="00D37A7E">
      <w:pPr>
        <w:numPr>
          <w:ilvl w:val="1"/>
          <w:numId w:val="24"/>
        </w:numPr>
        <w:tabs>
          <w:tab w:val="left" w:pos="1701"/>
        </w:tabs>
        <w:spacing w:after="120"/>
        <w:ind w:left="567" w:right="-20" w:firstLine="544"/>
        <w:rPr>
          <w:rFonts w:asciiTheme="majorBidi" w:hAnsiTheme="majorBidi" w:cstheme="majorBidi"/>
          <w:kern w:val="2"/>
          <w:lang w:val="fr-FR"/>
          <w14:ligatures w14:val="standardContextual"/>
        </w:rPr>
      </w:pPr>
      <w:r w:rsidRPr="00EA71D3">
        <w:rPr>
          <w:rFonts w:asciiTheme="majorBidi" w:hAnsiTheme="majorBidi"/>
          <w:lang w:val="fr-FR"/>
        </w:rPr>
        <w:t xml:space="preserve">Des programmes d’éducation et de formation sur les interrelations entre la biodiversité et la santé sont inclus dans les stratégies et programmes ; </w:t>
      </w:r>
    </w:p>
    <w:p w14:paraId="68BD534B" w14:textId="77777777" w:rsidR="00D37A7E" w:rsidRPr="00EA71D3" w:rsidRDefault="00D37A7E" w:rsidP="00D37A7E">
      <w:pPr>
        <w:numPr>
          <w:ilvl w:val="1"/>
          <w:numId w:val="24"/>
        </w:numPr>
        <w:tabs>
          <w:tab w:val="left" w:pos="1701"/>
        </w:tabs>
        <w:spacing w:after="120"/>
        <w:ind w:left="567" w:firstLine="544"/>
        <w:rPr>
          <w:rFonts w:asciiTheme="majorBidi" w:hAnsiTheme="majorBidi" w:cstheme="majorBidi"/>
          <w:kern w:val="2"/>
          <w:lang w:val="fr-FR"/>
          <w14:ligatures w14:val="standardContextual"/>
        </w:rPr>
      </w:pPr>
      <w:r w:rsidRPr="00EA71D3">
        <w:rPr>
          <w:rFonts w:asciiTheme="majorBidi" w:hAnsiTheme="majorBidi"/>
          <w:lang w:val="fr-FR"/>
        </w:rPr>
        <w:t xml:space="preserve">Un financement est accordé à la recherche transdisciplinaire sur les interrelations entre la biodiversité et la santé ; </w:t>
      </w:r>
    </w:p>
    <w:p w14:paraId="42315BFB" w14:textId="77777777" w:rsidR="00D37A7E" w:rsidRPr="00EA71D3" w:rsidRDefault="00D37A7E" w:rsidP="00D37A7E">
      <w:pPr>
        <w:numPr>
          <w:ilvl w:val="1"/>
          <w:numId w:val="24"/>
        </w:numPr>
        <w:tabs>
          <w:tab w:val="left" w:pos="1701"/>
        </w:tabs>
        <w:spacing w:after="120"/>
        <w:ind w:left="567" w:right="-20" w:firstLine="544"/>
        <w:rPr>
          <w:rFonts w:asciiTheme="majorBidi" w:hAnsiTheme="majorBidi" w:cstheme="majorBidi"/>
          <w:kern w:val="2"/>
          <w:lang w:val="fr-FR"/>
          <w14:ligatures w14:val="standardContextual"/>
        </w:rPr>
      </w:pPr>
      <w:r w:rsidRPr="00EA71D3">
        <w:rPr>
          <w:rFonts w:asciiTheme="majorBidi" w:hAnsiTheme="majorBidi"/>
          <w:lang w:val="fr-FR"/>
        </w:rPr>
        <w:lastRenderedPageBreak/>
        <w:t>Un financement est accordé à aux plateformes et espaces de partage des connaissances sur les interrelations entre la biodiversité et la santé ;</w:t>
      </w:r>
    </w:p>
    <w:p w14:paraId="7AA2900F" w14:textId="31640F95" w:rsidR="00D37A7E" w:rsidRPr="00EA71D3" w:rsidRDefault="000E6FDA" w:rsidP="00D37A7E">
      <w:pPr>
        <w:numPr>
          <w:ilvl w:val="1"/>
          <w:numId w:val="24"/>
        </w:numPr>
        <w:tabs>
          <w:tab w:val="left" w:pos="1701"/>
        </w:tabs>
        <w:spacing w:after="120"/>
        <w:ind w:left="567" w:right="-20" w:firstLine="544"/>
        <w:rPr>
          <w:rFonts w:asciiTheme="majorBidi" w:hAnsiTheme="majorBidi" w:cstheme="majorBidi"/>
          <w:kern w:val="2"/>
          <w:lang w:val="fr-FR"/>
          <w14:ligatures w14:val="standardContextual"/>
        </w:rPr>
      </w:pPr>
      <w:r w:rsidRPr="00EA71D3">
        <w:rPr>
          <w:rFonts w:asciiTheme="majorBidi" w:hAnsiTheme="majorBidi"/>
          <w:lang w:val="fr-FR"/>
        </w:rPr>
        <w:t>L</w:t>
      </w:r>
      <w:r w:rsidR="00D37A7E" w:rsidRPr="00EA71D3">
        <w:rPr>
          <w:rFonts w:asciiTheme="majorBidi" w:hAnsiTheme="majorBidi"/>
          <w:lang w:val="fr-FR"/>
        </w:rPr>
        <w:t xml:space="preserve">es pays en développement </w:t>
      </w:r>
      <w:r w:rsidRPr="00EA71D3">
        <w:rPr>
          <w:rFonts w:asciiTheme="majorBidi" w:hAnsiTheme="majorBidi"/>
          <w:lang w:val="fr-FR"/>
        </w:rPr>
        <w:t xml:space="preserve">participent efficacement </w:t>
      </w:r>
      <w:r w:rsidR="00D37A7E" w:rsidRPr="00EA71D3">
        <w:rPr>
          <w:rFonts w:asciiTheme="majorBidi" w:hAnsiTheme="majorBidi"/>
          <w:lang w:val="fr-FR"/>
        </w:rPr>
        <w:t>à la recherche biotechnologique liée à la santé ;</w:t>
      </w:r>
    </w:p>
    <w:p w14:paraId="497D9486" w14:textId="7A51AD20" w:rsidR="00D37A7E" w:rsidRPr="00EA71D3" w:rsidRDefault="000E6FDA" w:rsidP="00D37A7E">
      <w:pPr>
        <w:numPr>
          <w:ilvl w:val="1"/>
          <w:numId w:val="24"/>
        </w:numPr>
        <w:tabs>
          <w:tab w:val="left" w:pos="1701"/>
        </w:tabs>
        <w:spacing w:after="120"/>
        <w:ind w:left="567" w:right="-20" w:firstLine="544"/>
        <w:rPr>
          <w:rFonts w:asciiTheme="majorBidi" w:hAnsiTheme="majorBidi" w:cstheme="majorBidi"/>
          <w:kern w:val="2"/>
          <w:lang w:val="fr-FR"/>
          <w14:ligatures w14:val="standardContextual"/>
        </w:rPr>
      </w:pPr>
      <w:r w:rsidRPr="00EA71D3">
        <w:rPr>
          <w:rFonts w:asciiTheme="majorBidi" w:hAnsiTheme="majorBidi"/>
          <w:lang w:val="fr-FR"/>
        </w:rPr>
        <w:t>Des</w:t>
      </w:r>
      <w:r w:rsidR="00D37A7E" w:rsidRPr="00EA71D3">
        <w:rPr>
          <w:rFonts w:asciiTheme="majorBidi" w:hAnsiTheme="majorBidi"/>
          <w:lang w:val="fr-FR"/>
        </w:rPr>
        <w:t xml:space="preserve"> </w:t>
      </w:r>
      <w:r w:rsidRPr="00EA71D3">
        <w:rPr>
          <w:rFonts w:asciiTheme="majorBidi" w:hAnsiTheme="majorBidi"/>
          <w:lang w:val="fr-FR"/>
        </w:rPr>
        <w:t>moyens</w:t>
      </w:r>
      <w:r w:rsidR="00D37A7E" w:rsidRPr="00EA71D3">
        <w:rPr>
          <w:rFonts w:asciiTheme="majorBidi" w:hAnsiTheme="majorBidi"/>
          <w:lang w:val="fr-FR"/>
        </w:rPr>
        <w:t xml:space="preserve"> de mise en œuvre </w:t>
      </w:r>
      <w:r w:rsidRPr="00EA71D3">
        <w:rPr>
          <w:rFonts w:asciiTheme="majorBidi" w:hAnsiTheme="majorBidi"/>
          <w:lang w:val="fr-FR"/>
        </w:rPr>
        <w:t>sont fournis</w:t>
      </w:r>
      <w:r w:rsidR="00D37A7E" w:rsidRPr="00EA71D3">
        <w:rPr>
          <w:rFonts w:asciiTheme="majorBidi" w:hAnsiTheme="majorBidi"/>
          <w:lang w:val="fr-FR"/>
        </w:rPr>
        <w:t xml:space="preserve"> par les pays développés aux pays en développement en appui à l’intégration de la biodiversité et de la santé aux instruments de politique et de planification en lien avec la biodiversité et la santé ;</w:t>
      </w:r>
    </w:p>
    <w:p w14:paraId="71B7A2EE" w14:textId="77777777" w:rsidR="00D37A7E" w:rsidRPr="00EA71D3" w:rsidRDefault="00D37A7E" w:rsidP="00D37A7E">
      <w:pPr>
        <w:numPr>
          <w:ilvl w:val="1"/>
          <w:numId w:val="24"/>
        </w:numPr>
        <w:tabs>
          <w:tab w:val="left" w:pos="1701"/>
        </w:tabs>
        <w:spacing w:after="120"/>
        <w:ind w:left="567" w:right="-20" w:firstLine="544"/>
        <w:rPr>
          <w:rFonts w:asciiTheme="majorBidi" w:hAnsiTheme="majorBidi" w:cstheme="majorBidi"/>
          <w:kern w:val="2"/>
          <w:lang w:val="fr-FR"/>
          <w14:ligatures w14:val="standardContextual"/>
        </w:rPr>
      </w:pPr>
      <w:r w:rsidRPr="00EA71D3">
        <w:rPr>
          <w:rFonts w:asciiTheme="majorBidi" w:hAnsiTheme="majorBidi"/>
          <w:lang w:val="fr-FR"/>
        </w:rPr>
        <w:t>Les dialogues nationaux sont organisés et des plateformes de partage des connaissances sont mises en place pour discuter des interrelations entre la biodiversité et la santé ;</w:t>
      </w:r>
    </w:p>
    <w:p w14:paraId="2CF284E4" w14:textId="77777777" w:rsidR="00D37A7E" w:rsidRPr="00EA71D3" w:rsidRDefault="00D37A7E" w:rsidP="00D37A7E">
      <w:pPr>
        <w:numPr>
          <w:ilvl w:val="1"/>
          <w:numId w:val="24"/>
        </w:numPr>
        <w:tabs>
          <w:tab w:val="left" w:pos="1701"/>
        </w:tabs>
        <w:spacing w:after="120"/>
        <w:ind w:left="567" w:right="-20" w:firstLine="544"/>
        <w:rPr>
          <w:rFonts w:asciiTheme="majorBidi" w:hAnsiTheme="majorBidi" w:cstheme="majorBidi"/>
          <w:kern w:val="2"/>
          <w:lang w:val="fr-FR"/>
          <w14:ligatures w14:val="standardContextual"/>
        </w:rPr>
      </w:pPr>
      <w:r w:rsidRPr="00EA71D3">
        <w:rPr>
          <w:rFonts w:asciiTheme="majorBidi" w:hAnsiTheme="majorBidi"/>
          <w:lang w:val="fr-FR"/>
        </w:rPr>
        <w:t>Les interrelations entre la biodiversité et la santé sont intégrées aux programmes de formation sur la médecine et la santé et au programme de formation des professionnels en gestion de l’environnement ;</w:t>
      </w:r>
    </w:p>
    <w:p w14:paraId="6EE0DF30" w14:textId="77777777" w:rsidR="00D37A7E" w:rsidRPr="00EA71D3" w:rsidRDefault="00D37A7E" w:rsidP="00D37A7E">
      <w:pPr>
        <w:numPr>
          <w:ilvl w:val="1"/>
          <w:numId w:val="24"/>
        </w:numPr>
        <w:tabs>
          <w:tab w:val="left" w:pos="1701"/>
        </w:tabs>
        <w:spacing w:after="120"/>
        <w:ind w:left="567" w:right="-20" w:firstLine="544"/>
        <w:rPr>
          <w:kern w:val="2"/>
          <w:lang w:val="fr-FR"/>
          <w14:ligatures w14:val="standardContextual"/>
        </w:rPr>
      </w:pPr>
      <w:r w:rsidRPr="00EA71D3">
        <w:rPr>
          <w:rFonts w:asciiTheme="majorBidi" w:hAnsiTheme="majorBidi"/>
          <w:lang w:val="fr-FR"/>
        </w:rPr>
        <w:t>Le droit humain à un environnement propre, sain et durable est reconnu et inclus dans les programmes de renforcement des capacités et les programmes de formation dans tous les secteurs ;</w:t>
      </w:r>
    </w:p>
    <w:p w14:paraId="43DF35C4" w14:textId="122B3328" w:rsidR="00D37A7E" w:rsidRDefault="000E6FDA" w:rsidP="00D37A7E">
      <w:pPr>
        <w:tabs>
          <w:tab w:val="left" w:pos="1701"/>
        </w:tabs>
        <w:spacing w:after="120"/>
        <w:ind w:left="630" w:right="-20" w:firstLine="481"/>
        <w:rPr>
          <w:rFonts w:asciiTheme="majorBidi" w:hAnsiTheme="majorBidi"/>
          <w:lang w:val="fr-FR" w:eastAsia="zh-CN"/>
        </w:rPr>
      </w:pPr>
      <w:r w:rsidRPr="00EA71D3">
        <w:rPr>
          <w:rFonts w:asciiTheme="majorBidi" w:hAnsiTheme="majorBidi"/>
          <w:lang w:val="fr-FR"/>
        </w:rPr>
        <w:t>v</w:t>
      </w:r>
      <w:r w:rsidR="00D37A7E" w:rsidRPr="00EA71D3">
        <w:rPr>
          <w:rFonts w:asciiTheme="majorBidi" w:hAnsiTheme="majorBidi"/>
          <w:lang w:val="fr-FR"/>
        </w:rPr>
        <w:t>)</w:t>
      </w:r>
      <w:r w:rsidR="00D37A7E" w:rsidRPr="00EA71D3">
        <w:rPr>
          <w:rFonts w:asciiTheme="majorBidi" w:hAnsiTheme="majorBidi"/>
          <w:lang w:val="fr-FR"/>
        </w:rPr>
        <w:tab/>
        <w:t xml:space="preserve">Les protocoles et pratiques de biosécurité </w:t>
      </w:r>
      <w:r w:rsidRPr="00EA71D3">
        <w:rPr>
          <w:rFonts w:asciiTheme="majorBidi" w:hAnsiTheme="majorBidi"/>
          <w:lang w:val="fr-FR"/>
        </w:rPr>
        <w:t xml:space="preserve">sont appliqués </w:t>
      </w:r>
      <w:r w:rsidR="00D37A7E" w:rsidRPr="00EA71D3">
        <w:rPr>
          <w:rFonts w:asciiTheme="majorBidi" w:hAnsiTheme="majorBidi"/>
          <w:lang w:val="fr-FR"/>
        </w:rPr>
        <w:t>aux frontières nationales et à l’intérieur des pays.</w:t>
      </w:r>
      <w:r w:rsidR="00B90351" w:rsidRPr="00EA71D3">
        <w:rPr>
          <w:rFonts w:asciiTheme="majorBidi" w:hAnsiTheme="majorBidi"/>
          <w:lang w:val="fr-FR"/>
        </w:rPr>
        <w:t>]</w:t>
      </w:r>
    </w:p>
    <w:p w14:paraId="3292913B" w14:textId="77777777" w:rsidR="00E932AE" w:rsidRPr="00EA71D3" w:rsidRDefault="00E932AE" w:rsidP="00D37A7E">
      <w:pPr>
        <w:tabs>
          <w:tab w:val="left" w:pos="1701"/>
        </w:tabs>
        <w:spacing w:after="120"/>
        <w:ind w:left="630" w:right="-20" w:firstLine="481"/>
        <w:rPr>
          <w:kern w:val="2"/>
          <w:lang w:val="fr-FR" w:eastAsia="zh-CN"/>
          <w14:ligatures w14:val="standardContextual"/>
        </w:rPr>
      </w:pPr>
    </w:p>
    <w:p w14:paraId="651E6775" w14:textId="2EFA7738" w:rsidR="00D37A7E" w:rsidRPr="00EA71D3" w:rsidRDefault="00B90351" w:rsidP="00D37A7E">
      <w:pPr>
        <w:pStyle w:val="Annex"/>
        <w:rPr>
          <w:lang w:val="fr-FR"/>
        </w:rPr>
      </w:pPr>
      <w:r w:rsidRPr="00EA71D3">
        <w:rPr>
          <w:lang w:val="fr-FR"/>
        </w:rPr>
        <w:t>[</w:t>
      </w:r>
      <w:r w:rsidR="00D37A7E" w:rsidRPr="00EA71D3">
        <w:rPr>
          <w:lang w:val="fr-FR"/>
        </w:rPr>
        <w:t>Annexe III</w:t>
      </w:r>
    </w:p>
    <w:p w14:paraId="5A73E9BD" w14:textId="02D82B51" w:rsidR="00D37A7E" w:rsidRPr="00EA71D3" w:rsidRDefault="000E6FDA" w:rsidP="000E6FDA">
      <w:pPr>
        <w:spacing w:before="120" w:after="120"/>
        <w:jc w:val="left"/>
        <w:rPr>
          <w:rFonts w:eastAsiaTheme="minorEastAsia"/>
          <w:b/>
          <w:bCs/>
          <w:kern w:val="2"/>
          <w:lang w:val="fr-FR"/>
          <w14:ligatures w14:val="standardContextual"/>
        </w:rPr>
      </w:pPr>
      <w:r w:rsidRPr="00EA71D3">
        <w:rPr>
          <w:rStyle w:val="TitleChar"/>
          <w:lang w:val="fr-FR"/>
        </w:rPr>
        <w:t>Éléments d'interconnexion entre la biodiversité et la santé recensés en vue de promouvoir la santé et de prévenir les maladies</w:t>
      </w:r>
    </w:p>
    <w:p w14:paraId="2BDAE9A1" w14:textId="77777777" w:rsidR="00D37A7E" w:rsidRPr="00EA71D3" w:rsidRDefault="00D37A7E" w:rsidP="000E6FDA">
      <w:pPr>
        <w:pStyle w:val="ListParagraph"/>
        <w:numPr>
          <w:ilvl w:val="0"/>
          <w:numId w:val="29"/>
        </w:numPr>
        <w:spacing w:before="120"/>
        <w:ind w:left="1429" w:hanging="360"/>
        <w:rPr>
          <w:rFonts w:asciiTheme="majorBidi" w:eastAsiaTheme="minorEastAsia" w:hAnsiTheme="majorBidi" w:cstheme="majorBidi"/>
          <w:kern w:val="2"/>
          <w:lang w:val="fr-FR" w:eastAsia="zh-CN"/>
          <w14:ligatures w14:val="standardContextual"/>
        </w:rPr>
      </w:pPr>
      <w:r w:rsidRPr="00EA71D3">
        <w:rPr>
          <w:rFonts w:asciiTheme="majorBidi" w:eastAsiaTheme="minorEastAsia" w:hAnsiTheme="majorBidi" w:cstheme="majorBidi"/>
          <w:kern w:val="2"/>
          <w:lang w:val="fr-FR" w:eastAsia="zh-CN"/>
          <w14:ligatures w14:val="standardContextual"/>
        </w:rPr>
        <w:t>Qualité de l’air</w:t>
      </w:r>
    </w:p>
    <w:p w14:paraId="08418388" w14:textId="77777777" w:rsidR="00D37A7E" w:rsidRPr="00EA71D3" w:rsidRDefault="00D37A7E" w:rsidP="000E6FDA">
      <w:pPr>
        <w:pStyle w:val="ListParagraph"/>
        <w:numPr>
          <w:ilvl w:val="0"/>
          <w:numId w:val="29"/>
        </w:numPr>
        <w:spacing w:before="120"/>
        <w:ind w:left="1429" w:hanging="360"/>
        <w:rPr>
          <w:rFonts w:asciiTheme="majorBidi" w:eastAsiaTheme="minorEastAsia" w:hAnsiTheme="majorBidi" w:cstheme="majorBidi"/>
          <w:kern w:val="2"/>
          <w:lang w:val="fr-FR" w:eastAsia="zh-CN"/>
          <w14:ligatures w14:val="standardContextual"/>
        </w:rPr>
      </w:pPr>
      <w:r w:rsidRPr="00EA71D3">
        <w:rPr>
          <w:rFonts w:asciiTheme="majorBidi" w:eastAsiaTheme="minorEastAsia" w:hAnsiTheme="majorBidi" w:cstheme="majorBidi"/>
          <w:kern w:val="2"/>
          <w:lang w:val="fr-FR" w:eastAsia="zh-CN"/>
          <w14:ligatures w14:val="standardContextual"/>
        </w:rPr>
        <w:t>Qualité et quantité d’eau douce et côtière et accès à celle-ci</w:t>
      </w:r>
    </w:p>
    <w:p w14:paraId="545FBB2B" w14:textId="77777777" w:rsidR="00D37A7E" w:rsidRPr="00EA71D3" w:rsidRDefault="00D37A7E" w:rsidP="000E6FDA">
      <w:pPr>
        <w:pStyle w:val="ListParagraph"/>
        <w:numPr>
          <w:ilvl w:val="0"/>
          <w:numId w:val="29"/>
        </w:numPr>
        <w:spacing w:before="120"/>
        <w:ind w:left="1429" w:hanging="360"/>
        <w:rPr>
          <w:rFonts w:asciiTheme="majorBidi" w:eastAsiaTheme="minorEastAsia" w:hAnsiTheme="majorBidi" w:cstheme="majorBidi"/>
          <w:kern w:val="2"/>
          <w:lang w:val="fr-FR" w:eastAsia="zh-CN"/>
          <w14:ligatures w14:val="standardContextual"/>
        </w:rPr>
      </w:pPr>
      <w:r w:rsidRPr="00EA71D3">
        <w:rPr>
          <w:rFonts w:asciiTheme="majorBidi" w:eastAsiaTheme="minorEastAsia" w:hAnsiTheme="majorBidi" w:cstheme="majorBidi"/>
          <w:kern w:val="2"/>
          <w:lang w:val="fr-FR" w:eastAsia="zh-CN"/>
          <w14:ligatures w14:val="standardContextual"/>
        </w:rPr>
        <w:t>Qualité, fertilité et microbiome des sols et la dégradation ou l’emmagasinement des polluants</w:t>
      </w:r>
    </w:p>
    <w:p w14:paraId="779C3463" w14:textId="77777777" w:rsidR="00D37A7E" w:rsidRPr="00EA71D3" w:rsidRDefault="00D37A7E" w:rsidP="000E6FDA">
      <w:pPr>
        <w:pStyle w:val="ListParagraph"/>
        <w:numPr>
          <w:ilvl w:val="0"/>
          <w:numId w:val="29"/>
        </w:numPr>
        <w:spacing w:before="120"/>
        <w:ind w:left="1429" w:hanging="360"/>
        <w:rPr>
          <w:rFonts w:asciiTheme="majorBidi" w:eastAsiaTheme="minorEastAsia" w:hAnsiTheme="majorBidi" w:cstheme="majorBidi"/>
          <w:kern w:val="2"/>
          <w:lang w:val="fr-FR" w:eastAsia="zh-CN"/>
          <w14:ligatures w14:val="standardContextual"/>
        </w:rPr>
      </w:pPr>
      <w:r w:rsidRPr="00EA71D3">
        <w:rPr>
          <w:rFonts w:asciiTheme="majorBidi" w:eastAsiaTheme="minorEastAsia" w:hAnsiTheme="majorBidi" w:cstheme="majorBidi"/>
          <w:kern w:val="2"/>
          <w:lang w:val="fr-FR" w:eastAsia="zh-CN"/>
          <w14:ligatures w14:val="standardContextual"/>
        </w:rPr>
        <w:t>Pollinisation et la dissémination des graines</w:t>
      </w:r>
    </w:p>
    <w:p w14:paraId="3E92BD04" w14:textId="77777777" w:rsidR="00D37A7E" w:rsidRPr="00EA71D3" w:rsidRDefault="00D37A7E" w:rsidP="000E6FDA">
      <w:pPr>
        <w:pStyle w:val="ListParagraph"/>
        <w:numPr>
          <w:ilvl w:val="0"/>
          <w:numId w:val="29"/>
        </w:numPr>
        <w:spacing w:before="120"/>
        <w:ind w:left="1429" w:hanging="360"/>
        <w:rPr>
          <w:rFonts w:asciiTheme="majorBidi" w:eastAsiaTheme="minorEastAsia" w:hAnsiTheme="majorBidi" w:cstheme="majorBidi"/>
          <w:kern w:val="2"/>
          <w:lang w:val="fr-FR" w:eastAsia="zh-CN"/>
          <w14:ligatures w14:val="standardContextual"/>
        </w:rPr>
      </w:pPr>
      <w:r w:rsidRPr="00EA71D3">
        <w:rPr>
          <w:rFonts w:asciiTheme="majorBidi" w:eastAsiaTheme="minorEastAsia" w:hAnsiTheme="majorBidi" w:cstheme="majorBidi"/>
          <w:kern w:val="2"/>
          <w:lang w:val="fr-FR" w:eastAsia="zh-CN"/>
          <w14:ligatures w14:val="standardContextual"/>
        </w:rPr>
        <w:t>Production d’aliments et de nourriture pour les animaux à partir d’organismes terrestres et marins sauvages, gérés ou domestiqués, et diversité de la nutrition et des régimes alimentaires</w:t>
      </w:r>
    </w:p>
    <w:p w14:paraId="1E6A1075" w14:textId="77777777" w:rsidR="00D37A7E" w:rsidRPr="00EA71D3" w:rsidRDefault="00D37A7E" w:rsidP="000E6FDA">
      <w:pPr>
        <w:pStyle w:val="ListParagraph"/>
        <w:numPr>
          <w:ilvl w:val="0"/>
          <w:numId w:val="29"/>
        </w:numPr>
        <w:spacing w:before="120"/>
        <w:ind w:left="1429" w:hanging="360"/>
        <w:rPr>
          <w:rFonts w:asciiTheme="majorBidi" w:eastAsiaTheme="minorEastAsia" w:hAnsiTheme="majorBidi" w:cstheme="majorBidi"/>
          <w:kern w:val="2"/>
          <w:lang w:val="fr-FR" w:eastAsia="zh-CN"/>
          <w14:ligatures w14:val="standardContextual"/>
        </w:rPr>
      </w:pPr>
      <w:r w:rsidRPr="00EA71D3">
        <w:rPr>
          <w:rFonts w:asciiTheme="majorBidi" w:eastAsiaTheme="minorEastAsia" w:hAnsiTheme="majorBidi" w:cstheme="majorBidi"/>
          <w:kern w:val="2"/>
          <w:lang w:val="fr-FR" w:eastAsia="zh-CN"/>
          <w14:ligatures w14:val="standardContextual"/>
        </w:rPr>
        <w:t>Habitat (conditions écologiques nécessaires ou favorables à la vie humaine)</w:t>
      </w:r>
    </w:p>
    <w:p w14:paraId="66060F59" w14:textId="77777777" w:rsidR="00D37A7E" w:rsidRPr="00EA71D3" w:rsidRDefault="00D37A7E" w:rsidP="000E6FDA">
      <w:pPr>
        <w:pStyle w:val="ListParagraph"/>
        <w:numPr>
          <w:ilvl w:val="0"/>
          <w:numId w:val="29"/>
        </w:numPr>
        <w:spacing w:before="120"/>
        <w:ind w:left="1429" w:hanging="360"/>
        <w:rPr>
          <w:rFonts w:asciiTheme="majorBidi" w:eastAsiaTheme="minorEastAsia" w:hAnsiTheme="majorBidi" w:cstheme="majorBidi"/>
          <w:kern w:val="2"/>
          <w:lang w:val="fr-FR" w:eastAsia="zh-CN"/>
          <w14:ligatures w14:val="standardContextual"/>
        </w:rPr>
      </w:pPr>
      <w:r w:rsidRPr="00EA71D3">
        <w:rPr>
          <w:rFonts w:asciiTheme="majorBidi" w:eastAsiaTheme="minorEastAsia" w:hAnsiTheme="majorBidi" w:cstheme="majorBidi"/>
          <w:kern w:val="2"/>
          <w:lang w:val="fr-FR" w:eastAsia="zh-CN"/>
          <w14:ligatures w14:val="standardContextual"/>
        </w:rPr>
        <w:t>Soins de santé (médecine traditionnelle et connaissances médicales traditionnelles, médicaments et produits de santé, découvertes biomédicales, ressources biochimiques et génétiques)</w:t>
      </w:r>
    </w:p>
    <w:p w14:paraId="1187C80A" w14:textId="77777777" w:rsidR="00D37A7E" w:rsidRPr="00EA71D3" w:rsidRDefault="00D37A7E" w:rsidP="000E6FDA">
      <w:pPr>
        <w:pStyle w:val="ListParagraph"/>
        <w:numPr>
          <w:ilvl w:val="0"/>
          <w:numId w:val="29"/>
        </w:numPr>
        <w:spacing w:before="120"/>
        <w:ind w:left="1429" w:hanging="360"/>
        <w:rPr>
          <w:rFonts w:asciiTheme="majorBidi" w:eastAsiaTheme="minorEastAsia" w:hAnsiTheme="majorBidi" w:cstheme="majorBidi"/>
          <w:kern w:val="2"/>
          <w:lang w:val="fr-FR" w:eastAsia="zh-CN"/>
          <w14:ligatures w14:val="standardContextual"/>
        </w:rPr>
      </w:pPr>
      <w:r w:rsidRPr="00EA71D3">
        <w:rPr>
          <w:rFonts w:asciiTheme="majorBidi" w:eastAsiaTheme="minorEastAsia" w:hAnsiTheme="majorBidi" w:cstheme="majorBidi"/>
          <w:kern w:val="2"/>
          <w:lang w:val="fr-FR" w:eastAsia="zh-CN"/>
          <w14:ligatures w14:val="standardContextual"/>
        </w:rPr>
        <w:t>Apprentissage fondé sur la nature (éducation, acquisition de connaissances et inspiration pour les créations artistiques et le design technologique, comme le biomimétisme)</w:t>
      </w:r>
    </w:p>
    <w:p w14:paraId="2111E108" w14:textId="77777777" w:rsidR="00D37A7E" w:rsidRPr="00EA71D3" w:rsidRDefault="00D37A7E" w:rsidP="000E6FDA">
      <w:pPr>
        <w:pStyle w:val="ListParagraph"/>
        <w:numPr>
          <w:ilvl w:val="0"/>
          <w:numId w:val="29"/>
        </w:numPr>
        <w:spacing w:before="120"/>
        <w:ind w:left="1429" w:hanging="360"/>
        <w:rPr>
          <w:rFonts w:asciiTheme="majorBidi" w:eastAsiaTheme="minorEastAsia" w:hAnsiTheme="majorBidi" w:cstheme="majorBidi"/>
          <w:kern w:val="2"/>
          <w:lang w:val="fr-FR" w:eastAsia="zh-CN"/>
          <w14:ligatures w14:val="standardContextual"/>
        </w:rPr>
      </w:pPr>
      <w:r w:rsidRPr="00EA71D3">
        <w:rPr>
          <w:rFonts w:asciiTheme="majorBidi" w:eastAsiaTheme="minorEastAsia" w:hAnsiTheme="majorBidi" w:cstheme="majorBidi"/>
          <w:kern w:val="2"/>
          <w:lang w:val="fr-FR" w:eastAsia="zh-CN"/>
          <w14:ligatures w14:val="standardContextual"/>
        </w:rPr>
        <w:t>Régulation des systèmes terrestres, comme les changements climatiques, l’acidification des océans et les cycles hydrologiques</w:t>
      </w:r>
      <w:r w:rsidRPr="00EA71D3">
        <w:rPr>
          <w:rFonts w:eastAsiaTheme="minorEastAsia"/>
          <w:lang w:val="fr-FR"/>
        </w:rPr>
        <w:footnoteReference w:id="62"/>
      </w:r>
    </w:p>
    <w:p w14:paraId="45F2A8A0" w14:textId="77777777" w:rsidR="00D37A7E" w:rsidRPr="00EA71D3" w:rsidRDefault="00D37A7E" w:rsidP="000E6FDA">
      <w:pPr>
        <w:pStyle w:val="ListParagraph"/>
        <w:numPr>
          <w:ilvl w:val="0"/>
          <w:numId w:val="29"/>
        </w:numPr>
        <w:spacing w:before="120"/>
        <w:ind w:left="1429" w:hanging="360"/>
        <w:rPr>
          <w:rFonts w:asciiTheme="majorBidi" w:eastAsiaTheme="minorEastAsia" w:hAnsiTheme="majorBidi" w:cstheme="majorBidi"/>
          <w:kern w:val="2"/>
          <w:lang w:val="fr-FR" w:eastAsia="zh-CN"/>
          <w14:ligatures w14:val="standardContextual"/>
        </w:rPr>
      </w:pPr>
      <w:r w:rsidRPr="00EA71D3">
        <w:rPr>
          <w:rFonts w:asciiTheme="majorBidi" w:eastAsiaTheme="minorEastAsia" w:hAnsiTheme="majorBidi" w:cstheme="majorBidi"/>
          <w:kern w:val="2"/>
          <w:lang w:val="fr-FR" w:eastAsia="zh-CN"/>
          <w14:ligatures w14:val="standardContextual"/>
        </w:rPr>
        <w:t>Résilience envers les dangers naturels, les phénomènes extrêmes et les catastrophes</w:t>
      </w:r>
    </w:p>
    <w:p w14:paraId="093BEF39" w14:textId="77777777" w:rsidR="00D37A7E" w:rsidRPr="00EA71D3" w:rsidRDefault="00D37A7E" w:rsidP="000E6FDA">
      <w:pPr>
        <w:pStyle w:val="ListParagraph"/>
        <w:numPr>
          <w:ilvl w:val="0"/>
          <w:numId w:val="29"/>
        </w:numPr>
        <w:spacing w:before="120"/>
        <w:ind w:left="1429" w:hanging="360"/>
        <w:rPr>
          <w:rFonts w:asciiTheme="majorBidi" w:eastAsiaTheme="minorEastAsia" w:hAnsiTheme="majorBidi" w:cstheme="majorBidi"/>
          <w:kern w:val="2"/>
          <w:lang w:val="fr-FR" w:eastAsia="zh-CN"/>
          <w14:ligatures w14:val="standardContextual"/>
        </w:rPr>
      </w:pPr>
      <w:r w:rsidRPr="00EA71D3">
        <w:rPr>
          <w:rFonts w:asciiTheme="majorBidi" w:eastAsiaTheme="minorEastAsia" w:hAnsiTheme="majorBidi" w:cstheme="majorBidi"/>
          <w:kern w:val="2"/>
          <w:lang w:val="fr-FR" w:eastAsia="zh-CN"/>
          <w14:ligatures w14:val="standardContextual"/>
        </w:rPr>
        <w:t>Biodiversité des microbes bénéfiques et du microbiote humain, y compris la régulation immunitaire</w:t>
      </w:r>
    </w:p>
    <w:p w14:paraId="5B55232A" w14:textId="77777777" w:rsidR="00D37A7E" w:rsidRPr="00EA71D3" w:rsidRDefault="00D37A7E" w:rsidP="000E6FDA">
      <w:pPr>
        <w:pStyle w:val="ListParagraph"/>
        <w:numPr>
          <w:ilvl w:val="0"/>
          <w:numId w:val="29"/>
        </w:numPr>
        <w:spacing w:before="120"/>
        <w:ind w:left="1429" w:hanging="360"/>
        <w:rPr>
          <w:rFonts w:asciiTheme="majorBidi" w:eastAsiaTheme="minorEastAsia" w:hAnsiTheme="majorBidi" w:cstheme="majorBidi"/>
          <w:kern w:val="2"/>
          <w:lang w:val="fr-FR" w:eastAsia="zh-CN"/>
          <w14:ligatures w14:val="standardContextual"/>
        </w:rPr>
      </w:pPr>
      <w:r w:rsidRPr="00EA71D3">
        <w:rPr>
          <w:rFonts w:asciiTheme="majorBidi" w:eastAsiaTheme="minorEastAsia" w:hAnsiTheme="majorBidi" w:cstheme="majorBidi"/>
          <w:kern w:val="2"/>
          <w:lang w:val="fr-FR" w:eastAsia="zh-CN"/>
          <w14:ligatures w14:val="standardContextual"/>
        </w:rPr>
        <w:t>Régulation des organismes nuisibles, des pathogènes, des prédateurs, des compétiteurs, des parasites et des organismes potentiellement nuisibles</w:t>
      </w:r>
    </w:p>
    <w:p w14:paraId="6C32EAB5" w14:textId="77777777" w:rsidR="00D37A7E" w:rsidRPr="00EA71D3" w:rsidRDefault="00D37A7E" w:rsidP="000E6FDA">
      <w:pPr>
        <w:pStyle w:val="ListParagraph"/>
        <w:numPr>
          <w:ilvl w:val="0"/>
          <w:numId w:val="29"/>
        </w:numPr>
        <w:spacing w:before="120"/>
        <w:ind w:left="1429" w:hanging="360"/>
        <w:rPr>
          <w:rFonts w:asciiTheme="majorBidi" w:eastAsiaTheme="minorEastAsia" w:hAnsiTheme="majorBidi" w:cstheme="majorBidi"/>
          <w:kern w:val="2"/>
          <w:lang w:val="fr-FR" w:eastAsia="zh-CN"/>
          <w14:ligatures w14:val="standardContextual"/>
        </w:rPr>
      </w:pPr>
      <w:r w:rsidRPr="00EA71D3">
        <w:rPr>
          <w:rFonts w:asciiTheme="majorBidi" w:eastAsiaTheme="minorEastAsia" w:hAnsiTheme="majorBidi" w:cstheme="majorBidi"/>
          <w:kern w:val="2"/>
          <w:lang w:val="fr-FR" w:eastAsia="zh-CN"/>
          <w14:ligatures w14:val="standardContextual"/>
        </w:rPr>
        <w:t xml:space="preserve">Guérison, relaxation, loisirs, activités de plaisance et satisfaction esthétique fondés sur une exposition, une expérience ou une interaction positives avec la nature </w:t>
      </w:r>
    </w:p>
    <w:p w14:paraId="78630388" w14:textId="77777777" w:rsidR="00D37A7E" w:rsidRPr="00EA71D3" w:rsidRDefault="00D37A7E" w:rsidP="000E6FDA">
      <w:pPr>
        <w:pStyle w:val="ListParagraph"/>
        <w:numPr>
          <w:ilvl w:val="0"/>
          <w:numId w:val="29"/>
        </w:numPr>
        <w:spacing w:before="120"/>
        <w:ind w:left="1429" w:hanging="360"/>
        <w:rPr>
          <w:rFonts w:asciiTheme="majorBidi" w:eastAsiaTheme="minorEastAsia" w:hAnsiTheme="majorBidi" w:cstheme="majorBidi"/>
          <w:kern w:val="2"/>
          <w:lang w:val="fr-FR" w:eastAsia="zh-CN"/>
          <w14:ligatures w14:val="standardContextual"/>
        </w:rPr>
      </w:pPr>
      <w:r w:rsidRPr="00EA71D3">
        <w:rPr>
          <w:rFonts w:asciiTheme="majorBidi" w:eastAsiaTheme="minorEastAsia" w:hAnsiTheme="majorBidi" w:cstheme="majorBidi"/>
          <w:kern w:val="2"/>
          <w:lang w:val="fr-FR" w:eastAsia="zh-CN"/>
          <w14:ligatures w14:val="standardContextual"/>
        </w:rPr>
        <w:lastRenderedPageBreak/>
        <w:t>Interconnexion, culture et identités de soutien intrinsèques (c.-à-d. le fondement des expériences religieuses, spirituelles et de cohésion sociale ; le sentiment d’appartenance, de vocation, de sens, d’enracinement ou de connexion associés à différentes entités du monde vivant ; les récits et mythes, rituels et célébrations ; la satisfaction que procure le fait de savoir qu’un paysage terrestre ou marin, un habitat ou une espèce existe)</w:t>
      </w:r>
    </w:p>
    <w:p w14:paraId="098B7A43" w14:textId="6E299D5C" w:rsidR="00D37A7E" w:rsidRPr="00EA71D3" w:rsidRDefault="00D37A7E" w:rsidP="000E6FDA">
      <w:pPr>
        <w:pStyle w:val="ListParagraph"/>
        <w:numPr>
          <w:ilvl w:val="0"/>
          <w:numId w:val="29"/>
        </w:numPr>
        <w:spacing w:before="120"/>
        <w:ind w:left="1429" w:hanging="360"/>
        <w:rPr>
          <w:rFonts w:asciiTheme="majorBidi" w:eastAsiaTheme="minorEastAsia" w:hAnsiTheme="majorBidi" w:cstheme="majorBidi"/>
          <w:kern w:val="2"/>
          <w:lang w:val="fr-FR" w:eastAsia="zh-CN"/>
          <w14:ligatures w14:val="standardContextual"/>
        </w:rPr>
      </w:pPr>
      <w:r w:rsidRPr="00EA71D3">
        <w:rPr>
          <w:rFonts w:asciiTheme="majorBidi" w:eastAsiaTheme="minorEastAsia" w:hAnsiTheme="majorBidi" w:cstheme="majorBidi"/>
          <w:kern w:val="2"/>
          <w:lang w:val="fr-FR" w:eastAsia="zh-CN"/>
          <w14:ligatures w14:val="standardContextual"/>
        </w:rPr>
        <w:t>Santé des peuples autochtones et de</w:t>
      </w:r>
      <w:r w:rsidR="007265EF" w:rsidRPr="00EA71D3">
        <w:rPr>
          <w:rFonts w:asciiTheme="majorBidi" w:eastAsiaTheme="minorEastAsia" w:hAnsiTheme="majorBidi" w:cstheme="majorBidi"/>
          <w:kern w:val="2"/>
          <w:lang w:val="fr-FR" w:eastAsia="zh-CN"/>
          <w14:ligatures w14:val="standardContextual"/>
        </w:rPr>
        <w:t>s communautés locales]</w:t>
      </w:r>
    </w:p>
    <w:p w14:paraId="46DE0793" w14:textId="77777777" w:rsidR="00D37A7E" w:rsidRPr="00EA71D3" w:rsidRDefault="00D37A7E" w:rsidP="00D37A7E">
      <w:pPr>
        <w:pStyle w:val="Annex"/>
        <w:rPr>
          <w:rFonts w:eastAsiaTheme="majorEastAsia"/>
          <w:lang w:val="fr-FR"/>
        </w:rPr>
      </w:pPr>
    </w:p>
    <w:p w14:paraId="4D86B69A" w14:textId="77777777" w:rsidR="007265EF" w:rsidRPr="00EA71D3" w:rsidRDefault="007265EF" w:rsidP="007265EF">
      <w:pPr>
        <w:pStyle w:val="Title"/>
        <w:spacing w:after="0"/>
        <w:ind w:left="0" w:firstLine="216"/>
        <w:rPr>
          <w:rFonts w:hint="eastAsia"/>
          <w:lang w:val="fr-FR"/>
        </w:rPr>
      </w:pPr>
      <w:r w:rsidRPr="00EA71D3">
        <w:rPr>
          <w:lang w:val="fr-FR"/>
        </w:rPr>
        <w:t>[Annexe IV</w:t>
      </w:r>
    </w:p>
    <w:p w14:paraId="4ED564D3" w14:textId="4418063D" w:rsidR="00D37A7E" w:rsidRPr="00EA71D3" w:rsidRDefault="00D37A7E" w:rsidP="007265EF">
      <w:pPr>
        <w:pStyle w:val="Title"/>
        <w:ind w:left="0" w:firstLine="216"/>
        <w:rPr>
          <w:rFonts w:hint="eastAsia"/>
          <w:lang w:val="fr-FR"/>
        </w:rPr>
      </w:pPr>
      <w:r w:rsidRPr="00EA71D3">
        <w:rPr>
          <w:lang w:val="fr-FR"/>
        </w:rPr>
        <w:t>Messages ciblés visant à intégrer la biodiversité au secteur de la santé</w:t>
      </w:r>
    </w:p>
    <w:p w14:paraId="6B89C4FF" w14:textId="75D1EEB4" w:rsidR="00D37A7E" w:rsidRPr="00EA71D3" w:rsidRDefault="00D37A7E" w:rsidP="00D37A7E">
      <w:pPr>
        <w:pStyle w:val="CBD-Para1-Not-numbered"/>
        <w:ind w:firstLine="567"/>
        <w:rPr>
          <w:rFonts w:eastAsiaTheme="minorHAnsi"/>
          <w:lang w:val="fr-FR"/>
        </w:rPr>
      </w:pPr>
      <w:r w:rsidRPr="00EA71D3">
        <w:rPr>
          <w:lang w:val="fr-FR"/>
        </w:rPr>
        <w:t xml:space="preserve">Les messages ciblés présentés ci-dessous visent à favoriser l’intégration de la biodiversité dans le secteur de la santé et la mise en œuvre du Plan d’action mondial sur la biodiversité et la santé. Ils pourraient aussi être utilisés par les Parties, les institutions œuvrant dans les domaines de la santé humaine, animale et végétale et de l’environnement, les organisations qui travaillent sur les interrelations entre la biodiversité et la santé, comme </w:t>
      </w:r>
      <w:r w:rsidR="000E6FDA" w:rsidRPr="00EA71D3">
        <w:rPr>
          <w:lang w:val="fr-FR"/>
        </w:rPr>
        <w:t>ceux établis au titre d’</w:t>
      </w:r>
      <w:r w:rsidRPr="00EA71D3">
        <w:rPr>
          <w:lang w:val="fr-FR"/>
        </w:rPr>
        <w:t>autres accords multilatéraux et organes intergouvernementaux, les peuples autochtones et les communautés locales, les femmes, les enfants, les jeunes et les parties prenantes concernées.</w:t>
      </w:r>
    </w:p>
    <w:p w14:paraId="1F575C61" w14:textId="77777777" w:rsidR="00D37A7E" w:rsidRPr="00EA71D3" w:rsidRDefault="00D37A7E" w:rsidP="00D37A7E">
      <w:pPr>
        <w:pStyle w:val="CBD-heading3-notnumbered"/>
        <w:rPr>
          <w:b w:val="0"/>
          <w:bCs w:val="0"/>
          <w:lang w:val="fr-FR"/>
        </w:rPr>
      </w:pPr>
      <w:r w:rsidRPr="00EA71D3">
        <w:rPr>
          <w:lang w:val="fr-FR"/>
        </w:rPr>
        <w:t>1.</w:t>
      </w:r>
      <w:r w:rsidRPr="00EA71D3">
        <w:rPr>
          <w:lang w:val="fr-FR"/>
        </w:rPr>
        <w:tab/>
        <w:t>La biodiversité</w:t>
      </w:r>
      <w:r w:rsidRPr="00EA71D3">
        <w:rPr>
          <w:szCs w:val="24"/>
          <w:vertAlign w:val="superscript"/>
          <w:lang w:val="fr-FR"/>
        </w:rPr>
        <w:footnoteReference w:id="63"/>
      </w:r>
      <w:r w:rsidRPr="00EA71D3">
        <w:rPr>
          <w:lang w:val="fr-FR"/>
        </w:rPr>
        <w:t xml:space="preserve"> est essentielle à la santé et au bien-être humains et à l’ensemble de la vie sur Terre</w:t>
      </w:r>
    </w:p>
    <w:p w14:paraId="757FC4E2" w14:textId="0743D3A5" w:rsidR="00D37A7E" w:rsidRPr="00EA71D3" w:rsidRDefault="00D37A7E" w:rsidP="00D37A7E">
      <w:pPr>
        <w:tabs>
          <w:tab w:val="left" w:pos="1701"/>
        </w:tabs>
        <w:spacing w:before="120" w:after="120"/>
        <w:ind w:left="567" w:firstLine="567"/>
        <w:rPr>
          <w:rFonts w:asciiTheme="majorBidi" w:eastAsiaTheme="minorHAnsi" w:hAnsiTheme="majorBidi" w:cstheme="majorBidi"/>
          <w:kern w:val="2"/>
          <w:lang w:val="fr-FR"/>
          <w14:ligatures w14:val="standardContextual"/>
        </w:rPr>
      </w:pPr>
      <w:r w:rsidRPr="00EA71D3">
        <w:rPr>
          <w:rFonts w:asciiTheme="majorBidi" w:hAnsiTheme="majorBidi"/>
          <w:lang w:val="fr-FR"/>
        </w:rPr>
        <w:t>a)</w:t>
      </w:r>
      <w:r w:rsidRPr="00EA71D3">
        <w:rPr>
          <w:rFonts w:asciiTheme="majorBidi" w:hAnsiTheme="majorBidi"/>
          <w:lang w:val="fr-FR"/>
        </w:rPr>
        <w:tab/>
        <w:t xml:space="preserve">La santé et le bien-être de toutes les espèces sont interreliés et interdépendants. Une prise en compte globale de la santé de toutes les personnes, ainsi que de </w:t>
      </w:r>
      <w:r w:rsidR="000E6FDA" w:rsidRPr="00EA71D3">
        <w:rPr>
          <w:rFonts w:asciiTheme="majorBidi" w:hAnsiTheme="majorBidi"/>
          <w:lang w:val="fr-FR"/>
        </w:rPr>
        <w:t xml:space="preserve">celle de </w:t>
      </w:r>
      <w:r w:rsidRPr="00EA71D3">
        <w:rPr>
          <w:rFonts w:asciiTheme="majorBidi" w:hAnsiTheme="majorBidi"/>
          <w:lang w:val="fr-FR"/>
        </w:rPr>
        <w:t>tous les animaux, plantes et organismes est nécessaire pour garantir que nous vivons en harmonie avec la nature ;</w:t>
      </w:r>
    </w:p>
    <w:p w14:paraId="41B11587" w14:textId="40F10D98" w:rsidR="00D37A7E" w:rsidRPr="00EA71D3" w:rsidRDefault="00D37A7E" w:rsidP="00D37A7E">
      <w:pPr>
        <w:tabs>
          <w:tab w:val="left" w:pos="1701"/>
        </w:tabs>
        <w:spacing w:before="120" w:after="120"/>
        <w:ind w:left="567" w:firstLine="567"/>
        <w:rPr>
          <w:rFonts w:asciiTheme="majorBidi" w:eastAsiaTheme="minorHAnsi" w:hAnsiTheme="majorBidi" w:cstheme="majorBidi"/>
          <w:kern w:val="2"/>
          <w:lang w:val="fr-FR"/>
          <w14:ligatures w14:val="standardContextual"/>
        </w:rPr>
      </w:pPr>
      <w:r w:rsidRPr="00EA71D3">
        <w:rPr>
          <w:rFonts w:asciiTheme="majorBidi" w:hAnsiTheme="majorBidi"/>
          <w:lang w:val="fr-FR"/>
        </w:rPr>
        <w:t>b)</w:t>
      </w:r>
      <w:r w:rsidRPr="00EA71D3">
        <w:rPr>
          <w:rFonts w:asciiTheme="majorBidi" w:hAnsiTheme="majorBidi"/>
          <w:lang w:val="fr-FR"/>
        </w:rPr>
        <w:tab/>
        <w:t xml:space="preserve">La biodiversité est un déterminant environnemental et social essentiel de la santé humaine, et </w:t>
      </w:r>
      <w:r w:rsidR="000E6FDA" w:rsidRPr="00EA71D3">
        <w:rPr>
          <w:rFonts w:asciiTheme="majorBidi" w:hAnsiTheme="majorBidi"/>
          <w:lang w:val="fr-FR"/>
        </w:rPr>
        <w:t>s</w:t>
      </w:r>
      <w:r w:rsidRPr="00EA71D3">
        <w:rPr>
          <w:rFonts w:asciiTheme="majorBidi" w:hAnsiTheme="majorBidi"/>
          <w:lang w:val="fr-FR"/>
        </w:rPr>
        <w:t xml:space="preserve">a conservation, </w:t>
      </w:r>
      <w:r w:rsidR="000E6FDA" w:rsidRPr="00EA71D3">
        <w:rPr>
          <w:rFonts w:asciiTheme="majorBidi" w:hAnsiTheme="majorBidi"/>
          <w:lang w:val="fr-FR"/>
        </w:rPr>
        <w:t xml:space="preserve">sa </w:t>
      </w:r>
      <w:r w:rsidRPr="00EA71D3">
        <w:rPr>
          <w:rFonts w:asciiTheme="majorBidi" w:hAnsiTheme="majorBidi"/>
          <w:lang w:val="fr-FR"/>
        </w:rPr>
        <w:t xml:space="preserve">restauration et </w:t>
      </w:r>
      <w:r w:rsidR="000E6FDA" w:rsidRPr="00EA71D3">
        <w:rPr>
          <w:rFonts w:asciiTheme="majorBidi" w:hAnsiTheme="majorBidi"/>
          <w:lang w:val="fr-FR"/>
        </w:rPr>
        <w:t xml:space="preserve">son </w:t>
      </w:r>
      <w:r w:rsidRPr="00EA71D3">
        <w:rPr>
          <w:rFonts w:asciiTheme="majorBidi" w:hAnsiTheme="majorBidi"/>
          <w:lang w:val="fr-FR"/>
        </w:rPr>
        <w:t>utilisation durable peuvent profiter à la santé humaine en préservant les services écosystémiques ;</w:t>
      </w:r>
    </w:p>
    <w:p w14:paraId="4193A699" w14:textId="77777777" w:rsidR="00D37A7E" w:rsidRPr="00EA71D3" w:rsidRDefault="00D37A7E" w:rsidP="00D37A7E">
      <w:pPr>
        <w:tabs>
          <w:tab w:val="left" w:pos="1701"/>
        </w:tabs>
        <w:spacing w:before="120" w:after="120"/>
        <w:ind w:left="567" w:firstLine="567"/>
        <w:contextualSpacing/>
        <w:rPr>
          <w:rFonts w:asciiTheme="majorBidi" w:eastAsiaTheme="minorHAnsi" w:hAnsiTheme="majorBidi" w:cstheme="majorBidi"/>
          <w:kern w:val="2"/>
          <w:lang w:val="fr-FR"/>
          <w14:ligatures w14:val="standardContextual"/>
        </w:rPr>
      </w:pPr>
      <w:r w:rsidRPr="00EA71D3">
        <w:rPr>
          <w:rFonts w:asciiTheme="majorBidi" w:hAnsiTheme="majorBidi"/>
          <w:lang w:val="fr-FR"/>
        </w:rPr>
        <w:t>c)</w:t>
      </w:r>
      <w:r w:rsidRPr="00EA71D3">
        <w:rPr>
          <w:rFonts w:asciiTheme="majorBidi" w:hAnsiTheme="majorBidi"/>
          <w:lang w:val="fr-FR"/>
        </w:rPr>
        <w:tab/>
        <w:t>Enrayer la perte de biodiversité contribue à respecter, protéger et satisfaire les droits humains à un environnement propre, sain et durable.</w:t>
      </w:r>
    </w:p>
    <w:p w14:paraId="586B0B28" w14:textId="77777777" w:rsidR="00D37A7E" w:rsidRPr="00EA71D3" w:rsidRDefault="00D37A7E" w:rsidP="00D37A7E">
      <w:pPr>
        <w:pStyle w:val="CBD-heading3-notnumbered"/>
        <w:rPr>
          <w:b w:val="0"/>
          <w:bCs w:val="0"/>
          <w:lang w:val="fr-FR"/>
        </w:rPr>
      </w:pPr>
      <w:r w:rsidRPr="00EA71D3">
        <w:rPr>
          <w:lang w:val="fr-FR"/>
        </w:rPr>
        <w:t>2.</w:t>
      </w:r>
      <w:r w:rsidRPr="00EA71D3">
        <w:rPr>
          <w:lang w:val="fr-FR"/>
        </w:rPr>
        <w:tab/>
        <w:t xml:space="preserve">La perte de biodiversité a une incidence sur tout le monde et menace la santé des êtres humains </w:t>
      </w:r>
    </w:p>
    <w:p w14:paraId="1D97D3A0" w14:textId="77777777" w:rsidR="00D37A7E" w:rsidRPr="00EA71D3" w:rsidRDefault="00D37A7E" w:rsidP="00D37A7E">
      <w:pPr>
        <w:pStyle w:val="CBD-para2-notnumbered"/>
        <w:rPr>
          <w:lang w:val="fr-FR"/>
        </w:rPr>
      </w:pPr>
      <w:r w:rsidRPr="00EA71D3">
        <w:rPr>
          <w:lang w:val="fr-FR"/>
        </w:rPr>
        <w:t>a)</w:t>
      </w:r>
      <w:r w:rsidRPr="00EA71D3">
        <w:rPr>
          <w:lang w:val="fr-FR"/>
        </w:rPr>
        <w:tab/>
        <w:t>Les contributions de la nature envers les personnes ont des répercussions sur presque tous les aspects de la vie, et les changements subis par la nature ont un impact profond sur la qualité de vie, la santé et l’équité en santé des personnes ;</w:t>
      </w:r>
    </w:p>
    <w:p w14:paraId="649E6FA6" w14:textId="4A024EF8" w:rsidR="00D37A7E" w:rsidRPr="00EA71D3" w:rsidRDefault="00D37A7E" w:rsidP="00D37A7E">
      <w:pPr>
        <w:pStyle w:val="CBD-para2-notnumbered"/>
        <w:rPr>
          <w:lang w:val="fr-FR"/>
        </w:rPr>
      </w:pPr>
      <w:r w:rsidRPr="00EA71D3">
        <w:rPr>
          <w:lang w:val="fr-FR"/>
        </w:rPr>
        <w:t>b)</w:t>
      </w:r>
      <w:r w:rsidRPr="00EA71D3">
        <w:rPr>
          <w:lang w:val="fr-FR"/>
        </w:rPr>
        <w:tab/>
        <w:t>Les effets défavorables de la perte de biodiversité sur la santé sont inégaux, notamment en touchant de manière disproportionnée les populations vulnérables, les femmes, les enfants, les jeunes, les personnes âgées</w:t>
      </w:r>
      <w:r w:rsidR="000E6FDA" w:rsidRPr="00EA71D3">
        <w:rPr>
          <w:lang w:val="fr-FR"/>
        </w:rPr>
        <w:t xml:space="preserve">, </w:t>
      </w:r>
      <w:r w:rsidRPr="00EA71D3">
        <w:rPr>
          <w:lang w:val="fr-FR"/>
        </w:rPr>
        <w:t>les personnes en situation de handicap et</w:t>
      </w:r>
      <w:r w:rsidR="000E6FDA" w:rsidRPr="00EA71D3">
        <w:rPr>
          <w:lang w:val="fr-FR"/>
        </w:rPr>
        <w:t xml:space="preserve"> celles en situation</w:t>
      </w:r>
      <w:r w:rsidRPr="00EA71D3">
        <w:rPr>
          <w:lang w:val="fr-FR"/>
        </w:rPr>
        <w:t xml:space="preserve"> de vulnérabilité ;</w:t>
      </w:r>
    </w:p>
    <w:p w14:paraId="2D2E1AEF" w14:textId="77777777" w:rsidR="00D37A7E" w:rsidRPr="00EA71D3" w:rsidRDefault="00D37A7E" w:rsidP="00D37A7E">
      <w:pPr>
        <w:pStyle w:val="CBD-para2-notnumbered"/>
        <w:rPr>
          <w:lang w:val="fr-FR"/>
        </w:rPr>
      </w:pPr>
      <w:r w:rsidRPr="00EA71D3">
        <w:rPr>
          <w:lang w:val="fr-FR"/>
        </w:rPr>
        <w:t>c)</w:t>
      </w:r>
      <w:r w:rsidRPr="00EA71D3">
        <w:rPr>
          <w:lang w:val="fr-FR"/>
        </w:rPr>
        <w:tab/>
        <w:t>La dégradation de l’environnement a de graves incidences défavorables sur les peuples autochtones et les communautés locales, et leur relation d’interdépendance indissoluble avec les écosystèmes locaux, y compris en ce qui a trait à leur santé physique, mentale, émotionnelle et spirituelle, leurs modes d’alimentation et leurs pratiques et systèmes de guérison ;</w:t>
      </w:r>
    </w:p>
    <w:p w14:paraId="5CCBFE51" w14:textId="77777777" w:rsidR="00D37A7E" w:rsidRPr="00EA71D3" w:rsidRDefault="00D37A7E" w:rsidP="00D37A7E">
      <w:pPr>
        <w:pStyle w:val="CBD-para2-notnumbered"/>
        <w:rPr>
          <w:lang w:val="fr-FR"/>
        </w:rPr>
      </w:pPr>
      <w:r w:rsidRPr="00EA71D3">
        <w:rPr>
          <w:lang w:val="fr-FR"/>
        </w:rPr>
        <w:t>d)</w:t>
      </w:r>
      <w:r w:rsidRPr="00EA71D3">
        <w:rPr>
          <w:lang w:val="fr-FR"/>
        </w:rPr>
        <w:tab/>
        <w:t xml:space="preserve">La dégradation de l’environnement est une crise de santé mondiale qui façonne l’épidémiologie des maladies transmissibles et non transmissibles, met à l’épreuve la résilience des communautés et met à risque les générations futures. </w:t>
      </w:r>
    </w:p>
    <w:p w14:paraId="18E84BCF" w14:textId="6969C08C" w:rsidR="00D37A7E" w:rsidRPr="00EA71D3" w:rsidRDefault="000E6FDA" w:rsidP="00D37A7E">
      <w:pPr>
        <w:pStyle w:val="CBD-para2-notnumbered"/>
        <w:ind w:hanging="567"/>
        <w:rPr>
          <w:b/>
          <w:lang w:val="fr-FR"/>
        </w:rPr>
      </w:pPr>
      <w:r w:rsidRPr="00EA71D3">
        <w:rPr>
          <w:b/>
          <w:lang w:val="fr-FR"/>
        </w:rPr>
        <w:lastRenderedPageBreak/>
        <w:t>3</w:t>
      </w:r>
      <w:r w:rsidR="00D37A7E" w:rsidRPr="00EA71D3">
        <w:rPr>
          <w:b/>
          <w:lang w:val="fr-FR"/>
        </w:rPr>
        <w:t>.</w:t>
      </w:r>
      <w:r w:rsidR="00D37A7E" w:rsidRPr="00EA71D3">
        <w:rPr>
          <w:b/>
          <w:lang w:val="fr-FR"/>
        </w:rPr>
        <w:tab/>
        <w:t>La promotion de l’utilisation durable de la biodiversité et la garantie d’un partage juste et équitable des avantages découlant de l’utilisation des ressources génétiques sont des outils indispensables afin de créer des bienfaits pour la santé humaine.</w:t>
      </w:r>
    </w:p>
    <w:p w14:paraId="22B10AA2" w14:textId="3FE8CBDB" w:rsidR="00D37A7E" w:rsidRPr="00EA71D3" w:rsidRDefault="00D37A7E" w:rsidP="00D37A7E">
      <w:pPr>
        <w:pStyle w:val="CBD-para2-notnumbered"/>
        <w:tabs>
          <w:tab w:val="clear" w:pos="1701"/>
        </w:tabs>
        <w:ind w:hanging="567"/>
        <w:rPr>
          <w:lang w:val="fr-FR"/>
        </w:rPr>
      </w:pPr>
      <w:r w:rsidRPr="00EA71D3">
        <w:rPr>
          <w:lang w:val="fr-FR"/>
        </w:rPr>
        <w:tab/>
      </w:r>
      <w:r w:rsidR="00E932AE">
        <w:rPr>
          <w:rFonts w:hint="eastAsia"/>
          <w:lang w:val="fr-FR" w:eastAsia="zh-CN"/>
        </w:rPr>
        <w:t xml:space="preserve">          </w:t>
      </w:r>
      <w:r w:rsidRPr="00EA71D3">
        <w:rPr>
          <w:lang w:val="fr-FR"/>
        </w:rPr>
        <w:t xml:space="preserve">Les ressources génétiques et l’information de séquençage numérique contribuent à la recherche liée à la santé et au développement qui aboutit </w:t>
      </w:r>
      <w:r w:rsidR="000E6FDA" w:rsidRPr="00EA71D3">
        <w:rPr>
          <w:lang w:val="fr-FR"/>
        </w:rPr>
        <w:t xml:space="preserve">notamment </w:t>
      </w:r>
      <w:r w:rsidRPr="00EA71D3">
        <w:rPr>
          <w:lang w:val="fr-FR"/>
        </w:rPr>
        <w:t>au développement de vaccins</w:t>
      </w:r>
      <w:r w:rsidR="000E6FDA" w:rsidRPr="00EA71D3">
        <w:rPr>
          <w:lang w:val="fr-FR"/>
        </w:rPr>
        <w:t xml:space="preserve"> et </w:t>
      </w:r>
      <w:r w:rsidRPr="00EA71D3">
        <w:rPr>
          <w:lang w:val="fr-FR"/>
        </w:rPr>
        <w:t>de médicaments.</w:t>
      </w:r>
    </w:p>
    <w:p w14:paraId="7CF1B8CC" w14:textId="159CC714" w:rsidR="00D37A7E" w:rsidRPr="00EA71D3" w:rsidRDefault="000E6FDA" w:rsidP="00D37A7E">
      <w:pPr>
        <w:pStyle w:val="CBD-heading3-notnumbered"/>
        <w:ind w:right="288"/>
        <w:jc w:val="left"/>
        <w:rPr>
          <w:lang w:val="fr-FR"/>
        </w:rPr>
      </w:pPr>
      <w:r w:rsidRPr="00EA71D3">
        <w:rPr>
          <w:color w:val="000000"/>
          <w:lang w:val="fr-FR"/>
        </w:rPr>
        <w:t>4</w:t>
      </w:r>
      <w:r w:rsidR="00D37A7E" w:rsidRPr="00EA71D3">
        <w:rPr>
          <w:color w:val="000000"/>
          <w:lang w:val="fr-FR"/>
        </w:rPr>
        <w:t>.</w:t>
      </w:r>
      <w:r w:rsidR="00D37A7E" w:rsidRPr="00EA71D3">
        <w:rPr>
          <w:color w:val="000000"/>
          <w:lang w:val="fr-FR"/>
        </w:rPr>
        <w:tab/>
      </w:r>
      <w:r w:rsidR="00D37A7E" w:rsidRPr="00EA71D3">
        <w:rPr>
          <w:lang w:val="fr-FR"/>
        </w:rPr>
        <w:t>Les prestataires de santé et les systèmes de santé, y compris la pratique de la médecine traditionnelle, dépendent de la biodiversité pour prévenir, diagnostiquer, améliorer et traiter les maladies physiques et mentales</w:t>
      </w:r>
      <w:r w:rsidR="00D37A7E" w:rsidRPr="00EA71D3">
        <w:rPr>
          <w:vertAlign w:val="superscript"/>
          <w:lang w:val="fr-FR"/>
        </w:rPr>
        <w:t xml:space="preserve"> </w:t>
      </w:r>
    </w:p>
    <w:p w14:paraId="604B630B" w14:textId="36BB9BC0" w:rsidR="00D37A7E" w:rsidRPr="00EA71D3" w:rsidRDefault="00D37A7E" w:rsidP="00D37A7E">
      <w:pPr>
        <w:pStyle w:val="CBD-para2-notnumbered"/>
        <w:rPr>
          <w:lang w:val="fr-FR"/>
        </w:rPr>
      </w:pPr>
      <w:r w:rsidRPr="00EA71D3">
        <w:rPr>
          <w:lang w:val="fr-FR"/>
        </w:rPr>
        <w:t xml:space="preserve">La science, y compris la science traditionnelle, ainsi que les diverses connaissances et pratiques de santé doivent être prises en compte dans leur ensemble pour échanger les connaissances </w:t>
      </w:r>
      <w:r w:rsidR="000E6FDA" w:rsidRPr="00EA71D3">
        <w:rPr>
          <w:lang w:val="fr-FR"/>
        </w:rPr>
        <w:t>et</w:t>
      </w:r>
      <w:r w:rsidRPr="00EA71D3">
        <w:rPr>
          <w:lang w:val="fr-FR"/>
        </w:rPr>
        <w:t xml:space="preserve"> les meilleures pratiques et examiner la validation scientifique des différentes approches visant à améliorer et promouvoir la santé et le bien-être. Il est essentiel de résoudre le dualisme, la séparation et les déséquilibres dans les relations entre les êtres humains et la nature pour lutter contre la crise liée à la biodiversité et à la santé.</w:t>
      </w:r>
    </w:p>
    <w:p w14:paraId="47237D6E" w14:textId="74A26FD0" w:rsidR="00D37A7E" w:rsidRPr="00EA71D3" w:rsidRDefault="000E6FDA" w:rsidP="00D37A7E">
      <w:pPr>
        <w:pStyle w:val="CBD-heading3-notnumbered"/>
        <w:keepNext/>
        <w:rPr>
          <w:lang w:val="fr-FR"/>
        </w:rPr>
      </w:pPr>
      <w:r w:rsidRPr="00EA71D3">
        <w:rPr>
          <w:lang w:val="fr-FR"/>
        </w:rPr>
        <w:t>5</w:t>
      </w:r>
      <w:r w:rsidR="00D37A7E" w:rsidRPr="00EA71D3">
        <w:rPr>
          <w:lang w:val="fr-FR"/>
        </w:rPr>
        <w:t>.</w:t>
      </w:r>
      <w:r w:rsidR="00D37A7E" w:rsidRPr="00EA71D3">
        <w:rPr>
          <w:lang w:val="fr-FR"/>
        </w:rPr>
        <w:tab/>
        <w:t>Des interventions en matière de santé, tout comme des interventions en matière de biodiversité, sont nécessaires pour gérer les risques à court terme et à long terme qui découlent de la perte de biodiversité et des pratiques non durables</w:t>
      </w:r>
    </w:p>
    <w:p w14:paraId="378FB609" w14:textId="5652EA3E" w:rsidR="00D37A7E" w:rsidRPr="00EA71D3" w:rsidRDefault="00D37A7E" w:rsidP="00D37A7E">
      <w:pPr>
        <w:pStyle w:val="CBD-para2-notnumbered"/>
        <w:rPr>
          <w:lang w:val="fr-FR"/>
        </w:rPr>
      </w:pPr>
      <w:r w:rsidRPr="00EA71D3">
        <w:rPr>
          <w:lang w:val="fr-FR"/>
        </w:rPr>
        <w:t>a)</w:t>
      </w:r>
      <w:r w:rsidRPr="00EA71D3">
        <w:rPr>
          <w:lang w:val="fr-FR"/>
        </w:rPr>
        <w:tab/>
        <w:t>Tous les écosystèmes, y compris artificiels, ainsi que l’utilisation des espèces sauvages, doivent être gérés de manière durable afin de favoriser la santé des écosystèmes et le bien-être des plantes, des animaux et des humains ;</w:t>
      </w:r>
    </w:p>
    <w:p w14:paraId="1F473F47" w14:textId="55BAE06B" w:rsidR="00D37A7E" w:rsidRPr="00EA71D3" w:rsidRDefault="00D37A7E" w:rsidP="00D37A7E">
      <w:pPr>
        <w:pStyle w:val="CBD-para2-notnumbered"/>
        <w:rPr>
          <w:lang w:val="fr-FR"/>
        </w:rPr>
      </w:pPr>
      <w:r w:rsidRPr="00EA71D3">
        <w:rPr>
          <w:lang w:val="fr-FR"/>
        </w:rPr>
        <w:t>b)</w:t>
      </w:r>
      <w:r w:rsidRPr="00EA71D3">
        <w:rPr>
          <w:lang w:val="fr-FR"/>
        </w:rPr>
        <w:tab/>
        <w:t xml:space="preserve">La protection des déterminants environnementaux et sociaux de la santé est un défi commun. Les politiques et pratiques intégrées en matière d’environnement et de santé se renforcent mutuellement, alors que les approches compartimentées de gestion des défis et des risques sociaux et liés à la santé et à l’environnement sont inefficaces et peuvent avoir des effets défavorables imprévus sur la santé, surtout </w:t>
      </w:r>
      <w:r w:rsidR="000E6FDA" w:rsidRPr="00EA71D3">
        <w:rPr>
          <w:lang w:val="fr-FR"/>
        </w:rPr>
        <w:t>chez les</w:t>
      </w:r>
      <w:r w:rsidRPr="00EA71D3">
        <w:rPr>
          <w:lang w:val="fr-FR"/>
        </w:rPr>
        <w:t xml:space="preserve"> populations pauvres et vulnérables, et </w:t>
      </w:r>
      <w:r w:rsidR="000E6FDA" w:rsidRPr="00EA71D3">
        <w:rPr>
          <w:lang w:val="fr-FR"/>
        </w:rPr>
        <w:t xml:space="preserve">sur </w:t>
      </w:r>
      <w:r w:rsidRPr="00EA71D3">
        <w:rPr>
          <w:lang w:val="fr-FR"/>
        </w:rPr>
        <w:t>l’environnement.</w:t>
      </w:r>
    </w:p>
    <w:p w14:paraId="0B534FA0" w14:textId="57BB0678" w:rsidR="00D37A7E" w:rsidRPr="00EA71D3" w:rsidRDefault="000E6FDA" w:rsidP="00D37A7E">
      <w:pPr>
        <w:pStyle w:val="CBD-heading3-notnumbered"/>
        <w:keepNext/>
        <w:ind w:left="562" w:hanging="562"/>
        <w:rPr>
          <w:lang w:val="fr-FR"/>
        </w:rPr>
      </w:pPr>
      <w:r w:rsidRPr="00EA71D3">
        <w:rPr>
          <w:lang w:val="fr-FR"/>
        </w:rPr>
        <w:t>6</w:t>
      </w:r>
      <w:r w:rsidR="00D37A7E" w:rsidRPr="00EA71D3">
        <w:rPr>
          <w:lang w:val="fr-FR"/>
        </w:rPr>
        <w:t>.</w:t>
      </w:r>
      <w:r w:rsidR="00D37A7E" w:rsidRPr="00EA71D3">
        <w:rPr>
          <w:lang w:val="fr-FR"/>
        </w:rPr>
        <w:tab/>
        <w:t>L’incidence des changements climatiques sur la nature cause et exacerbe les risques liés à la santé pour les personnes et nuit au fonctionnement sain des écosystèmes</w:t>
      </w:r>
    </w:p>
    <w:p w14:paraId="162275E2" w14:textId="77777777" w:rsidR="00D37A7E" w:rsidRPr="00EA71D3" w:rsidRDefault="00D37A7E" w:rsidP="00D37A7E">
      <w:pPr>
        <w:pStyle w:val="CBD-para2-notnumbered"/>
        <w:rPr>
          <w:lang w:val="fr-FR"/>
        </w:rPr>
      </w:pPr>
      <w:r w:rsidRPr="00EA71D3">
        <w:rPr>
          <w:lang w:val="fr-FR"/>
        </w:rPr>
        <w:t>La protection de la biodiversité et des écosystèmes est fondamentale afin d’améliorer la résistance, compte tenu des conséquences des changements climatiques, et pour minimiser les répercussions défavorables des changements climatiques sur la santé.</w:t>
      </w:r>
    </w:p>
    <w:p w14:paraId="431120E4" w14:textId="788DA6FC" w:rsidR="00D37A7E" w:rsidRPr="00EA71D3" w:rsidRDefault="000E6FDA" w:rsidP="00D37A7E">
      <w:pPr>
        <w:pStyle w:val="CBD-heading3-notnumbered"/>
        <w:rPr>
          <w:lang w:val="fr-FR"/>
        </w:rPr>
      </w:pPr>
      <w:r w:rsidRPr="00EA71D3">
        <w:rPr>
          <w:lang w:val="fr-FR"/>
        </w:rPr>
        <w:t>7</w:t>
      </w:r>
      <w:r w:rsidR="00D37A7E" w:rsidRPr="00EA71D3">
        <w:rPr>
          <w:lang w:val="fr-FR"/>
        </w:rPr>
        <w:t>.</w:t>
      </w:r>
      <w:r w:rsidR="00D37A7E" w:rsidRPr="00EA71D3">
        <w:rPr>
          <w:lang w:val="fr-FR"/>
        </w:rPr>
        <w:tab/>
        <w:t>La pollution sous toutes ses formes nuit à la biodiversité et entraîne des défis liés à la santé pour les êtres humains et toutes les autres espèces</w:t>
      </w:r>
    </w:p>
    <w:p w14:paraId="032790BE" w14:textId="77777777" w:rsidR="00D37A7E" w:rsidRPr="00EA71D3" w:rsidRDefault="00D37A7E" w:rsidP="00D37A7E">
      <w:pPr>
        <w:pStyle w:val="CBD-para2-notnumbered"/>
        <w:rPr>
          <w:lang w:val="fr-FR"/>
        </w:rPr>
      </w:pPr>
      <w:r w:rsidRPr="00EA71D3">
        <w:rPr>
          <w:lang w:val="fr-FR"/>
        </w:rPr>
        <w:t>La prévention et la réduction efficaces de la pollution provenant de toutes sources peut améliorer la santé et le bien-être et prévenir les maladies.</w:t>
      </w:r>
    </w:p>
    <w:p w14:paraId="1FE86832" w14:textId="185ABB0E" w:rsidR="00D37A7E" w:rsidRPr="00EA71D3" w:rsidRDefault="000E6FDA" w:rsidP="00D37A7E">
      <w:pPr>
        <w:pStyle w:val="CBD-para2-notnumbered"/>
        <w:ind w:hanging="567"/>
        <w:rPr>
          <w:b/>
          <w:lang w:val="fr-FR"/>
        </w:rPr>
      </w:pPr>
      <w:r w:rsidRPr="00EA71D3">
        <w:rPr>
          <w:b/>
          <w:lang w:val="fr-FR"/>
        </w:rPr>
        <w:t>8</w:t>
      </w:r>
      <w:r w:rsidR="00D37A7E" w:rsidRPr="00EA71D3">
        <w:rPr>
          <w:b/>
          <w:lang w:val="fr-FR"/>
        </w:rPr>
        <w:t>.</w:t>
      </w:r>
      <w:r w:rsidR="00D37A7E" w:rsidRPr="00EA71D3">
        <w:rPr>
          <w:b/>
          <w:lang w:val="fr-FR"/>
        </w:rPr>
        <w:tab/>
        <w:t>La biosécurité est essentielle à la régulation et au contrôle des mouvements d’espèces exotiques envahissantes, des maladies infectieuses émergentes et d’autres organismes qui peuvent avoir des incidences négatives sur la biodiversité et la santé, et les interactions synergétiques entre elles.</w:t>
      </w:r>
    </w:p>
    <w:p w14:paraId="31F20F39" w14:textId="4F354BD6" w:rsidR="00D37A7E" w:rsidRPr="00EA71D3" w:rsidRDefault="00D37A7E" w:rsidP="00D37A7E">
      <w:pPr>
        <w:pStyle w:val="CBD-para2-notnumbered"/>
        <w:tabs>
          <w:tab w:val="clear" w:pos="1701"/>
          <w:tab w:val="left" w:pos="1170"/>
        </w:tabs>
        <w:ind w:hanging="567"/>
        <w:rPr>
          <w:lang w:val="fr-FR"/>
        </w:rPr>
      </w:pPr>
      <w:r w:rsidRPr="00EA71D3">
        <w:rPr>
          <w:lang w:val="fr-FR"/>
        </w:rPr>
        <w:tab/>
      </w:r>
      <w:r w:rsidRPr="00EA71D3">
        <w:rPr>
          <w:lang w:val="fr-FR"/>
        </w:rPr>
        <w:tab/>
      </w:r>
      <w:r w:rsidR="003E447B" w:rsidRPr="00EA71D3">
        <w:rPr>
          <w:lang w:val="fr-FR"/>
        </w:rPr>
        <w:t>Des mesures de biosécurité efficaces constituent souvent le fondement du maintien de la biodiversité et de la santé, et il est généralement plus efficace économiquement de prévenir que de guérir</w:t>
      </w:r>
      <w:r w:rsidRPr="00EA71D3">
        <w:rPr>
          <w:lang w:val="fr-FR"/>
        </w:rPr>
        <w:t>.</w:t>
      </w:r>
      <w:r w:rsidR="007265EF" w:rsidRPr="00EA71D3">
        <w:rPr>
          <w:lang w:val="fr-FR"/>
        </w:rPr>
        <w:t>]</w:t>
      </w:r>
      <w:r w:rsidRPr="00EA71D3">
        <w:rPr>
          <w:lang w:val="fr-FR"/>
        </w:rPr>
        <w:t xml:space="preserve"> </w:t>
      </w:r>
    </w:p>
    <w:p w14:paraId="0A17FF88" w14:textId="6BFD3659" w:rsidR="008F63E9" w:rsidRPr="00EA71D3" w:rsidRDefault="00E932AE" w:rsidP="00E932AE">
      <w:pPr>
        <w:pStyle w:val="CBD-para2-notnumbered"/>
        <w:ind w:left="0" w:firstLine="0"/>
        <w:jc w:val="center"/>
        <w:rPr>
          <w:lang w:val="fr-FR"/>
        </w:rPr>
      </w:pPr>
      <w:r w:rsidRPr="00E932AE">
        <w:rPr>
          <w:rFonts w:eastAsia="Times New Roman" w:cs="Times New Roman"/>
          <w:kern w:val="0"/>
          <w:lang w:val="fr-FR"/>
          <w14:ligatures w14:val="none"/>
        </w:rPr>
        <w:t>__________</w:t>
      </w:r>
    </w:p>
    <w:p w14:paraId="55B2B2B6" w14:textId="072349AC" w:rsidR="00B47783" w:rsidRPr="00EA71D3" w:rsidRDefault="00B47783" w:rsidP="009A429E">
      <w:pPr>
        <w:jc w:val="center"/>
        <w:rPr>
          <w:rFonts w:asciiTheme="majorBidi" w:eastAsiaTheme="minorHAnsi" w:hAnsiTheme="majorBidi" w:cstheme="majorBidi"/>
          <w:kern w:val="2"/>
          <w:lang w:val="fr-FR"/>
          <w14:ligatures w14:val="standardContextual"/>
        </w:rPr>
      </w:pPr>
    </w:p>
    <w:sectPr w:rsidR="00B47783" w:rsidRPr="00EA71D3" w:rsidSect="0021303A">
      <w:pgSz w:w="12240" w:h="15840"/>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E0765A" w14:textId="77777777" w:rsidR="00FA11F5" w:rsidRDefault="00FA11F5" w:rsidP="00A96B21">
      <w:r>
        <w:separator/>
      </w:r>
    </w:p>
  </w:endnote>
  <w:endnote w:type="continuationSeparator" w:id="0">
    <w:p w14:paraId="1DD3F1CE" w14:textId="77777777" w:rsidR="00FA11F5" w:rsidRDefault="00FA11F5" w:rsidP="00A96B21">
      <w:r>
        <w:continuationSeparator/>
      </w:r>
    </w:p>
  </w:endnote>
  <w:endnote w:type="continuationNotice" w:id="1">
    <w:p w14:paraId="26C57C87" w14:textId="77777777" w:rsidR="00FA11F5" w:rsidRDefault="00FA11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46AD6" w14:textId="77777777" w:rsidR="004D47D0" w:rsidRDefault="001A7DDB">
    <w:pPr>
      <w:pStyle w:val="Footer"/>
      <w:ind w:right="360"/>
    </w:pPr>
    <w:sdt>
      <w:sdtPr>
        <w:id w:val="510801899"/>
        <w:docPartObj>
          <w:docPartGallery w:val="Page Numbers (Top of Page)"/>
          <w:docPartUnique/>
        </w:docPartObj>
      </w:sdtPr>
      <w:sdtEndPr/>
      <w:sdtContent>
        <w:r w:rsidR="004D47D0" w:rsidRPr="002B559C">
          <w:rPr>
            <w:sz w:val="20"/>
            <w:szCs w:val="20"/>
          </w:rPr>
          <w:fldChar w:fldCharType="begin"/>
        </w:r>
        <w:r w:rsidR="004D47D0" w:rsidRPr="002B559C">
          <w:rPr>
            <w:sz w:val="20"/>
            <w:szCs w:val="20"/>
          </w:rPr>
          <w:instrText xml:space="preserve"> PAGE </w:instrText>
        </w:r>
        <w:r w:rsidR="004D47D0" w:rsidRPr="002B559C">
          <w:rPr>
            <w:sz w:val="20"/>
            <w:szCs w:val="20"/>
          </w:rPr>
          <w:fldChar w:fldCharType="separate"/>
        </w:r>
        <w:r w:rsidR="007265EF">
          <w:rPr>
            <w:noProof/>
            <w:sz w:val="20"/>
            <w:szCs w:val="20"/>
          </w:rPr>
          <w:t>32</w:t>
        </w:r>
        <w:r w:rsidR="004D47D0" w:rsidRPr="002B559C">
          <w:rPr>
            <w:sz w:val="20"/>
            <w:szCs w:val="20"/>
          </w:rPr>
          <w:fldChar w:fldCharType="end"/>
        </w:r>
        <w:r w:rsidR="004D47D0">
          <w:rPr>
            <w:sz w:val="20"/>
            <w:szCs w:val="20"/>
          </w:rPr>
          <w:t>/</w:t>
        </w:r>
        <w:r w:rsidR="004D47D0" w:rsidRPr="002B559C">
          <w:rPr>
            <w:sz w:val="20"/>
            <w:szCs w:val="20"/>
          </w:rPr>
          <w:fldChar w:fldCharType="begin"/>
        </w:r>
        <w:r w:rsidR="004D47D0" w:rsidRPr="002B559C">
          <w:rPr>
            <w:sz w:val="20"/>
            <w:szCs w:val="20"/>
          </w:rPr>
          <w:instrText xml:space="preserve"> NUMPAGES  </w:instrText>
        </w:r>
        <w:r w:rsidR="004D47D0" w:rsidRPr="002B559C">
          <w:rPr>
            <w:sz w:val="20"/>
            <w:szCs w:val="20"/>
          </w:rPr>
          <w:fldChar w:fldCharType="separate"/>
        </w:r>
        <w:r w:rsidR="007265EF">
          <w:rPr>
            <w:noProof/>
            <w:sz w:val="20"/>
            <w:szCs w:val="20"/>
          </w:rPr>
          <w:t>32</w:t>
        </w:r>
        <w:r w:rsidR="004D47D0" w:rsidRPr="002B559C">
          <w:rPr>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DFD0D" w14:textId="77777777" w:rsidR="004D47D0" w:rsidRDefault="001A7DDB" w:rsidP="009A429E">
    <w:pPr>
      <w:pStyle w:val="Footer"/>
      <w:ind w:right="360"/>
      <w:jc w:val="right"/>
    </w:pPr>
    <w:sdt>
      <w:sdtPr>
        <w:id w:val="969402045"/>
        <w:docPartObj>
          <w:docPartGallery w:val="Page Numbers (Top of Page)"/>
          <w:docPartUnique/>
        </w:docPartObj>
      </w:sdtPr>
      <w:sdtEndPr/>
      <w:sdtContent>
        <w:r w:rsidR="004D47D0" w:rsidRPr="002B559C">
          <w:rPr>
            <w:sz w:val="20"/>
            <w:szCs w:val="20"/>
          </w:rPr>
          <w:fldChar w:fldCharType="begin"/>
        </w:r>
        <w:r w:rsidR="004D47D0" w:rsidRPr="002B559C">
          <w:rPr>
            <w:sz w:val="20"/>
            <w:szCs w:val="20"/>
          </w:rPr>
          <w:instrText xml:space="preserve"> PAGE </w:instrText>
        </w:r>
        <w:r w:rsidR="004D47D0" w:rsidRPr="002B559C">
          <w:rPr>
            <w:sz w:val="20"/>
            <w:szCs w:val="20"/>
          </w:rPr>
          <w:fldChar w:fldCharType="separate"/>
        </w:r>
        <w:r w:rsidR="007265EF">
          <w:rPr>
            <w:noProof/>
            <w:sz w:val="20"/>
            <w:szCs w:val="20"/>
          </w:rPr>
          <w:t>11</w:t>
        </w:r>
        <w:r w:rsidR="004D47D0" w:rsidRPr="002B559C">
          <w:rPr>
            <w:sz w:val="20"/>
            <w:szCs w:val="20"/>
          </w:rPr>
          <w:fldChar w:fldCharType="end"/>
        </w:r>
        <w:r w:rsidR="004D47D0">
          <w:rPr>
            <w:sz w:val="20"/>
            <w:szCs w:val="20"/>
          </w:rPr>
          <w:t>/</w:t>
        </w:r>
        <w:r w:rsidR="004D47D0" w:rsidRPr="002B559C">
          <w:rPr>
            <w:sz w:val="20"/>
            <w:szCs w:val="20"/>
          </w:rPr>
          <w:fldChar w:fldCharType="begin"/>
        </w:r>
        <w:r w:rsidR="004D47D0" w:rsidRPr="002B559C">
          <w:rPr>
            <w:sz w:val="20"/>
            <w:szCs w:val="20"/>
          </w:rPr>
          <w:instrText xml:space="preserve"> NUMPAGES  </w:instrText>
        </w:r>
        <w:r w:rsidR="004D47D0" w:rsidRPr="002B559C">
          <w:rPr>
            <w:sz w:val="20"/>
            <w:szCs w:val="20"/>
          </w:rPr>
          <w:fldChar w:fldCharType="separate"/>
        </w:r>
        <w:r w:rsidR="007265EF">
          <w:rPr>
            <w:noProof/>
            <w:sz w:val="20"/>
            <w:szCs w:val="20"/>
          </w:rPr>
          <w:t>32</w:t>
        </w:r>
        <w:r w:rsidR="004D47D0" w:rsidRPr="002B559C">
          <w:rPr>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44F6F0" w14:textId="77777777" w:rsidR="00FA11F5" w:rsidRDefault="00FA11F5" w:rsidP="00A96B21">
      <w:r>
        <w:separator/>
      </w:r>
    </w:p>
  </w:footnote>
  <w:footnote w:type="continuationSeparator" w:id="0">
    <w:p w14:paraId="265FB613" w14:textId="77777777" w:rsidR="00FA11F5" w:rsidRDefault="00FA11F5" w:rsidP="00A96B21">
      <w:r>
        <w:continuationSeparator/>
      </w:r>
    </w:p>
  </w:footnote>
  <w:footnote w:type="continuationNotice" w:id="1">
    <w:p w14:paraId="568834D1" w14:textId="77777777" w:rsidR="00FA11F5" w:rsidRDefault="00FA11F5"/>
  </w:footnote>
  <w:footnote w:id="2">
    <w:p w14:paraId="6CF8EE8F" w14:textId="77777777" w:rsidR="004D47D0" w:rsidRPr="00EA71D3" w:rsidRDefault="004D47D0" w:rsidP="003F4720">
      <w:pPr>
        <w:pStyle w:val="FootnoteText"/>
        <w:rPr>
          <w:sz w:val="18"/>
          <w:szCs w:val="18"/>
          <w:lang w:val="fr-FR"/>
        </w:rPr>
      </w:pPr>
      <w:r w:rsidRPr="00EA71D3">
        <w:rPr>
          <w:rStyle w:val="FootnoteReference"/>
          <w:sz w:val="18"/>
          <w:szCs w:val="18"/>
          <w:lang w:val="fr-FR"/>
        </w:rPr>
        <w:footnoteRef/>
      </w:r>
      <w:r w:rsidRPr="00EA71D3">
        <w:rPr>
          <w:sz w:val="18"/>
          <w:szCs w:val="18"/>
          <w:lang w:val="fr-FR"/>
        </w:rPr>
        <w:t xml:space="preserve"> Décision 15/4, annexe.</w:t>
      </w:r>
    </w:p>
  </w:footnote>
  <w:footnote w:id="3">
    <w:p w14:paraId="24E4D16C" w14:textId="77777777" w:rsidR="004D47D0" w:rsidRPr="00EA71D3" w:rsidRDefault="004D47D0" w:rsidP="003F4720">
      <w:pPr>
        <w:pStyle w:val="FootnoteText"/>
        <w:rPr>
          <w:sz w:val="18"/>
          <w:szCs w:val="18"/>
          <w:lang w:val="fr-FR"/>
        </w:rPr>
      </w:pPr>
      <w:r w:rsidRPr="00EA71D3">
        <w:rPr>
          <w:rStyle w:val="FootnoteReference"/>
          <w:sz w:val="18"/>
          <w:szCs w:val="18"/>
          <w:lang w:val="fr-FR"/>
        </w:rPr>
        <w:footnoteRef/>
      </w:r>
      <w:r w:rsidRPr="00EA71D3">
        <w:rPr>
          <w:sz w:val="18"/>
          <w:szCs w:val="18"/>
          <w:lang w:val="fr-FR"/>
        </w:rPr>
        <w:t xml:space="preserve"> Nations Unies, </w:t>
      </w:r>
      <w:r w:rsidRPr="00EA71D3">
        <w:rPr>
          <w:i/>
          <w:sz w:val="18"/>
          <w:szCs w:val="18"/>
          <w:lang w:val="fr-FR"/>
        </w:rPr>
        <w:t>Recueil des Traités</w:t>
      </w:r>
      <w:r w:rsidRPr="00EA71D3">
        <w:rPr>
          <w:sz w:val="18"/>
          <w:szCs w:val="18"/>
          <w:lang w:val="fr-FR"/>
        </w:rPr>
        <w:t xml:space="preserve">, </w:t>
      </w:r>
      <w:r w:rsidRPr="00EA71D3">
        <w:rPr>
          <w:color w:val="000000"/>
          <w:sz w:val="18"/>
          <w:szCs w:val="18"/>
          <w:lang w:val="fr-FR"/>
        </w:rPr>
        <w:t>vol. 1760, n</w:t>
      </w:r>
      <w:r w:rsidRPr="00EA71D3">
        <w:rPr>
          <w:color w:val="000000"/>
          <w:sz w:val="18"/>
          <w:szCs w:val="18"/>
          <w:vertAlign w:val="superscript"/>
          <w:lang w:val="fr-FR"/>
        </w:rPr>
        <w:t>o</w:t>
      </w:r>
      <w:r w:rsidRPr="00EA71D3">
        <w:rPr>
          <w:color w:val="000000"/>
          <w:sz w:val="18"/>
          <w:szCs w:val="18"/>
          <w:lang w:val="fr-FR"/>
        </w:rPr>
        <w:t> 30619.</w:t>
      </w:r>
    </w:p>
  </w:footnote>
  <w:footnote w:id="4">
    <w:p w14:paraId="21ACE26B" w14:textId="5EE234AA" w:rsidR="00E23362" w:rsidRPr="00EA71D3" w:rsidRDefault="00E23362" w:rsidP="00E23362">
      <w:pPr>
        <w:pStyle w:val="FootnoteText"/>
        <w:rPr>
          <w:sz w:val="18"/>
          <w:szCs w:val="18"/>
          <w:lang w:val="fr-FR"/>
        </w:rPr>
      </w:pPr>
      <w:r w:rsidRPr="00EA71D3">
        <w:rPr>
          <w:rStyle w:val="FootnoteReference"/>
          <w:sz w:val="18"/>
          <w:szCs w:val="18"/>
          <w:lang w:val="fr-FR"/>
        </w:rPr>
        <w:footnoteRef/>
      </w:r>
      <w:r w:rsidRPr="00EA71D3">
        <w:rPr>
          <w:sz w:val="18"/>
          <w:szCs w:val="18"/>
          <w:lang w:val="fr-FR"/>
        </w:rPr>
        <w:t xml:space="preserve"> CBD/SBSTTA/26/4, annexe I.</w:t>
      </w:r>
    </w:p>
  </w:footnote>
  <w:footnote w:id="5">
    <w:p w14:paraId="7942DE3E" w14:textId="501F042B" w:rsidR="004D47D0" w:rsidRPr="00EA71D3" w:rsidRDefault="004D47D0" w:rsidP="003F4720">
      <w:pPr>
        <w:pStyle w:val="FootnoteText"/>
        <w:rPr>
          <w:sz w:val="18"/>
          <w:szCs w:val="18"/>
          <w:lang w:val="fr-FR"/>
        </w:rPr>
      </w:pPr>
      <w:r w:rsidRPr="00EA71D3">
        <w:rPr>
          <w:rStyle w:val="FootnoteReference"/>
          <w:sz w:val="18"/>
          <w:szCs w:val="18"/>
          <w:lang w:val="fr-FR"/>
        </w:rPr>
        <w:footnoteRef/>
      </w:r>
      <w:r w:rsidRPr="00EA71D3">
        <w:rPr>
          <w:sz w:val="18"/>
          <w:szCs w:val="18"/>
          <w:lang w:val="fr-FR"/>
        </w:rPr>
        <w:t xml:space="preserve"> </w:t>
      </w:r>
      <w:r w:rsidR="00E23362" w:rsidRPr="00EA71D3">
        <w:rPr>
          <w:sz w:val="18"/>
          <w:szCs w:val="18"/>
          <w:lang w:val="fr-FR"/>
        </w:rPr>
        <w:t>Organisation mondiale de la Santé « </w:t>
      </w:r>
      <w:r w:rsidRPr="00EA71D3">
        <w:rPr>
          <w:sz w:val="18"/>
          <w:szCs w:val="18"/>
          <w:lang w:val="fr-FR"/>
        </w:rPr>
        <w:t xml:space="preserve">Après-COVID-19 : Manifeste pour un monde en meilleur santé. Genève : </w:t>
      </w:r>
      <w:r w:rsidR="00E23362" w:rsidRPr="00EA71D3">
        <w:rPr>
          <w:sz w:val="18"/>
          <w:szCs w:val="18"/>
          <w:lang w:val="fr-FR"/>
        </w:rPr>
        <w:t>Recommandations pour un monde en meilleure santé et plus soucieux de l’environnement »,</w:t>
      </w:r>
      <w:r w:rsidRPr="00EA71D3">
        <w:rPr>
          <w:sz w:val="18"/>
          <w:szCs w:val="18"/>
          <w:lang w:val="fr-FR"/>
        </w:rPr>
        <w:t xml:space="preserve"> 2020. </w:t>
      </w:r>
    </w:p>
  </w:footnote>
  <w:footnote w:id="6">
    <w:p w14:paraId="47CD12E4" w14:textId="10669D3E" w:rsidR="00E23362" w:rsidRPr="00EA71D3" w:rsidRDefault="00E23362" w:rsidP="00E23362">
      <w:pPr>
        <w:pStyle w:val="FootnoteText"/>
        <w:rPr>
          <w:sz w:val="18"/>
          <w:szCs w:val="18"/>
          <w:lang w:val="fr-FR"/>
        </w:rPr>
      </w:pPr>
      <w:r w:rsidRPr="00EA71D3">
        <w:rPr>
          <w:rStyle w:val="FootnoteReference"/>
          <w:sz w:val="18"/>
          <w:szCs w:val="18"/>
          <w:lang w:val="fr-FR"/>
        </w:rPr>
        <w:footnoteRef/>
      </w:r>
      <w:r w:rsidRPr="00EA71D3">
        <w:rPr>
          <w:kern w:val="14"/>
          <w:sz w:val="18"/>
          <w:szCs w:val="18"/>
          <w:lang w:val="fr-FR"/>
        </w:rPr>
        <w:t xml:space="preserve"> Adopté au titre de la Convention-cadre des Nations Unies sur les changements climatiques dans le document FCCC/CP/2015/10/Add.1, décision 1/CP.21.</w:t>
      </w:r>
    </w:p>
  </w:footnote>
  <w:footnote w:id="7">
    <w:p w14:paraId="17694777" w14:textId="328E0D55" w:rsidR="00E23362" w:rsidRPr="00EA71D3" w:rsidRDefault="00E23362" w:rsidP="00E23362">
      <w:pPr>
        <w:pStyle w:val="FootnoteText"/>
        <w:rPr>
          <w:rFonts w:asciiTheme="majorBidi" w:hAnsiTheme="majorBidi" w:cstheme="majorBidi"/>
          <w:sz w:val="18"/>
          <w:szCs w:val="18"/>
          <w:lang w:val="fr-FR"/>
        </w:rPr>
      </w:pPr>
      <w:r w:rsidRPr="00EA71D3">
        <w:rPr>
          <w:rStyle w:val="FootnoteReference"/>
          <w:rFonts w:asciiTheme="majorBidi" w:hAnsiTheme="majorBidi" w:cstheme="majorBidi"/>
          <w:sz w:val="18"/>
          <w:szCs w:val="18"/>
          <w:lang w:val="fr-FR"/>
        </w:rPr>
        <w:footnoteRef/>
      </w:r>
      <w:r w:rsidRPr="00EA71D3">
        <w:rPr>
          <w:rFonts w:asciiTheme="majorBidi" w:hAnsiTheme="majorBidi" w:cstheme="majorBidi"/>
          <w:sz w:val="18"/>
          <w:szCs w:val="18"/>
          <w:lang w:val="fr-FR"/>
        </w:rPr>
        <w:t xml:space="preserve"> </w:t>
      </w:r>
      <w:hyperlink r:id="rId1" w:history="1">
        <w:r w:rsidRPr="00EA71D3">
          <w:rPr>
            <w:rFonts w:asciiTheme="majorBidi" w:hAnsiTheme="majorBidi" w:cstheme="majorBidi"/>
            <w:color w:val="0000FF"/>
            <w:sz w:val="18"/>
            <w:szCs w:val="18"/>
            <w:u w:val="single"/>
            <w:lang w:val="fr-FR"/>
          </w:rPr>
          <w:t>E/C.19/2023/5</w:t>
        </w:r>
      </w:hyperlink>
      <w:r w:rsidRPr="00EA71D3">
        <w:rPr>
          <w:rFonts w:asciiTheme="majorBidi" w:hAnsiTheme="majorBidi" w:cstheme="majorBidi"/>
          <w:color w:val="0563C1"/>
          <w:sz w:val="18"/>
          <w:szCs w:val="18"/>
          <w:u w:val="single"/>
          <w:lang w:val="fr-FR"/>
        </w:rPr>
        <w:t>,</w:t>
      </w:r>
      <w:r w:rsidRPr="00EA71D3">
        <w:rPr>
          <w:rFonts w:asciiTheme="majorBidi" w:hAnsiTheme="majorBidi" w:cstheme="majorBidi"/>
          <w:sz w:val="18"/>
          <w:szCs w:val="18"/>
          <w:lang w:val="fr-FR"/>
        </w:rPr>
        <w:t xml:space="preserve"> par. 24.</w:t>
      </w:r>
    </w:p>
  </w:footnote>
  <w:footnote w:id="8">
    <w:p w14:paraId="6324BA7C" w14:textId="46D22811" w:rsidR="002C644D" w:rsidRPr="00EA71D3" w:rsidRDefault="002C644D" w:rsidP="002C644D">
      <w:pPr>
        <w:pStyle w:val="FootnoteText"/>
        <w:rPr>
          <w:sz w:val="18"/>
          <w:szCs w:val="18"/>
          <w:lang w:val="fr-FR"/>
        </w:rPr>
      </w:pPr>
      <w:r w:rsidRPr="00EA71D3">
        <w:rPr>
          <w:rStyle w:val="FootnoteReference"/>
          <w:sz w:val="18"/>
          <w:szCs w:val="18"/>
          <w:lang w:val="fr-FR"/>
        </w:rPr>
        <w:footnoteRef/>
      </w:r>
      <w:r w:rsidRPr="00EA71D3">
        <w:rPr>
          <w:sz w:val="18"/>
          <w:szCs w:val="18"/>
          <w:lang w:val="fr-FR"/>
        </w:rPr>
        <w:t xml:space="preserve"> D</w:t>
      </w:r>
      <w:r w:rsidR="000E6FDA" w:rsidRPr="00EA71D3">
        <w:rPr>
          <w:sz w:val="18"/>
          <w:szCs w:val="18"/>
          <w:lang w:val="fr-FR"/>
        </w:rPr>
        <w:t>é</w:t>
      </w:r>
      <w:r w:rsidRPr="00EA71D3">
        <w:rPr>
          <w:sz w:val="18"/>
          <w:szCs w:val="18"/>
          <w:lang w:val="fr-FR"/>
        </w:rPr>
        <w:t>cision 15/4, annex</w:t>
      </w:r>
      <w:r w:rsidR="000E6FDA" w:rsidRPr="00EA71D3">
        <w:rPr>
          <w:sz w:val="18"/>
          <w:szCs w:val="18"/>
          <w:lang w:val="fr-FR"/>
        </w:rPr>
        <w:t>e</w:t>
      </w:r>
      <w:r w:rsidRPr="00EA71D3">
        <w:rPr>
          <w:sz w:val="18"/>
          <w:szCs w:val="18"/>
          <w:lang w:val="fr-FR"/>
        </w:rPr>
        <w:t>.</w:t>
      </w:r>
    </w:p>
  </w:footnote>
  <w:footnote w:id="9">
    <w:p w14:paraId="5416492C" w14:textId="77777777" w:rsidR="00E932AE" w:rsidRPr="00EA71D3" w:rsidRDefault="00E932AE" w:rsidP="00E932AE">
      <w:pPr>
        <w:pStyle w:val="FootnoteText"/>
        <w:rPr>
          <w:lang w:val="fr-FR"/>
        </w:rPr>
      </w:pPr>
      <w:r w:rsidRPr="00EA71D3">
        <w:rPr>
          <w:rStyle w:val="FootnoteReference"/>
          <w:lang w:val="fr-FR"/>
        </w:rPr>
        <w:footnoteRef/>
      </w:r>
      <w:r w:rsidRPr="00EA71D3">
        <w:rPr>
          <w:lang w:val="fr-FR"/>
        </w:rPr>
        <w:t xml:space="preserve"> </w:t>
      </w:r>
      <w:r w:rsidRPr="00EA71D3">
        <w:rPr>
          <w:sz w:val="18"/>
          <w:szCs w:val="18"/>
          <w:lang w:val="fr-FR"/>
        </w:rPr>
        <w:t>L’Organe subsidiaire n’a pas terminé ses échanges sur le paragraphe 8.</w:t>
      </w:r>
    </w:p>
  </w:footnote>
  <w:footnote w:id="10">
    <w:p w14:paraId="198F0A20" w14:textId="77777777" w:rsidR="00E932AE" w:rsidRPr="00EA71D3" w:rsidRDefault="00E932AE" w:rsidP="00E932AE">
      <w:pPr>
        <w:pStyle w:val="FootnoteText"/>
        <w:rPr>
          <w:sz w:val="18"/>
          <w:szCs w:val="18"/>
          <w:lang w:val="fr-FR"/>
        </w:rPr>
      </w:pPr>
      <w:r w:rsidRPr="00EA71D3">
        <w:rPr>
          <w:rStyle w:val="FootnoteReference"/>
          <w:sz w:val="18"/>
          <w:szCs w:val="18"/>
          <w:lang w:val="fr-FR"/>
        </w:rPr>
        <w:footnoteRef/>
      </w:r>
      <w:r w:rsidRPr="00EA71D3">
        <w:rPr>
          <w:sz w:val="18"/>
          <w:szCs w:val="18"/>
          <w:lang w:val="fr-FR"/>
        </w:rPr>
        <w:t xml:space="preserve"> L'Organe subsidiaire chargé de fournir des avis scientifiques, techniques et technologiques n'a pas examiné les paragraphes 9 et 10 à sa vingt sixième réunion.</w:t>
      </w:r>
    </w:p>
  </w:footnote>
  <w:footnote w:id="11">
    <w:p w14:paraId="5FDC0F0B" w14:textId="4997C11D" w:rsidR="00461B93" w:rsidRPr="00EA71D3" w:rsidRDefault="00461B93" w:rsidP="00461B93">
      <w:pPr>
        <w:pStyle w:val="FootnoteText"/>
        <w:rPr>
          <w:lang w:val="fr-FR"/>
        </w:rPr>
      </w:pPr>
      <w:r w:rsidRPr="00EA71D3">
        <w:rPr>
          <w:rStyle w:val="FootnoteReference"/>
          <w:lang w:val="fr-FR"/>
        </w:rPr>
        <w:footnoteRef/>
      </w:r>
      <w:r w:rsidRPr="00EA71D3">
        <w:rPr>
          <w:lang w:val="fr-FR"/>
        </w:rPr>
        <w:t xml:space="preserve">  </w:t>
      </w:r>
      <w:r w:rsidRPr="00EA71D3">
        <w:rPr>
          <w:sz w:val="18"/>
          <w:lang w:val="fr-FR"/>
        </w:rPr>
        <w:t>Il a été pris note du fait que la finalisation du texte entre crochets à l’heure actuelle peut avoir des conséquences sur le texte qui ne se trouve pas entre crochets à l’heure actuelle</w:t>
      </w:r>
      <w:r w:rsidRPr="00EA71D3">
        <w:rPr>
          <w:lang w:val="fr-FR"/>
        </w:rPr>
        <w:t>.</w:t>
      </w:r>
    </w:p>
  </w:footnote>
  <w:footnote w:id="12">
    <w:p w14:paraId="48DB4577" w14:textId="19254860" w:rsidR="004D47D0" w:rsidRPr="00EA71D3" w:rsidRDefault="004D47D0" w:rsidP="009E6D43">
      <w:pPr>
        <w:pStyle w:val="FootnoteText"/>
        <w:rPr>
          <w:sz w:val="18"/>
          <w:szCs w:val="18"/>
          <w:lang w:val="fr-FR"/>
        </w:rPr>
      </w:pPr>
      <w:r w:rsidRPr="00EA71D3">
        <w:rPr>
          <w:rStyle w:val="FootnoteReference"/>
          <w:rFonts w:asciiTheme="majorBidi" w:hAnsiTheme="majorBidi" w:cstheme="majorBidi"/>
          <w:sz w:val="18"/>
          <w:szCs w:val="18"/>
          <w:lang w:val="fr-FR"/>
        </w:rPr>
        <w:footnoteRef/>
      </w:r>
      <w:r w:rsidRPr="00EA71D3">
        <w:rPr>
          <w:rFonts w:asciiTheme="majorBidi" w:hAnsiTheme="majorBidi"/>
          <w:sz w:val="18"/>
          <w:szCs w:val="18"/>
          <w:lang w:val="fr-FR"/>
        </w:rPr>
        <w:t xml:space="preserve"> Voir CBD/SBSTTA/26/INF/3.</w:t>
      </w:r>
    </w:p>
  </w:footnote>
  <w:footnote w:id="13">
    <w:p w14:paraId="1F04C864" w14:textId="77777777" w:rsidR="004D47D0" w:rsidRPr="00EA71D3" w:rsidRDefault="004D47D0" w:rsidP="009E6D43">
      <w:pPr>
        <w:pStyle w:val="FootnoteText"/>
        <w:rPr>
          <w:sz w:val="18"/>
          <w:szCs w:val="18"/>
          <w:lang w:val="fr-FR"/>
        </w:rPr>
      </w:pPr>
      <w:r w:rsidRPr="00EA71D3">
        <w:rPr>
          <w:rStyle w:val="FootnoteReference"/>
          <w:sz w:val="18"/>
          <w:szCs w:val="18"/>
          <w:lang w:val="fr-FR"/>
        </w:rPr>
        <w:footnoteRef/>
      </w:r>
      <w:r w:rsidRPr="00EA71D3">
        <w:rPr>
          <w:sz w:val="18"/>
          <w:szCs w:val="18"/>
          <w:lang w:val="fr-FR"/>
        </w:rPr>
        <w:t xml:space="preserve"> Décision 15/4, annexe.</w:t>
      </w:r>
    </w:p>
  </w:footnote>
  <w:footnote w:id="14">
    <w:p w14:paraId="158855DC" w14:textId="77777777" w:rsidR="004D47D0" w:rsidRPr="00EA71D3" w:rsidRDefault="004D47D0" w:rsidP="009E6D43">
      <w:pPr>
        <w:pStyle w:val="FootnoteText"/>
        <w:rPr>
          <w:sz w:val="18"/>
          <w:szCs w:val="18"/>
          <w:lang w:val="fr-FR"/>
        </w:rPr>
      </w:pPr>
      <w:r w:rsidRPr="00EA71D3">
        <w:rPr>
          <w:rStyle w:val="FootnoteReference"/>
          <w:sz w:val="18"/>
          <w:szCs w:val="18"/>
          <w:lang w:val="fr-FR"/>
        </w:rPr>
        <w:footnoteRef/>
      </w:r>
      <w:r w:rsidRPr="00EA71D3">
        <w:rPr>
          <w:sz w:val="18"/>
          <w:szCs w:val="18"/>
          <w:lang w:val="fr-FR"/>
        </w:rPr>
        <w:t xml:space="preserve"> La Plateforme intergouvernementale scientifique et politique sur la biodiversité et les services écosystémiques définit les contributions de la nature envers les personnes comme toutes les contributions, qu’elles soient favorables ou défavorables, de la nature vivante (c.-à-d. de la diversité des organismes et écosystèmes et des processus écologiques et évolutifs qui y sont associés) à la qualité de vie des personnes.</w:t>
      </w:r>
    </w:p>
  </w:footnote>
  <w:footnote w:id="15">
    <w:p w14:paraId="043FAB76" w14:textId="24166BDB" w:rsidR="000E6FDA" w:rsidRPr="00EA71D3" w:rsidRDefault="000E6FDA" w:rsidP="000E6FDA">
      <w:pPr>
        <w:pStyle w:val="FootnoteText"/>
        <w:rPr>
          <w:sz w:val="18"/>
          <w:szCs w:val="18"/>
          <w:lang w:val="fr-FR"/>
        </w:rPr>
      </w:pPr>
      <w:r w:rsidRPr="00EA71D3">
        <w:rPr>
          <w:rStyle w:val="FootnoteReference"/>
          <w:sz w:val="18"/>
          <w:szCs w:val="18"/>
          <w:lang w:val="fr-FR"/>
        </w:rPr>
        <w:footnoteRef/>
      </w:r>
      <w:r w:rsidRPr="00EA71D3">
        <w:rPr>
          <w:sz w:val="18"/>
          <w:szCs w:val="18"/>
          <w:lang w:val="fr-FR"/>
        </w:rPr>
        <w:t xml:space="preserve"> </w:t>
      </w:r>
      <w:r w:rsidR="00AA2337" w:rsidRPr="00AA2337">
        <w:rPr>
          <w:sz w:val="18"/>
          <w:szCs w:val="18"/>
          <w:lang w:val="fr-FR"/>
        </w:rPr>
        <w:t xml:space="preserve">Hans-Otto Pörtner et al, eds, </w:t>
      </w:r>
      <w:r w:rsidR="00AA2337" w:rsidRPr="00AA2337">
        <w:rPr>
          <w:i/>
          <w:iCs/>
          <w:sz w:val="18"/>
          <w:szCs w:val="18"/>
          <w:lang w:val="fr-FR"/>
        </w:rPr>
        <w:t>Changements climatiques 2022 : Impacts, adaptation et vulnérabilité : Contribution du Groupe de travail II au sixième rapport d'évaluation du Groupe d'experts intergouvernemental sur l'évolution du climat</w:t>
      </w:r>
      <w:r w:rsidR="00AA2337" w:rsidRPr="00AA2337">
        <w:rPr>
          <w:sz w:val="18"/>
          <w:szCs w:val="18"/>
          <w:lang w:val="fr-FR"/>
        </w:rPr>
        <w:t xml:space="preserve"> (Genève, Groupe d'experts intergouvernemental sur l'évolution du climat, 2022</w:t>
      </w:r>
      <w:r w:rsidRPr="00EA71D3">
        <w:rPr>
          <w:sz w:val="18"/>
          <w:szCs w:val="18"/>
          <w:lang w:val="fr-FR"/>
        </w:rPr>
        <w:t>).</w:t>
      </w:r>
    </w:p>
  </w:footnote>
  <w:footnote w:id="16">
    <w:p w14:paraId="3C3FD276" w14:textId="7D3EA597" w:rsidR="004D47D0" w:rsidRPr="00EA71D3" w:rsidRDefault="004D47D0" w:rsidP="009E6D43">
      <w:pPr>
        <w:pStyle w:val="FootnoteText"/>
        <w:rPr>
          <w:sz w:val="18"/>
          <w:szCs w:val="18"/>
          <w:lang w:val="fr-FR"/>
        </w:rPr>
      </w:pPr>
      <w:r w:rsidRPr="00EA71D3">
        <w:rPr>
          <w:rStyle w:val="FootnoteReference"/>
          <w:sz w:val="18"/>
          <w:szCs w:val="18"/>
          <w:lang w:val="fr-FR"/>
        </w:rPr>
        <w:footnoteRef/>
      </w:r>
      <w:r w:rsidRPr="00EA71D3">
        <w:rPr>
          <w:sz w:val="18"/>
          <w:szCs w:val="18"/>
          <w:lang w:val="fr-FR"/>
        </w:rPr>
        <w:t xml:space="preserve"> E/C.19/2023/5.</w:t>
      </w:r>
    </w:p>
  </w:footnote>
  <w:footnote w:id="17">
    <w:p w14:paraId="7779BD59" w14:textId="77777777" w:rsidR="004D47D0" w:rsidRPr="00EA71D3" w:rsidRDefault="004D47D0" w:rsidP="009E6D43">
      <w:pPr>
        <w:pStyle w:val="FootnoteText"/>
        <w:rPr>
          <w:sz w:val="18"/>
          <w:szCs w:val="18"/>
          <w:lang w:val="fr-FR"/>
        </w:rPr>
      </w:pPr>
      <w:r w:rsidRPr="00EA71D3">
        <w:rPr>
          <w:rStyle w:val="FootnoteReference"/>
          <w:rFonts w:asciiTheme="majorBidi" w:hAnsiTheme="majorBidi" w:cstheme="majorBidi"/>
          <w:sz w:val="18"/>
          <w:szCs w:val="18"/>
          <w:lang w:val="fr-FR"/>
        </w:rPr>
        <w:footnoteRef/>
      </w:r>
      <w:r w:rsidRPr="00EA71D3">
        <w:rPr>
          <w:rFonts w:asciiTheme="majorBidi" w:hAnsiTheme="majorBidi"/>
          <w:sz w:val="18"/>
          <w:szCs w:val="18"/>
          <w:lang w:val="fr-FR"/>
        </w:rPr>
        <w:t xml:space="preserve"> Les déterminants environnementaux de la santé sont des facteurs environnementaux mondiaux, régionaux, nationaux et locaux qui ont une incidence sur la santé humaine. Ils comprennent les facteurs physiques, chimiques et biologiques externes à une personne. De plus amples renseignements sur les déterminants environnementaux de la santé sont présentés sur </w:t>
      </w:r>
      <w:r w:rsidRPr="00EA71D3">
        <w:rPr>
          <w:rStyle w:val="Hyperlink"/>
          <w:rFonts w:asciiTheme="majorBidi" w:hAnsiTheme="majorBidi"/>
          <w:color w:val="auto"/>
          <w:sz w:val="18"/>
          <w:szCs w:val="18"/>
          <w:u w:val="none"/>
          <w:lang w:val="fr-FR"/>
        </w:rPr>
        <w:t xml:space="preserve">le </w:t>
      </w:r>
      <w:r w:rsidRPr="00EA71D3">
        <w:rPr>
          <w:sz w:val="18"/>
          <w:lang w:val="fr-FR"/>
        </w:rPr>
        <w:t>site Web</w:t>
      </w:r>
      <w:r w:rsidRPr="00EA71D3">
        <w:rPr>
          <w:rFonts w:asciiTheme="majorBidi" w:hAnsiTheme="majorBidi"/>
          <w:sz w:val="18"/>
          <w:szCs w:val="18"/>
          <w:lang w:val="fr-FR"/>
        </w:rPr>
        <w:t xml:space="preserve"> l’Organisation panaméricaine de la santé au </w:t>
      </w:r>
      <w:hyperlink r:id="rId2" w:history="1">
        <w:r w:rsidRPr="00EA71D3">
          <w:rPr>
            <w:rStyle w:val="Hyperlink"/>
            <w:rFonts w:asciiTheme="majorBidi" w:hAnsiTheme="majorBidi"/>
            <w:sz w:val="18"/>
            <w:szCs w:val="18"/>
            <w:lang w:val="fr-FR"/>
          </w:rPr>
          <w:t>www.paho.org/fr</w:t>
        </w:r>
      </w:hyperlink>
      <w:r w:rsidRPr="00EA71D3">
        <w:rPr>
          <w:rStyle w:val="Hyperlink"/>
          <w:rFonts w:asciiTheme="majorBidi" w:hAnsiTheme="majorBidi"/>
          <w:sz w:val="18"/>
          <w:szCs w:val="18"/>
          <w:lang w:val="fr-FR"/>
        </w:rPr>
        <w:t xml:space="preserve">. </w:t>
      </w:r>
    </w:p>
  </w:footnote>
  <w:footnote w:id="18">
    <w:p w14:paraId="14620049" w14:textId="41BF66C4" w:rsidR="004D47D0" w:rsidRPr="00EA71D3" w:rsidRDefault="004D47D0" w:rsidP="009E6D43">
      <w:pPr>
        <w:pStyle w:val="FootnoteText"/>
        <w:rPr>
          <w:color w:val="000000" w:themeColor="text1"/>
          <w:lang w:val="fr-FR"/>
        </w:rPr>
      </w:pPr>
      <w:r w:rsidRPr="00EA71D3">
        <w:rPr>
          <w:rStyle w:val="FootnoteReference"/>
          <w:color w:val="000000" w:themeColor="text1"/>
          <w:lang w:val="fr-FR"/>
        </w:rPr>
        <w:footnoteRef/>
      </w:r>
      <w:r w:rsidRPr="00EA71D3">
        <w:rPr>
          <w:rStyle w:val="Hyperlink"/>
          <w:color w:val="000000" w:themeColor="text1"/>
          <w:sz w:val="18"/>
          <w:szCs w:val="18"/>
          <w:u w:val="none"/>
          <w:lang w:val="fr-FR"/>
        </w:rPr>
        <w:t xml:space="preserve"> Programme des Nations Unies pour l’environnement et International Livestock Research Institute. </w:t>
      </w:r>
      <w:r w:rsidRPr="00AA2337">
        <w:rPr>
          <w:rStyle w:val="Hyperlink"/>
          <w:i/>
          <w:iCs/>
          <w:color w:val="000000" w:themeColor="text1"/>
          <w:sz w:val="18"/>
          <w:szCs w:val="18"/>
          <w:u w:val="none"/>
          <w:lang w:val="fr-FR"/>
        </w:rPr>
        <w:t>Prévenir la prochaine pandémie : les zoonoses et comment briser la chaîne de transmission</w:t>
      </w:r>
      <w:r w:rsidRPr="00EA71D3">
        <w:rPr>
          <w:rStyle w:val="Hyperlink"/>
          <w:color w:val="000000" w:themeColor="text1"/>
          <w:sz w:val="18"/>
          <w:szCs w:val="18"/>
          <w:u w:val="none"/>
          <w:lang w:val="fr-FR"/>
        </w:rPr>
        <w:t xml:space="preserve"> </w:t>
      </w:r>
      <w:r w:rsidR="000E6FDA" w:rsidRPr="00EA71D3">
        <w:rPr>
          <w:rStyle w:val="Hyperlink"/>
          <w:color w:val="000000" w:themeColor="text1"/>
          <w:sz w:val="18"/>
          <w:szCs w:val="18"/>
          <w:u w:val="none"/>
          <w:lang w:val="fr-FR"/>
        </w:rPr>
        <w:t>(</w:t>
      </w:r>
      <w:r w:rsidRPr="00EA71D3">
        <w:rPr>
          <w:rStyle w:val="Hyperlink"/>
          <w:color w:val="000000" w:themeColor="text1"/>
          <w:sz w:val="18"/>
          <w:szCs w:val="18"/>
          <w:u w:val="none"/>
          <w:lang w:val="fr-FR"/>
        </w:rPr>
        <w:t>Nairobi</w:t>
      </w:r>
      <w:r w:rsidR="000E6FDA" w:rsidRPr="00EA71D3">
        <w:rPr>
          <w:rStyle w:val="Hyperlink"/>
          <w:color w:val="000000" w:themeColor="text1"/>
          <w:sz w:val="18"/>
          <w:szCs w:val="18"/>
          <w:u w:val="none"/>
          <w:lang w:val="fr-FR"/>
        </w:rPr>
        <w:t>, 2020</w:t>
      </w:r>
      <w:r w:rsidRPr="00EA71D3">
        <w:rPr>
          <w:rStyle w:val="Hyperlink"/>
          <w:color w:val="000000" w:themeColor="text1"/>
          <w:sz w:val="18"/>
          <w:szCs w:val="18"/>
          <w:u w:val="none"/>
          <w:lang w:val="fr-FR"/>
        </w:rPr>
        <w:t>).</w:t>
      </w:r>
    </w:p>
  </w:footnote>
  <w:footnote w:id="19">
    <w:p w14:paraId="1AB7571D" w14:textId="232FBB4C" w:rsidR="000E6FDA" w:rsidRPr="00EA71D3" w:rsidRDefault="000E6FDA" w:rsidP="000E6FDA">
      <w:pPr>
        <w:pStyle w:val="FootnoteText"/>
        <w:rPr>
          <w:lang w:val="fr-FR"/>
        </w:rPr>
      </w:pPr>
      <w:r w:rsidRPr="00EA71D3">
        <w:rPr>
          <w:rStyle w:val="FootnoteReference"/>
          <w:color w:val="000000" w:themeColor="text1"/>
          <w:lang w:val="fr-FR"/>
        </w:rPr>
        <w:footnoteRef/>
      </w:r>
      <w:r w:rsidRPr="00EA71D3">
        <w:rPr>
          <w:color w:val="000000" w:themeColor="text1"/>
          <w:sz w:val="18"/>
          <w:szCs w:val="18"/>
          <w:lang w:val="fr-FR"/>
        </w:rPr>
        <w:t xml:space="preserve"> Voir la résolution 76/300 de l’Assemblée générale.</w:t>
      </w:r>
    </w:p>
  </w:footnote>
  <w:footnote w:id="20">
    <w:p w14:paraId="0F361FC5" w14:textId="05114DDB" w:rsidR="000E6FDA" w:rsidRPr="00EA71D3" w:rsidRDefault="000E6FDA" w:rsidP="000E6FDA">
      <w:pPr>
        <w:pStyle w:val="FootnoteText"/>
        <w:rPr>
          <w:sz w:val="18"/>
          <w:szCs w:val="18"/>
          <w:lang w:val="fr-FR"/>
        </w:rPr>
      </w:pPr>
      <w:r w:rsidRPr="00EA71D3">
        <w:rPr>
          <w:rStyle w:val="FootnoteReference"/>
          <w:sz w:val="18"/>
          <w:szCs w:val="18"/>
          <w:lang w:val="fr-FR"/>
        </w:rPr>
        <w:footnoteRef/>
      </w:r>
      <w:r w:rsidRPr="00EA71D3">
        <w:rPr>
          <w:sz w:val="18"/>
          <w:szCs w:val="18"/>
          <w:lang w:val="fr-FR"/>
        </w:rPr>
        <w:t xml:space="preserve"> CBD/SBSTTA/26/INF/3, annexe I</w:t>
      </w:r>
    </w:p>
  </w:footnote>
  <w:footnote w:id="21">
    <w:p w14:paraId="53685737" w14:textId="6FADFB8C" w:rsidR="004D47D0" w:rsidRPr="00EA71D3" w:rsidRDefault="004D47D0" w:rsidP="009E6D43">
      <w:pPr>
        <w:pStyle w:val="FootnoteText"/>
        <w:rPr>
          <w:sz w:val="18"/>
          <w:szCs w:val="18"/>
          <w:lang w:val="fr-FR"/>
        </w:rPr>
      </w:pPr>
      <w:r w:rsidRPr="00EA71D3">
        <w:rPr>
          <w:rStyle w:val="FootnoteReference"/>
          <w:sz w:val="18"/>
          <w:szCs w:val="18"/>
          <w:lang w:val="fr-FR"/>
        </w:rPr>
        <w:footnoteRef/>
      </w:r>
      <w:r w:rsidRPr="00EA71D3">
        <w:rPr>
          <w:sz w:val="18"/>
          <w:szCs w:val="18"/>
          <w:lang w:val="fr-FR"/>
        </w:rPr>
        <w:t xml:space="preserve"> La charge de morbidité environnementale </w:t>
      </w:r>
      <w:r w:rsidR="000E6FDA" w:rsidRPr="00EA71D3">
        <w:rPr>
          <w:sz w:val="18"/>
          <w:szCs w:val="18"/>
          <w:lang w:val="fr-FR"/>
        </w:rPr>
        <w:t xml:space="preserve">quantifie la quantité de maladies causées par les risques environnementaux (voir </w:t>
      </w:r>
      <w:hyperlink r:id="rId3" w:history="1">
        <w:r w:rsidR="000E6FDA" w:rsidRPr="00AA2337">
          <w:rPr>
            <w:rStyle w:val="Hyperlink"/>
            <w:sz w:val="18"/>
            <w:szCs w:val="18"/>
            <w:lang w:val="fr-FR"/>
          </w:rPr>
          <w:t>www.who.int/activities/environmental-health-impacts</w:t>
        </w:r>
      </w:hyperlink>
      <w:r w:rsidR="000E6FDA" w:rsidRPr="00EA71D3">
        <w:rPr>
          <w:sz w:val="18"/>
          <w:szCs w:val="18"/>
          <w:lang w:val="fr-FR"/>
        </w:rPr>
        <w:t>)</w:t>
      </w:r>
      <w:r w:rsidRPr="00EA71D3">
        <w:rPr>
          <w:sz w:val="18"/>
          <w:szCs w:val="18"/>
          <w:lang w:val="fr-FR"/>
        </w:rPr>
        <w:t>.</w:t>
      </w:r>
    </w:p>
  </w:footnote>
  <w:footnote w:id="22">
    <w:p w14:paraId="64E6CD31" w14:textId="4809350F" w:rsidR="004D47D0" w:rsidRPr="00EA71D3" w:rsidRDefault="004D47D0" w:rsidP="009E6D43">
      <w:pPr>
        <w:pStyle w:val="FootnoteText"/>
        <w:rPr>
          <w:sz w:val="18"/>
          <w:szCs w:val="18"/>
          <w:lang w:val="fr-FR"/>
        </w:rPr>
      </w:pPr>
      <w:r w:rsidRPr="00EA71D3">
        <w:rPr>
          <w:rStyle w:val="FootnoteReference"/>
          <w:sz w:val="18"/>
          <w:szCs w:val="18"/>
          <w:lang w:val="fr-FR"/>
        </w:rPr>
        <w:footnoteRef/>
      </w:r>
      <w:r w:rsidRPr="00EA71D3">
        <w:rPr>
          <w:sz w:val="18"/>
          <w:szCs w:val="18"/>
          <w:lang w:val="fr-FR"/>
        </w:rPr>
        <w:t xml:space="preserve"> Voir aussi la décision 15/22.</w:t>
      </w:r>
    </w:p>
  </w:footnote>
  <w:footnote w:id="23">
    <w:p w14:paraId="055AC671" w14:textId="44B3CA4E" w:rsidR="004D47D0" w:rsidRPr="00EA71D3" w:rsidRDefault="004D47D0" w:rsidP="009E6D43">
      <w:pPr>
        <w:pStyle w:val="FootnoteText"/>
        <w:rPr>
          <w:sz w:val="18"/>
          <w:szCs w:val="18"/>
          <w:lang w:val="fr-FR"/>
        </w:rPr>
      </w:pPr>
      <w:r w:rsidRPr="00EA71D3">
        <w:rPr>
          <w:rStyle w:val="FootnoteReference"/>
          <w:sz w:val="18"/>
          <w:szCs w:val="18"/>
          <w:lang w:val="fr-FR"/>
        </w:rPr>
        <w:footnoteRef/>
      </w:r>
      <w:r w:rsidRPr="00EA71D3">
        <w:rPr>
          <w:sz w:val="18"/>
          <w:szCs w:val="18"/>
          <w:lang w:val="fr-FR"/>
        </w:rPr>
        <w:t xml:space="preserve"> On entend par « identités de soutien » le fondement des expériences religieuses, spirituelles et de cohésion sociale ; le sentiment d’appartenance, de vocation, de sens, d’enracinement ou de connexion associés à différentes entités du monde vivant ; les récits et mythes, rituels et célébrations ; la satisfaction que procure le fait de savoir qu’un paysage terrestre ou marin, un habitat ou une espèce existe (voir </w:t>
      </w:r>
      <w:r w:rsidRPr="00EA71D3">
        <w:rPr>
          <w:rFonts w:asciiTheme="majorBidi" w:hAnsiTheme="majorBidi"/>
          <w:sz w:val="18"/>
          <w:szCs w:val="18"/>
          <w:lang w:val="fr-FR"/>
        </w:rPr>
        <w:t xml:space="preserve">Manuela Carneiro da Cunha et coll., réd., </w:t>
      </w:r>
      <w:r w:rsidRPr="00EA71D3">
        <w:rPr>
          <w:rFonts w:asciiTheme="majorBidi" w:hAnsiTheme="majorBidi"/>
          <w:i/>
          <w:iCs/>
          <w:sz w:val="18"/>
          <w:szCs w:val="18"/>
          <w:lang w:val="fr-FR"/>
        </w:rPr>
        <w:t xml:space="preserve">Rapport </w:t>
      </w:r>
      <w:r w:rsidR="00AA2337">
        <w:rPr>
          <w:rFonts w:asciiTheme="majorBidi" w:hAnsiTheme="majorBidi"/>
          <w:i/>
          <w:iCs/>
          <w:sz w:val="18"/>
          <w:szCs w:val="18"/>
          <w:lang w:val="fr-FR"/>
        </w:rPr>
        <w:t>de</w:t>
      </w:r>
      <w:r w:rsidRPr="00EA71D3">
        <w:rPr>
          <w:rFonts w:asciiTheme="majorBidi" w:hAnsiTheme="majorBidi"/>
          <w:i/>
          <w:iCs/>
          <w:sz w:val="18"/>
          <w:szCs w:val="18"/>
          <w:lang w:val="fr-FR"/>
        </w:rPr>
        <w:t xml:space="preserve"> l’évaluation mondiale de la biodiversité et des services écosystémiques</w:t>
      </w:r>
      <w:r w:rsidRPr="00EA71D3">
        <w:rPr>
          <w:rFonts w:asciiTheme="majorBidi" w:hAnsiTheme="majorBidi"/>
          <w:sz w:val="18"/>
          <w:szCs w:val="18"/>
          <w:lang w:val="fr-FR"/>
        </w:rPr>
        <w:t xml:space="preserve">, </w:t>
      </w:r>
      <w:r w:rsidR="000E6FDA" w:rsidRPr="00EA71D3">
        <w:rPr>
          <w:rFonts w:asciiTheme="majorBidi" w:hAnsiTheme="majorBidi"/>
          <w:sz w:val="18"/>
          <w:szCs w:val="18"/>
          <w:lang w:val="fr-FR"/>
        </w:rPr>
        <w:t>(</w:t>
      </w:r>
      <w:r w:rsidRPr="00EA71D3">
        <w:rPr>
          <w:rFonts w:asciiTheme="majorBidi" w:hAnsiTheme="majorBidi"/>
          <w:sz w:val="18"/>
          <w:szCs w:val="18"/>
          <w:lang w:val="fr-FR"/>
        </w:rPr>
        <w:t>Bonn</w:t>
      </w:r>
      <w:r w:rsidR="000E6FDA" w:rsidRPr="00EA71D3">
        <w:rPr>
          <w:rFonts w:asciiTheme="majorBidi" w:hAnsiTheme="majorBidi"/>
          <w:sz w:val="18"/>
          <w:szCs w:val="18"/>
          <w:lang w:val="fr-FR"/>
        </w:rPr>
        <w:t>,</w:t>
      </w:r>
      <w:r w:rsidRPr="00EA71D3">
        <w:rPr>
          <w:rFonts w:asciiTheme="majorBidi" w:hAnsiTheme="majorBidi"/>
          <w:sz w:val="18"/>
          <w:szCs w:val="18"/>
          <w:lang w:val="fr-FR"/>
        </w:rPr>
        <w:t xml:space="preserve"> Allemagne, Plateforme intergouvernementale scientifique et politique sur la biodiversité et les services écosystémiques, 2019). </w:t>
      </w:r>
    </w:p>
  </w:footnote>
  <w:footnote w:id="24">
    <w:p w14:paraId="067B9746" w14:textId="77777777" w:rsidR="004D47D0" w:rsidRPr="00EA71D3" w:rsidRDefault="004D47D0" w:rsidP="009E6D43">
      <w:pPr>
        <w:pStyle w:val="FootnoteText"/>
        <w:rPr>
          <w:sz w:val="18"/>
          <w:szCs w:val="18"/>
          <w:lang w:val="fr-FR"/>
        </w:rPr>
      </w:pPr>
      <w:r w:rsidRPr="00EA71D3">
        <w:rPr>
          <w:rStyle w:val="FootnoteReference"/>
          <w:sz w:val="18"/>
          <w:szCs w:val="18"/>
          <w:lang w:val="fr-FR"/>
        </w:rPr>
        <w:footnoteRef/>
      </w:r>
      <w:r w:rsidRPr="00EA71D3">
        <w:rPr>
          <w:sz w:val="18"/>
          <w:szCs w:val="18"/>
          <w:lang w:val="fr-FR"/>
        </w:rPr>
        <w:t xml:space="preserve"> Les parties prenantes du domaine de la santé comprennent celles qui œuvrent en santé humaine, animale et végétale et celles qui possèdent diverses connaissances sur la santé.</w:t>
      </w:r>
    </w:p>
  </w:footnote>
  <w:footnote w:id="25">
    <w:p w14:paraId="4E671113" w14:textId="76BFD406" w:rsidR="004D47D0" w:rsidRPr="00EA71D3" w:rsidRDefault="004D47D0" w:rsidP="009E6D43">
      <w:pPr>
        <w:pStyle w:val="FootnoteText"/>
        <w:rPr>
          <w:lang w:val="fr-FR"/>
        </w:rPr>
      </w:pPr>
      <w:r w:rsidRPr="00EA71D3">
        <w:rPr>
          <w:rStyle w:val="FootnoteReference"/>
          <w:sz w:val="18"/>
          <w:szCs w:val="18"/>
          <w:lang w:val="fr-FR"/>
        </w:rPr>
        <w:footnoteRef/>
      </w:r>
      <w:r w:rsidRPr="00EA71D3">
        <w:rPr>
          <w:sz w:val="18"/>
          <w:szCs w:val="18"/>
          <w:lang w:val="fr-FR"/>
        </w:rPr>
        <w:t xml:space="preserve"> </w:t>
      </w:r>
      <w:r w:rsidR="000E6FDA" w:rsidRPr="00EA71D3">
        <w:rPr>
          <w:sz w:val="18"/>
          <w:szCs w:val="18"/>
          <w:lang w:val="fr-FR"/>
        </w:rPr>
        <w:t>Ces secteurs peuvent inclure l'agriculture, la sylviculture, la pêche, l'aquaculture, le tourisme, la santé, les infrastructures, l'énergie et l'exploitation minière, l'industrie manufacturière, la transformation et la finance, conformément aux décisions antérieures de la Conférence des Parties relatives à l'intégration</w:t>
      </w:r>
      <w:r w:rsidRPr="00EA71D3">
        <w:rPr>
          <w:sz w:val="18"/>
          <w:szCs w:val="18"/>
          <w:lang w:val="fr-FR"/>
        </w:rPr>
        <w:t>.</w:t>
      </w:r>
    </w:p>
  </w:footnote>
  <w:footnote w:id="26">
    <w:p w14:paraId="6306EC07" w14:textId="77777777" w:rsidR="004D47D0" w:rsidRPr="00EA71D3" w:rsidRDefault="004D47D0" w:rsidP="009E6D43">
      <w:pPr>
        <w:pStyle w:val="FootnoteText"/>
        <w:rPr>
          <w:sz w:val="18"/>
          <w:szCs w:val="18"/>
          <w:lang w:val="fr-FR"/>
        </w:rPr>
      </w:pPr>
      <w:r w:rsidRPr="00EA71D3">
        <w:rPr>
          <w:rStyle w:val="FootnoteReference"/>
          <w:sz w:val="18"/>
          <w:szCs w:val="18"/>
          <w:lang w:val="fr-FR"/>
        </w:rPr>
        <w:footnoteRef/>
      </w:r>
      <w:r w:rsidRPr="00EA71D3">
        <w:rPr>
          <w:sz w:val="18"/>
          <w:szCs w:val="18"/>
          <w:lang w:val="fr-FR"/>
        </w:rPr>
        <w:t>Décision 15/4, annexe, paragraphe 7 r).</w:t>
      </w:r>
    </w:p>
  </w:footnote>
  <w:footnote w:id="27">
    <w:p w14:paraId="1B99B87D" w14:textId="41175584" w:rsidR="004D47D0" w:rsidRPr="00EA71D3" w:rsidRDefault="004D47D0" w:rsidP="009E6D43">
      <w:pPr>
        <w:pStyle w:val="FootnoteText"/>
        <w:rPr>
          <w:lang w:val="fr-FR"/>
        </w:rPr>
      </w:pPr>
      <w:r w:rsidRPr="00EA71D3">
        <w:rPr>
          <w:rStyle w:val="FootnoteReference"/>
          <w:sz w:val="18"/>
          <w:szCs w:val="18"/>
          <w:lang w:val="fr-FR"/>
        </w:rPr>
        <w:footnoteRef/>
      </w:r>
      <w:r w:rsidRPr="00EA71D3">
        <w:rPr>
          <w:sz w:val="18"/>
          <w:szCs w:val="18"/>
          <w:lang w:val="fr-FR"/>
        </w:rPr>
        <w:t xml:space="preserve"> </w:t>
      </w:r>
      <w:r w:rsidR="000E6FDA" w:rsidRPr="00EA71D3">
        <w:rPr>
          <w:sz w:val="18"/>
          <w:szCs w:val="18"/>
          <w:lang w:val="fr-FR"/>
        </w:rPr>
        <w:t>Ibid., par. 7 g)</w:t>
      </w:r>
      <w:r w:rsidRPr="00EA71D3">
        <w:rPr>
          <w:sz w:val="18"/>
          <w:szCs w:val="18"/>
          <w:lang w:val="fr-FR"/>
        </w:rPr>
        <w:t>.</w:t>
      </w:r>
    </w:p>
  </w:footnote>
  <w:footnote w:id="28">
    <w:p w14:paraId="68AC4583" w14:textId="50107539" w:rsidR="000E6FDA" w:rsidRPr="00EA71D3" w:rsidRDefault="000E6FDA" w:rsidP="000E6FDA">
      <w:pPr>
        <w:pStyle w:val="FootnoteText"/>
        <w:rPr>
          <w:sz w:val="18"/>
          <w:szCs w:val="18"/>
          <w:lang w:val="fr-FR"/>
        </w:rPr>
      </w:pPr>
      <w:r w:rsidRPr="00EA71D3">
        <w:rPr>
          <w:rStyle w:val="FootnoteReference"/>
          <w:sz w:val="18"/>
          <w:szCs w:val="18"/>
          <w:lang w:val="fr-FR"/>
        </w:rPr>
        <w:footnoteRef/>
      </w:r>
      <w:r w:rsidRPr="00EA71D3">
        <w:rPr>
          <w:sz w:val="18"/>
          <w:szCs w:val="18"/>
          <w:lang w:val="fr-FR"/>
        </w:rPr>
        <w:t xml:space="preserve"> </w:t>
      </w:r>
      <w:r w:rsidRPr="00EA71D3">
        <w:rPr>
          <w:color w:val="000000" w:themeColor="text1"/>
          <w:sz w:val="18"/>
          <w:szCs w:val="18"/>
          <w:lang w:val="fr-FR"/>
        </w:rPr>
        <w:t xml:space="preserve">Sandra Diaz et al. </w:t>
      </w:r>
      <w:r w:rsidRPr="00AA2337">
        <w:rPr>
          <w:i/>
          <w:iCs/>
          <w:color w:val="000000" w:themeColor="text1"/>
          <w:sz w:val="18"/>
          <w:szCs w:val="18"/>
          <w:lang w:val="fr-FR"/>
        </w:rPr>
        <w:t>Rapport de l’évaluation mondiale de la biodiversité et des services écosystémiques, Résumé à l'intention des décideurs</w:t>
      </w:r>
      <w:r w:rsidRPr="00EA71D3">
        <w:rPr>
          <w:color w:val="000000" w:themeColor="text1"/>
          <w:sz w:val="18"/>
          <w:szCs w:val="18"/>
          <w:lang w:val="fr-FR"/>
        </w:rPr>
        <w:t xml:space="preserve"> (Bonn, Allemagne, Secrétariat de la Plateforme intergouvernementale scientifique et politique sur la biodiversité et les services écosystémiques, 2019).</w:t>
      </w:r>
    </w:p>
  </w:footnote>
  <w:footnote w:id="29">
    <w:p w14:paraId="0BD8559C" w14:textId="77F36DF1" w:rsidR="000E6FDA" w:rsidRPr="00EA71D3" w:rsidRDefault="000E6FDA" w:rsidP="000E6FDA">
      <w:pPr>
        <w:pStyle w:val="FootnoteText"/>
        <w:rPr>
          <w:sz w:val="18"/>
          <w:szCs w:val="18"/>
          <w:lang w:val="fr-FR"/>
        </w:rPr>
      </w:pPr>
      <w:r w:rsidRPr="00EA71D3">
        <w:rPr>
          <w:rStyle w:val="FootnoteReference"/>
          <w:sz w:val="18"/>
          <w:szCs w:val="18"/>
          <w:lang w:val="fr-FR"/>
        </w:rPr>
        <w:footnoteRef/>
      </w:r>
      <w:r w:rsidRPr="00EA71D3">
        <w:rPr>
          <w:sz w:val="18"/>
          <w:szCs w:val="18"/>
          <w:lang w:val="fr-FR"/>
        </w:rPr>
        <w:t xml:space="preserve"> </w:t>
      </w:r>
      <w:r w:rsidRPr="00EA71D3">
        <w:rPr>
          <w:color w:val="000000" w:themeColor="text1"/>
          <w:sz w:val="18"/>
          <w:szCs w:val="18"/>
          <w:lang w:val="fr-FR"/>
        </w:rPr>
        <w:t xml:space="preserve">Helen E. Roy et autres, </w:t>
      </w:r>
      <w:r w:rsidRPr="00AA2337">
        <w:rPr>
          <w:i/>
          <w:iCs/>
          <w:color w:val="000000" w:themeColor="text1"/>
          <w:sz w:val="18"/>
          <w:szCs w:val="18"/>
          <w:lang w:val="fr-FR"/>
        </w:rPr>
        <w:t>Rapport de l’évaluation thématique sur les espèces exotiques envahissantes et leur contrôle</w:t>
      </w:r>
      <w:r w:rsidRPr="00EA71D3">
        <w:rPr>
          <w:color w:val="000000" w:themeColor="text1"/>
          <w:sz w:val="18"/>
          <w:szCs w:val="18"/>
          <w:lang w:val="fr-FR"/>
        </w:rPr>
        <w:t>, (Bonn, Allemagne, Secrétariat de la Plateforme intergouvernementale de politique scientifique sur la biodiversité et les services écosystémiques, 2023).</w:t>
      </w:r>
    </w:p>
  </w:footnote>
  <w:footnote w:id="30">
    <w:p w14:paraId="05DA064B" w14:textId="5948F1D8" w:rsidR="000E6FDA" w:rsidRPr="00E56B3B" w:rsidRDefault="000E6FDA" w:rsidP="000E6FDA">
      <w:pPr>
        <w:pStyle w:val="FootnoteText"/>
        <w:rPr>
          <w:sz w:val="18"/>
          <w:szCs w:val="18"/>
          <w:lang w:val="en-US"/>
        </w:rPr>
      </w:pPr>
      <w:r w:rsidRPr="00EA71D3">
        <w:rPr>
          <w:rStyle w:val="FootnoteReference"/>
          <w:sz w:val="18"/>
          <w:szCs w:val="18"/>
          <w:lang w:val="fr-FR"/>
        </w:rPr>
        <w:footnoteRef/>
      </w:r>
      <w:r w:rsidRPr="00E56B3B">
        <w:rPr>
          <w:sz w:val="18"/>
          <w:szCs w:val="18"/>
          <w:lang w:val="en-US"/>
        </w:rPr>
        <w:t xml:space="preserve"> Décision 15/27.</w:t>
      </w:r>
    </w:p>
  </w:footnote>
  <w:footnote w:id="31">
    <w:p w14:paraId="1FB7BF79" w14:textId="00FDC70A" w:rsidR="000E6FDA" w:rsidRPr="00E56B3B" w:rsidRDefault="000E6FDA" w:rsidP="00EA71D3">
      <w:pPr>
        <w:pStyle w:val="FootnoteText"/>
        <w:jc w:val="left"/>
        <w:rPr>
          <w:sz w:val="18"/>
          <w:szCs w:val="18"/>
          <w:lang w:val="en-US"/>
        </w:rPr>
      </w:pPr>
      <w:r w:rsidRPr="00EA71D3">
        <w:rPr>
          <w:rStyle w:val="FootnoteReference"/>
          <w:sz w:val="18"/>
          <w:szCs w:val="18"/>
          <w:lang w:val="fr-FR"/>
        </w:rPr>
        <w:footnoteRef/>
      </w:r>
      <w:r w:rsidRPr="00E56B3B">
        <w:rPr>
          <w:sz w:val="18"/>
          <w:szCs w:val="18"/>
          <w:lang w:val="en-US"/>
        </w:rPr>
        <w:t xml:space="preserve"> </w:t>
      </w:r>
      <w:r w:rsidR="00D90E41" w:rsidRPr="00E56B3B">
        <w:rPr>
          <w:color w:val="000000" w:themeColor="text1"/>
          <w:sz w:val="18"/>
          <w:szCs w:val="18"/>
          <w:lang w:val="en-US"/>
        </w:rPr>
        <w:t xml:space="preserve">Organisation mondiale de la Santé, </w:t>
      </w:r>
      <w:r w:rsidR="00D90E41" w:rsidRPr="00E56B3B">
        <w:rPr>
          <w:i/>
          <w:iCs/>
          <w:color w:val="000000" w:themeColor="text1"/>
          <w:sz w:val="18"/>
          <w:szCs w:val="18"/>
          <w:lang w:val="en-US"/>
        </w:rPr>
        <w:t>Compendium of WHO and other UN guidance on health and environment,</w:t>
      </w:r>
      <w:r w:rsidR="00D90E41" w:rsidRPr="00E56B3B">
        <w:rPr>
          <w:color w:val="000000" w:themeColor="text1"/>
          <w:sz w:val="18"/>
          <w:szCs w:val="18"/>
          <w:lang w:val="en-US"/>
        </w:rPr>
        <w:t xml:space="preserve"> (Genève, 2023). </w:t>
      </w:r>
      <w:r w:rsidRPr="00E56B3B" w:rsidDel="0021404A">
        <w:rPr>
          <w:color w:val="000000" w:themeColor="text1"/>
          <w:sz w:val="18"/>
          <w:szCs w:val="18"/>
          <w:lang w:val="en-US"/>
        </w:rPr>
        <w:t xml:space="preserve"> </w:t>
      </w:r>
    </w:p>
  </w:footnote>
  <w:footnote w:id="32">
    <w:p w14:paraId="0B7FE641" w14:textId="5FC7BDB1" w:rsidR="000E6FDA" w:rsidRPr="00E56B3B" w:rsidRDefault="000E6FDA" w:rsidP="00EA71D3">
      <w:pPr>
        <w:pStyle w:val="FootnoteText"/>
        <w:jc w:val="left"/>
        <w:rPr>
          <w:sz w:val="18"/>
          <w:szCs w:val="18"/>
          <w:lang w:val="en-US"/>
        </w:rPr>
      </w:pPr>
      <w:r w:rsidRPr="00EA71D3">
        <w:rPr>
          <w:rStyle w:val="FootnoteReference"/>
          <w:sz w:val="18"/>
          <w:szCs w:val="18"/>
          <w:lang w:val="fr-FR"/>
        </w:rPr>
        <w:footnoteRef/>
      </w:r>
      <w:r w:rsidRPr="00E56B3B">
        <w:rPr>
          <w:sz w:val="18"/>
          <w:szCs w:val="18"/>
          <w:lang w:val="en-US"/>
        </w:rPr>
        <w:t xml:space="preserve"> </w:t>
      </w:r>
      <w:r w:rsidR="00D90E41" w:rsidRPr="00E56B3B">
        <w:rPr>
          <w:sz w:val="18"/>
          <w:szCs w:val="18"/>
          <w:lang w:val="en-US"/>
        </w:rPr>
        <w:t>Landrigan, Philip et autres, Mindaroo-Monaco Commission on Plastics and Human Health, Annals of Global Health, 89 (1) : 23 (2023).</w:t>
      </w:r>
    </w:p>
  </w:footnote>
  <w:footnote w:id="33">
    <w:p w14:paraId="022988C5" w14:textId="0B498CB2" w:rsidR="000E6FDA" w:rsidRPr="00EA71D3" w:rsidRDefault="000E6FDA" w:rsidP="00EA71D3">
      <w:pPr>
        <w:pStyle w:val="FootnoteText"/>
        <w:jc w:val="left"/>
        <w:rPr>
          <w:sz w:val="18"/>
          <w:szCs w:val="18"/>
          <w:lang w:val="fr-FR"/>
        </w:rPr>
      </w:pPr>
      <w:r w:rsidRPr="00EA71D3">
        <w:rPr>
          <w:rStyle w:val="FootnoteReference"/>
          <w:sz w:val="18"/>
          <w:szCs w:val="18"/>
          <w:lang w:val="fr-FR"/>
        </w:rPr>
        <w:footnoteRef/>
      </w:r>
      <w:r w:rsidRPr="00EA71D3">
        <w:rPr>
          <w:sz w:val="18"/>
          <w:szCs w:val="18"/>
          <w:lang w:val="fr-FR"/>
        </w:rPr>
        <w:t xml:space="preserve"> Résolution 76.17 de l'Assemblée mondiale de la santé.</w:t>
      </w:r>
    </w:p>
  </w:footnote>
  <w:footnote w:id="34">
    <w:p w14:paraId="0F30EE5F" w14:textId="66881AA4" w:rsidR="000E6FDA" w:rsidRPr="00E56B3B" w:rsidRDefault="000E6FDA" w:rsidP="000E6FDA">
      <w:pPr>
        <w:pStyle w:val="FootnoteText"/>
        <w:rPr>
          <w:lang w:val="en-US"/>
        </w:rPr>
      </w:pPr>
      <w:r w:rsidRPr="00EA71D3">
        <w:rPr>
          <w:rStyle w:val="FootnoteReference"/>
          <w:lang w:val="fr-FR"/>
        </w:rPr>
        <w:footnoteRef/>
      </w:r>
      <w:r w:rsidRPr="00E56B3B">
        <w:rPr>
          <w:lang w:val="en-US"/>
        </w:rPr>
        <w:t xml:space="preserve"> Landrigan, Philip et autres, Mindaroo-Monaco Commission on Plastics and Human Health, Annals of Global Health, 89 (1) : 23 (2023).</w:t>
      </w:r>
    </w:p>
  </w:footnote>
  <w:footnote w:id="35">
    <w:p w14:paraId="62FA791F" w14:textId="29E3F852" w:rsidR="000E6FDA" w:rsidRPr="00EA71D3" w:rsidRDefault="000E6FDA" w:rsidP="00EA71D3">
      <w:pPr>
        <w:pStyle w:val="FootnoteText"/>
        <w:jc w:val="left"/>
        <w:rPr>
          <w:sz w:val="18"/>
          <w:szCs w:val="18"/>
          <w:lang w:val="fr-FR"/>
        </w:rPr>
      </w:pPr>
      <w:r w:rsidRPr="00EA71D3">
        <w:rPr>
          <w:rStyle w:val="FootnoteReference"/>
          <w:sz w:val="18"/>
          <w:szCs w:val="18"/>
          <w:lang w:val="fr-FR"/>
        </w:rPr>
        <w:footnoteRef/>
      </w:r>
      <w:r w:rsidRPr="00EA71D3">
        <w:rPr>
          <w:sz w:val="18"/>
          <w:szCs w:val="18"/>
          <w:lang w:val="fr-FR"/>
        </w:rPr>
        <w:t xml:space="preserve"> </w:t>
      </w:r>
      <w:r w:rsidR="00D90E41" w:rsidRPr="00D90E41">
        <w:rPr>
          <w:sz w:val="18"/>
          <w:szCs w:val="18"/>
          <w:lang w:val="fr-FR"/>
        </w:rPr>
        <w:t>Organisation des Nations Unies pour l'alimentation et l'agriculture, Programme des Nations Unies pour l'environnement Organisation mondiale de la santé et Organisation mondiale de la santé animale, Plan d'action conjoint "Une seule santé" (2022-2026) : travailler ensemble pour des êtres humains, des animaux, des végétaux et un environnement en bonne santé (Rome, 2022)</w:t>
      </w:r>
      <w:r w:rsidRPr="00EA71D3">
        <w:rPr>
          <w:sz w:val="18"/>
          <w:szCs w:val="18"/>
          <w:lang w:val="fr-FR"/>
        </w:rPr>
        <w:t>.</w:t>
      </w:r>
    </w:p>
  </w:footnote>
  <w:footnote w:id="36">
    <w:p w14:paraId="6BD0DFC1" w14:textId="281771DF" w:rsidR="000E6FDA" w:rsidRPr="00EA71D3" w:rsidRDefault="000E6FDA" w:rsidP="00EA71D3">
      <w:pPr>
        <w:pStyle w:val="FootnoteText"/>
        <w:jc w:val="left"/>
        <w:rPr>
          <w:sz w:val="18"/>
          <w:szCs w:val="18"/>
          <w:lang w:val="fr-FR"/>
        </w:rPr>
      </w:pPr>
      <w:r w:rsidRPr="00EA71D3">
        <w:rPr>
          <w:rStyle w:val="FootnoteReference"/>
          <w:sz w:val="18"/>
          <w:szCs w:val="18"/>
          <w:lang w:val="fr-FR"/>
        </w:rPr>
        <w:footnoteRef/>
      </w:r>
      <w:r w:rsidRPr="00EA71D3">
        <w:rPr>
          <w:sz w:val="18"/>
          <w:szCs w:val="18"/>
          <w:lang w:val="fr-FR"/>
        </w:rPr>
        <w:t xml:space="preserve"> </w:t>
      </w:r>
      <w:r w:rsidR="00D90E41" w:rsidRPr="00D90E41">
        <w:rPr>
          <w:sz w:val="18"/>
          <w:szCs w:val="18"/>
          <w:lang w:val="fr-FR"/>
        </w:rPr>
        <w:t xml:space="preserve">Organisation mondiale de la santé, </w:t>
      </w:r>
      <w:r w:rsidR="00D90E41" w:rsidRPr="00D90E41">
        <w:rPr>
          <w:i/>
          <w:iCs/>
          <w:sz w:val="18"/>
          <w:szCs w:val="18"/>
          <w:lang w:val="fr-FR"/>
        </w:rPr>
        <w:t>Compendium of UN and other UN guidance on health and environment</w:t>
      </w:r>
      <w:r w:rsidR="00D90E41" w:rsidRPr="00D90E41">
        <w:rPr>
          <w:sz w:val="18"/>
          <w:szCs w:val="18"/>
          <w:lang w:val="fr-FR"/>
        </w:rPr>
        <w:t xml:space="preserve"> </w:t>
      </w:r>
      <w:r w:rsidRPr="00EA71D3">
        <w:rPr>
          <w:sz w:val="18"/>
          <w:szCs w:val="18"/>
          <w:lang w:val="fr-FR"/>
        </w:rPr>
        <w:t>(</w:t>
      </w:r>
      <w:r w:rsidR="00D90E41" w:rsidRPr="00D90E41">
        <w:rPr>
          <w:sz w:val="18"/>
          <w:szCs w:val="18"/>
          <w:lang w:val="fr-FR"/>
        </w:rPr>
        <w:t>Genève</w:t>
      </w:r>
      <w:r w:rsidRPr="00EA71D3">
        <w:rPr>
          <w:sz w:val="18"/>
          <w:szCs w:val="18"/>
          <w:lang w:val="fr-FR"/>
        </w:rPr>
        <w:t>, 2021).</w:t>
      </w:r>
    </w:p>
  </w:footnote>
  <w:footnote w:id="37">
    <w:p w14:paraId="73D7C04C" w14:textId="4F199070" w:rsidR="000E6FDA" w:rsidRPr="00EA71D3" w:rsidRDefault="000E6FDA" w:rsidP="00EA71D3">
      <w:pPr>
        <w:pStyle w:val="FootnoteText"/>
        <w:jc w:val="left"/>
        <w:rPr>
          <w:sz w:val="18"/>
          <w:szCs w:val="18"/>
          <w:lang w:val="fr-FR"/>
        </w:rPr>
      </w:pPr>
      <w:r w:rsidRPr="00EA71D3">
        <w:rPr>
          <w:rStyle w:val="FootnoteReference"/>
          <w:sz w:val="18"/>
          <w:szCs w:val="18"/>
          <w:lang w:val="fr-FR"/>
        </w:rPr>
        <w:footnoteRef/>
      </w:r>
      <w:r w:rsidRPr="00EA71D3">
        <w:rPr>
          <w:sz w:val="18"/>
          <w:szCs w:val="18"/>
          <w:lang w:val="fr-FR"/>
        </w:rPr>
        <w:t xml:space="preserve"> </w:t>
      </w:r>
      <w:r w:rsidR="00D90E41" w:rsidRPr="00D90E41">
        <w:rPr>
          <w:sz w:val="18"/>
          <w:szCs w:val="18"/>
          <w:lang w:val="fr-FR"/>
        </w:rPr>
        <w:t xml:space="preserve">Résolution 76.17 de l'Assemblée mondiale de la </w:t>
      </w:r>
      <w:r w:rsidR="00D90E41">
        <w:rPr>
          <w:sz w:val="18"/>
          <w:szCs w:val="18"/>
          <w:lang w:val="fr-FR"/>
        </w:rPr>
        <w:t>S</w:t>
      </w:r>
      <w:r w:rsidR="00D90E41" w:rsidRPr="00D90E41">
        <w:rPr>
          <w:sz w:val="18"/>
          <w:szCs w:val="18"/>
          <w:lang w:val="fr-FR"/>
        </w:rPr>
        <w:t>anté</w:t>
      </w:r>
      <w:r w:rsidRPr="00EA71D3">
        <w:rPr>
          <w:sz w:val="18"/>
          <w:szCs w:val="18"/>
          <w:lang w:val="fr-FR"/>
        </w:rPr>
        <w:t>.</w:t>
      </w:r>
    </w:p>
  </w:footnote>
  <w:footnote w:id="38">
    <w:p w14:paraId="75B5BEE0" w14:textId="37A58383" w:rsidR="000E6FDA" w:rsidRPr="00EA71D3" w:rsidRDefault="000E6FDA" w:rsidP="00EA71D3">
      <w:pPr>
        <w:pStyle w:val="FootnoteText"/>
        <w:jc w:val="left"/>
        <w:rPr>
          <w:sz w:val="18"/>
          <w:szCs w:val="18"/>
          <w:lang w:val="fr-FR"/>
        </w:rPr>
      </w:pPr>
      <w:r w:rsidRPr="00EA71D3">
        <w:rPr>
          <w:rStyle w:val="FootnoteReference"/>
          <w:sz w:val="18"/>
          <w:szCs w:val="18"/>
          <w:lang w:val="fr-FR"/>
        </w:rPr>
        <w:footnoteRef/>
      </w:r>
      <w:r w:rsidRPr="00EA71D3">
        <w:rPr>
          <w:sz w:val="18"/>
          <w:szCs w:val="18"/>
          <w:lang w:val="fr-FR"/>
        </w:rPr>
        <w:t xml:space="preserve"> </w:t>
      </w:r>
      <w:r w:rsidR="00D90E41" w:rsidRPr="00D90E41">
        <w:rPr>
          <w:sz w:val="18"/>
          <w:szCs w:val="18"/>
          <w:lang w:val="fr-FR"/>
        </w:rPr>
        <w:t xml:space="preserve">Programme des Nations Unies pour l'environnement, </w:t>
      </w:r>
      <w:r w:rsidR="00D90E41" w:rsidRPr="00D90E41">
        <w:rPr>
          <w:i/>
          <w:iCs/>
          <w:sz w:val="18"/>
          <w:szCs w:val="18"/>
          <w:lang w:val="fr-FR"/>
        </w:rPr>
        <w:t>Se préparer aux superbactéries : renforcer l'action environnementale dans la réponse "Une Seule Santé" à la résistance antimicrobienne</w:t>
      </w:r>
      <w:r w:rsidR="00D90E41" w:rsidRPr="00D90E41">
        <w:rPr>
          <w:sz w:val="18"/>
          <w:szCs w:val="18"/>
          <w:lang w:val="fr-FR"/>
        </w:rPr>
        <w:t xml:space="preserve"> </w:t>
      </w:r>
      <w:r w:rsidRPr="00EA71D3">
        <w:rPr>
          <w:sz w:val="18"/>
          <w:szCs w:val="18"/>
          <w:lang w:val="fr-FR"/>
        </w:rPr>
        <w:t>(</w:t>
      </w:r>
      <w:r w:rsidR="00D90E41" w:rsidRPr="00D90E41">
        <w:rPr>
          <w:sz w:val="18"/>
          <w:szCs w:val="18"/>
          <w:lang w:val="fr-FR"/>
        </w:rPr>
        <w:t>Genève</w:t>
      </w:r>
      <w:r w:rsidRPr="00EA71D3">
        <w:rPr>
          <w:sz w:val="18"/>
          <w:szCs w:val="18"/>
          <w:lang w:val="fr-FR"/>
        </w:rPr>
        <w:t>, 2023).</w:t>
      </w:r>
    </w:p>
  </w:footnote>
  <w:footnote w:id="39">
    <w:p w14:paraId="2D49FDC3" w14:textId="6CDB388D" w:rsidR="000E6FDA" w:rsidRPr="00EA71D3" w:rsidRDefault="000E6FDA" w:rsidP="000E6FDA">
      <w:pPr>
        <w:pStyle w:val="FootnoteText"/>
        <w:rPr>
          <w:lang w:val="fr-FR"/>
        </w:rPr>
      </w:pPr>
      <w:r w:rsidRPr="00EA71D3">
        <w:rPr>
          <w:rStyle w:val="FootnoteReference"/>
          <w:lang w:val="fr-FR"/>
        </w:rPr>
        <w:footnoteRef/>
      </w:r>
      <w:r w:rsidRPr="00EA71D3">
        <w:rPr>
          <w:lang w:val="fr-FR"/>
        </w:rPr>
        <w:t xml:space="preserve"> </w:t>
      </w:r>
      <w:r w:rsidR="00D90E41" w:rsidRPr="00D90E41">
        <w:rPr>
          <w:sz w:val="18"/>
          <w:szCs w:val="18"/>
          <w:lang w:val="fr-FR"/>
        </w:rPr>
        <w:t xml:space="preserve">Organisation mondiale de la santé, </w:t>
      </w:r>
      <w:r w:rsidR="00D90E41" w:rsidRPr="00D90E41">
        <w:rPr>
          <w:i/>
          <w:iCs/>
          <w:sz w:val="18"/>
          <w:szCs w:val="18"/>
          <w:lang w:val="fr-FR"/>
        </w:rPr>
        <w:t>Compendium of UN and other UN guidance on health and environment</w:t>
      </w:r>
      <w:r w:rsidR="00D90E41" w:rsidRPr="00D90E41">
        <w:rPr>
          <w:sz w:val="18"/>
          <w:szCs w:val="18"/>
          <w:lang w:val="fr-FR"/>
        </w:rPr>
        <w:t xml:space="preserve"> </w:t>
      </w:r>
      <w:r w:rsidRPr="00EA71D3">
        <w:rPr>
          <w:sz w:val="18"/>
          <w:szCs w:val="18"/>
          <w:lang w:val="fr-FR"/>
        </w:rPr>
        <w:t>(</w:t>
      </w:r>
      <w:r w:rsidR="00D90E41" w:rsidRPr="00D90E41">
        <w:rPr>
          <w:sz w:val="18"/>
          <w:szCs w:val="18"/>
          <w:lang w:val="fr-FR"/>
        </w:rPr>
        <w:t>Genève</w:t>
      </w:r>
      <w:r w:rsidRPr="00EA71D3">
        <w:rPr>
          <w:sz w:val="18"/>
          <w:szCs w:val="18"/>
          <w:lang w:val="fr-FR"/>
        </w:rPr>
        <w:t>, 2021).</w:t>
      </w:r>
    </w:p>
  </w:footnote>
  <w:footnote w:id="40">
    <w:p w14:paraId="5B41F927" w14:textId="120105F5" w:rsidR="000E6FDA" w:rsidRPr="00EA71D3" w:rsidRDefault="000E6FDA" w:rsidP="00EA71D3">
      <w:pPr>
        <w:pStyle w:val="FootnoteText"/>
        <w:jc w:val="left"/>
        <w:rPr>
          <w:sz w:val="18"/>
          <w:szCs w:val="18"/>
          <w:lang w:val="fr-FR"/>
        </w:rPr>
      </w:pPr>
      <w:r w:rsidRPr="00EA71D3">
        <w:rPr>
          <w:rStyle w:val="FootnoteReference"/>
          <w:sz w:val="18"/>
          <w:szCs w:val="18"/>
          <w:lang w:val="fr-FR"/>
        </w:rPr>
        <w:footnoteRef/>
      </w:r>
      <w:r w:rsidRPr="00EA71D3">
        <w:rPr>
          <w:sz w:val="18"/>
          <w:szCs w:val="18"/>
          <w:lang w:val="fr-FR"/>
        </w:rPr>
        <w:t xml:space="preserve"> </w:t>
      </w:r>
      <w:r w:rsidR="00D90E41" w:rsidRPr="00D90E41">
        <w:rPr>
          <w:color w:val="000000" w:themeColor="text1"/>
          <w:sz w:val="18"/>
          <w:szCs w:val="18"/>
          <w:lang w:val="fr-FR"/>
        </w:rPr>
        <w:t xml:space="preserve">Organisation mondiale de la Santé. Rapport de la septième conférence ministérielle sur l'environnement et la santé, annexe 5 (Déclaration de Budapest : Pour des personnes en meilleure santé, une planète prospère et un avenir </w:t>
      </w:r>
      <w:r w:rsidR="006A480B" w:rsidRPr="00D90E41">
        <w:rPr>
          <w:color w:val="000000" w:themeColor="text1"/>
          <w:sz w:val="18"/>
          <w:szCs w:val="18"/>
          <w:lang w:val="fr-FR"/>
        </w:rPr>
        <w:t>durable</w:t>
      </w:r>
      <w:r w:rsidR="00D90E41" w:rsidRPr="00D90E41">
        <w:rPr>
          <w:color w:val="000000" w:themeColor="text1"/>
          <w:sz w:val="18"/>
          <w:szCs w:val="18"/>
          <w:lang w:val="fr-FR"/>
        </w:rPr>
        <w:t>, il faut agir plus vite</w:t>
      </w:r>
      <w:r w:rsidRPr="00EA71D3">
        <w:rPr>
          <w:i/>
          <w:iCs/>
          <w:color w:val="000000" w:themeColor="text1"/>
          <w:sz w:val="18"/>
          <w:szCs w:val="18"/>
          <w:lang w:val="fr-FR"/>
        </w:rPr>
        <w:t>.</w:t>
      </w:r>
    </w:p>
  </w:footnote>
  <w:footnote w:id="41">
    <w:p w14:paraId="0DB23236" w14:textId="08CD315B" w:rsidR="000E6FDA" w:rsidRPr="00EA71D3" w:rsidRDefault="000E6FDA" w:rsidP="000E6FDA">
      <w:pPr>
        <w:pStyle w:val="FootnoteText"/>
        <w:rPr>
          <w:lang w:val="fr-FR"/>
        </w:rPr>
      </w:pPr>
      <w:r w:rsidRPr="00EA71D3">
        <w:rPr>
          <w:rStyle w:val="FootnoteReference"/>
          <w:lang w:val="fr-FR"/>
        </w:rPr>
        <w:footnoteRef/>
      </w:r>
      <w:r w:rsidRPr="00EA71D3">
        <w:rPr>
          <w:lang w:val="fr-FR"/>
        </w:rPr>
        <w:t xml:space="preserve"> </w:t>
      </w:r>
      <w:r w:rsidR="00D90E41" w:rsidRPr="00D90E41">
        <w:rPr>
          <w:sz w:val="18"/>
          <w:szCs w:val="18"/>
          <w:lang w:val="fr-FR"/>
        </w:rPr>
        <w:t xml:space="preserve">Résolution 76.17 de l'Assemblée mondiale de la </w:t>
      </w:r>
      <w:r w:rsidR="00D90E41">
        <w:rPr>
          <w:sz w:val="18"/>
          <w:szCs w:val="18"/>
          <w:lang w:val="fr-FR"/>
        </w:rPr>
        <w:t>S</w:t>
      </w:r>
      <w:r w:rsidR="00D90E41" w:rsidRPr="00D90E41">
        <w:rPr>
          <w:sz w:val="18"/>
          <w:szCs w:val="18"/>
          <w:lang w:val="fr-FR"/>
        </w:rPr>
        <w:t>anté</w:t>
      </w:r>
      <w:r w:rsidRPr="00EA71D3">
        <w:rPr>
          <w:sz w:val="18"/>
          <w:szCs w:val="18"/>
          <w:lang w:val="fr-FR"/>
        </w:rPr>
        <w:t>.</w:t>
      </w:r>
    </w:p>
  </w:footnote>
  <w:footnote w:id="42">
    <w:p w14:paraId="0651628A" w14:textId="602DFDF8" w:rsidR="000E6FDA" w:rsidRPr="00D90E41" w:rsidRDefault="000E6FDA" w:rsidP="00D90E41">
      <w:pPr>
        <w:pStyle w:val="FootnoteText"/>
        <w:jc w:val="left"/>
        <w:rPr>
          <w:sz w:val="18"/>
          <w:szCs w:val="18"/>
        </w:rPr>
      </w:pPr>
      <w:r w:rsidRPr="00EA71D3">
        <w:rPr>
          <w:rStyle w:val="FootnoteReference"/>
          <w:sz w:val="18"/>
          <w:szCs w:val="18"/>
          <w:lang w:val="fr-FR"/>
        </w:rPr>
        <w:footnoteRef/>
      </w:r>
      <w:r w:rsidR="00D90E41" w:rsidRPr="00D90E41">
        <w:rPr>
          <w:sz w:val="18"/>
          <w:szCs w:val="18"/>
          <w:lang w:val="fr-FR"/>
        </w:rPr>
        <w:t>Adapté du résumé à l'intention des décideurs du rapport de l'évaluation mondiale de la biodiversité et des services écosystémiques de la Plateforme intergouvernementale scientifique et politique sur la biodiversité et les services écosystémiques</w:t>
      </w:r>
      <w:r w:rsidRPr="00EA71D3">
        <w:rPr>
          <w:color w:val="000000" w:themeColor="text1"/>
          <w:sz w:val="18"/>
          <w:szCs w:val="18"/>
          <w:lang w:val="fr-FR"/>
        </w:rPr>
        <w:t>.</w:t>
      </w:r>
      <w:r w:rsidR="00D90E41" w:rsidRPr="00D90E41">
        <w:rPr>
          <w:color w:val="000000" w:themeColor="text1"/>
          <w:sz w:val="18"/>
          <w:szCs w:val="18"/>
        </w:rPr>
        <w:t xml:space="preserve"> Disponible à l'adresse suivante </w:t>
      </w:r>
      <w:hyperlink r:id="rId4" w:history="1">
        <w:r w:rsidR="00D90E41" w:rsidRPr="00D76BE1">
          <w:rPr>
            <w:rStyle w:val="Hyperlink"/>
            <w:sz w:val="18"/>
            <w:szCs w:val="18"/>
          </w:rPr>
          <w:t>www.ipcc.ch/report/ar6/wg2/</w:t>
        </w:r>
      </w:hyperlink>
      <w:r w:rsidR="00D90E41" w:rsidRPr="00D76BE1">
        <w:rPr>
          <w:color w:val="000000" w:themeColor="text1"/>
          <w:sz w:val="18"/>
          <w:szCs w:val="18"/>
        </w:rPr>
        <w:t xml:space="preserve">. </w:t>
      </w:r>
    </w:p>
  </w:footnote>
  <w:footnote w:id="43">
    <w:p w14:paraId="2CEB7352" w14:textId="7A3C95E2" w:rsidR="000E6FDA" w:rsidRPr="00EA71D3" w:rsidRDefault="000E6FDA" w:rsidP="000E6FDA">
      <w:pPr>
        <w:pStyle w:val="FootnoteText"/>
        <w:rPr>
          <w:lang w:val="fr-FR"/>
        </w:rPr>
      </w:pPr>
      <w:r w:rsidRPr="00EA71D3">
        <w:rPr>
          <w:rStyle w:val="FootnoteReference"/>
          <w:lang w:val="fr-FR"/>
        </w:rPr>
        <w:footnoteRef/>
      </w:r>
      <w:r w:rsidRPr="00EA71D3">
        <w:rPr>
          <w:lang w:val="fr-FR"/>
        </w:rPr>
        <w:t xml:space="preserve"> </w:t>
      </w:r>
      <w:r w:rsidR="00D90E41" w:rsidRPr="00D90E41">
        <w:rPr>
          <w:sz w:val="18"/>
          <w:szCs w:val="18"/>
          <w:lang w:val="fr-FR"/>
        </w:rPr>
        <w:t xml:space="preserve">Adapté du résumé à l'intention des décideurs du </w:t>
      </w:r>
      <w:r w:rsidR="00D90E41" w:rsidRPr="00D90E41">
        <w:rPr>
          <w:i/>
          <w:iCs/>
          <w:sz w:val="18"/>
          <w:szCs w:val="18"/>
          <w:lang w:val="fr-FR"/>
        </w:rPr>
        <w:t>Rapport de l'évaluation mondiale de la biodiversité et des services écosystémiques de la Plateforme intergouvernementale scientifique et politique sur la biodiversité et les services écosystémiques</w:t>
      </w:r>
      <w:r w:rsidR="00D90E41" w:rsidRPr="00D90E41">
        <w:rPr>
          <w:sz w:val="18"/>
          <w:szCs w:val="18"/>
          <w:lang w:val="fr-FR"/>
        </w:rPr>
        <w:t>.</w:t>
      </w:r>
    </w:p>
  </w:footnote>
  <w:footnote w:id="44">
    <w:p w14:paraId="5FB3D6C5" w14:textId="33DD21CC" w:rsidR="000E6FDA" w:rsidRPr="00EA71D3" w:rsidRDefault="000E6FDA" w:rsidP="00EA71D3">
      <w:pPr>
        <w:pStyle w:val="FootnoteText"/>
        <w:jc w:val="left"/>
        <w:rPr>
          <w:sz w:val="18"/>
          <w:szCs w:val="18"/>
          <w:lang w:val="fr-FR"/>
        </w:rPr>
      </w:pPr>
      <w:r w:rsidRPr="00EA71D3">
        <w:rPr>
          <w:rStyle w:val="FootnoteReference"/>
          <w:sz w:val="18"/>
          <w:szCs w:val="18"/>
          <w:lang w:val="fr-FR"/>
        </w:rPr>
        <w:footnoteRef/>
      </w:r>
      <w:r w:rsidRPr="00EA71D3">
        <w:rPr>
          <w:sz w:val="18"/>
          <w:szCs w:val="18"/>
          <w:lang w:val="fr-FR"/>
        </w:rPr>
        <w:t xml:space="preserve"> </w:t>
      </w:r>
      <w:r w:rsidR="00D90E41" w:rsidRPr="00D90E41">
        <w:rPr>
          <w:color w:val="000000" w:themeColor="text1"/>
          <w:sz w:val="18"/>
          <w:szCs w:val="18"/>
          <w:lang w:val="fr-FR"/>
        </w:rPr>
        <w:t>Adapté du résumé à l'intention des décideurs du sixième rapport d'évaluation, Groupe de travail II, Impacts, adaptation et vulnérabilité, du Groupe d'experts intergouvernemental sur l'évolution du climat, 2022. Disponible à l'adresse suivante</w:t>
      </w:r>
      <w:r w:rsidRPr="00EA71D3">
        <w:rPr>
          <w:color w:val="000000" w:themeColor="text1"/>
          <w:sz w:val="18"/>
          <w:szCs w:val="18"/>
          <w:lang w:val="fr-FR"/>
        </w:rPr>
        <w:t xml:space="preserve"> </w:t>
      </w:r>
      <w:hyperlink r:id="rId5" w:history="1">
        <w:r w:rsidRPr="00EA71D3">
          <w:rPr>
            <w:rStyle w:val="Hyperlink"/>
            <w:sz w:val="18"/>
            <w:szCs w:val="18"/>
            <w:lang w:val="fr-FR"/>
          </w:rPr>
          <w:t>www.ipcc.ch/report/ar6/wg2/</w:t>
        </w:r>
      </w:hyperlink>
      <w:r w:rsidRPr="00EA71D3">
        <w:rPr>
          <w:color w:val="000000" w:themeColor="text1"/>
          <w:sz w:val="18"/>
          <w:szCs w:val="18"/>
          <w:lang w:val="fr-FR"/>
        </w:rPr>
        <w:t xml:space="preserve">. </w:t>
      </w:r>
    </w:p>
  </w:footnote>
  <w:footnote w:id="45">
    <w:p w14:paraId="169E82B6" w14:textId="2CB50ED6" w:rsidR="000E6FDA" w:rsidRPr="00EA71D3" w:rsidRDefault="000E6FDA" w:rsidP="000E6FDA">
      <w:pPr>
        <w:pStyle w:val="FootnoteText"/>
        <w:rPr>
          <w:sz w:val="18"/>
          <w:szCs w:val="18"/>
          <w:lang w:val="fr-FR"/>
        </w:rPr>
      </w:pPr>
      <w:r w:rsidRPr="00EA71D3">
        <w:rPr>
          <w:rStyle w:val="FootnoteReference"/>
          <w:sz w:val="18"/>
          <w:szCs w:val="18"/>
          <w:lang w:val="fr-FR"/>
        </w:rPr>
        <w:footnoteRef/>
      </w:r>
      <w:r w:rsidRPr="00EA71D3">
        <w:rPr>
          <w:sz w:val="18"/>
          <w:szCs w:val="18"/>
          <w:lang w:val="fr-FR"/>
        </w:rPr>
        <w:t xml:space="preserve"> </w:t>
      </w:r>
      <w:r w:rsidR="00D90E41" w:rsidRPr="00D90E41">
        <w:rPr>
          <w:sz w:val="18"/>
          <w:szCs w:val="18"/>
          <w:lang w:val="fr-FR"/>
        </w:rPr>
        <w:t>Recommandation 24/9 de l'Organe subsidiaire chargé de fournir des avis scientifiques, techniques et technologiques.</w:t>
      </w:r>
    </w:p>
  </w:footnote>
  <w:footnote w:id="46">
    <w:p w14:paraId="464E1731" w14:textId="62B32D66" w:rsidR="000E6FDA" w:rsidRPr="00EA71D3" w:rsidRDefault="000E6FDA" w:rsidP="000E6FDA">
      <w:pPr>
        <w:pStyle w:val="FootnoteText"/>
        <w:rPr>
          <w:sz w:val="18"/>
          <w:szCs w:val="18"/>
          <w:lang w:val="fr-FR"/>
        </w:rPr>
      </w:pPr>
      <w:r w:rsidRPr="00EA71D3">
        <w:rPr>
          <w:rStyle w:val="FootnoteReference"/>
          <w:sz w:val="18"/>
          <w:szCs w:val="18"/>
          <w:lang w:val="fr-FR"/>
        </w:rPr>
        <w:footnoteRef/>
      </w:r>
      <w:r w:rsidRPr="00EA71D3">
        <w:rPr>
          <w:sz w:val="18"/>
          <w:szCs w:val="18"/>
          <w:lang w:val="fr-FR"/>
        </w:rPr>
        <w:t xml:space="preserve"> </w:t>
      </w:r>
      <w:r w:rsidR="00D90E41" w:rsidRPr="00D90E41">
        <w:rPr>
          <w:sz w:val="18"/>
          <w:szCs w:val="18"/>
          <w:lang w:val="fr-FR"/>
        </w:rPr>
        <w:t xml:space="preserve">Adapté de la publication de l'Organisation mondiale de la santé intitulée </w:t>
      </w:r>
      <w:r w:rsidR="00D90E41" w:rsidRPr="00D90E41">
        <w:rPr>
          <w:i/>
          <w:iCs/>
          <w:sz w:val="18"/>
          <w:szCs w:val="18"/>
          <w:lang w:val="fr-FR"/>
        </w:rPr>
        <w:t>Guidance on mainstreaming biodiversity for nutrition and health</w:t>
      </w:r>
      <w:r w:rsidR="00D90E41">
        <w:rPr>
          <w:sz w:val="18"/>
          <w:szCs w:val="18"/>
          <w:lang w:val="fr-FR"/>
        </w:rPr>
        <w:t xml:space="preserve"> </w:t>
      </w:r>
      <w:r w:rsidRPr="00EA71D3">
        <w:rPr>
          <w:sz w:val="18"/>
          <w:szCs w:val="18"/>
          <w:lang w:val="fr-FR"/>
        </w:rPr>
        <w:t>(G</w:t>
      </w:r>
      <w:r w:rsidR="00D90E41">
        <w:rPr>
          <w:sz w:val="18"/>
          <w:szCs w:val="18"/>
          <w:lang w:val="fr-FR"/>
        </w:rPr>
        <w:t>enève</w:t>
      </w:r>
      <w:r w:rsidRPr="00EA71D3">
        <w:rPr>
          <w:sz w:val="18"/>
          <w:szCs w:val="18"/>
          <w:lang w:val="fr-FR"/>
        </w:rPr>
        <w:t>, 2020).</w:t>
      </w:r>
    </w:p>
  </w:footnote>
  <w:footnote w:id="47">
    <w:p w14:paraId="2E204741" w14:textId="3828E02E" w:rsidR="000E6FDA" w:rsidRPr="00EA71D3" w:rsidRDefault="000E6FDA" w:rsidP="000E6FDA">
      <w:pPr>
        <w:pStyle w:val="FootnoteText"/>
        <w:rPr>
          <w:lang w:val="fr-FR"/>
        </w:rPr>
      </w:pPr>
      <w:r w:rsidRPr="00EA71D3">
        <w:rPr>
          <w:rStyle w:val="FootnoteReference"/>
          <w:lang w:val="fr-FR"/>
        </w:rPr>
        <w:footnoteRef/>
      </w:r>
      <w:r w:rsidRPr="00EA71D3">
        <w:rPr>
          <w:lang w:val="fr-FR"/>
        </w:rPr>
        <w:t xml:space="preserve"> </w:t>
      </w:r>
      <w:r w:rsidR="00D90E41" w:rsidRPr="00D90E41">
        <w:rPr>
          <w:sz w:val="18"/>
          <w:szCs w:val="18"/>
          <w:lang w:val="fr-FR"/>
        </w:rPr>
        <w:t xml:space="preserve">Adapté de la publication de l'Organisation mondiale de la santé intitulée </w:t>
      </w:r>
      <w:r w:rsidR="00D90E41" w:rsidRPr="00D90E41">
        <w:rPr>
          <w:i/>
          <w:iCs/>
          <w:sz w:val="18"/>
          <w:szCs w:val="18"/>
          <w:lang w:val="fr-FR"/>
        </w:rPr>
        <w:t>Guidance on mainstreaming biodiversity for nutrition and health</w:t>
      </w:r>
      <w:r w:rsidR="00D90E41">
        <w:rPr>
          <w:sz w:val="18"/>
          <w:szCs w:val="18"/>
          <w:lang w:val="fr-FR"/>
        </w:rPr>
        <w:t xml:space="preserve"> </w:t>
      </w:r>
      <w:r w:rsidRPr="00EA71D3">
        <w:rPr>
          <w:sz w:val="18"/>
          <w:szCs w:val="18"/>
          <w:lang w:val="fr-FR"/>
        </w:rPr>
        <w:t>(</w:t>
      </w:r>
      <w:r w:rsidR="00D90E41" w:rsidRPr="00EA71D3">
        <w:rPr>
          <w:sz w:val="18"/>
          <w:szCs w:val="18"/>
          <w:lang w:val="fr-FR"/>
        </w:rPr>
        <w:t>G</w:t>
      </w:r>
      <w:r w:rsidR="00D90E41">
        <w:rPr>
          <w:sz w:val="18"/>
          <w:szCs w:val="18"/>
          <w:lang w:val="fr-FR"/>
        </w:rPr>
        <w:t>enève</w:t>
      </w:r>
      <w:r w:rsidRPr="00EA71D3">
        <w:rPr>
          <w:sz w:val="18"/>
          <w:szCs w:val="18"/>
          <w:lang w:val="fr-FR"/>
        </w:rPr>
        <w:t>, 2020).</w:t>
      </w:r>
    </w:p>
  </w:footnote>
  <w:footnote w:id="48">
    <w:p w14:paraId="275A55A4" w14:textId="6612868F" w:rsidR="000E6FDA" w:rsidRPr="00EA71D3" w:rsidRDefault="000E6FDA" w:rsidP="000E6FDA">
      <w:pPr>
        <w:pStyle w:val="FootnoteText"/>
        <w:rPr>
          <w:sz w:val="18"/>
          <w:szCs w:val="18"/>
          <w:lang w:val="fr-FR"/>
        </w:rPr>
      </w:pPr>
      <w:r w:rsidRPr="00EA71D3">
        <w:rPr>
          <w:rStyle w:val="FootnoteReference"/>
          <w:sz w:val="18"/>
          <w:szCs w:val="18"/>
          <w:lang w:val="fr-FR"/>
        </w:rPr>
        <w:footnoteRef/>
      </w:r>
      <w:r w:rsidRPr="00EA71D3">
        <w:rPr>
          <w:sz w:val="18"/>
          <w:szCs w:val="18"/>
          <w:lang w:val="fr-FR"/>
        </w:rPr>
        <w:t xml:space="preserve"> </w:t>
      </w:r>
      <w:r w:rsidR="00610B52" w:rsidRPr="00610B52">
        <w:rPr>
          <w:sz w:val="18"/>
          <w:szCs w:val="18"/>
          <w:lang w:val="fr-FR"/>
        </w:rPr>
        <w:t xml:space="preserve">Adapté de la publication de l'Organisation des Nations Unies pour l'alimentation et l'agriculture intitulée </w:t>
      </w:r>
      <w:r w:rsidR="00610B52" w:rsidRPr="00610B52">
        <w:rPr>
          <w:i/>
          <w:iCs/>
          <w:sz w:val="18"/>
          <w:szCs w:val="18"/>
          <w:lang w:val="fr-FR"/>
        </w:rPr>
        <w:t>Biodiversity and nutrition : a common path</w:t>
      </w:r>
      <w:r w:rsidR="00610B52">
        <w:rPr>
          <w:sz w:val="18"/>
          <w:szCs w:val="18"/>
          <w:lang w:val="fr-FR"/>
        </w:rPr>
        <w:t xml:space="preserve"> </w:t>
      </w:r>
      <w:r w:rsidRPr="00EA71D3">
        <w:rPr>
          <w:sz w:val="18"/>
          <w:szCs w:val="18"/>
          <w:lang w:val="fr-FR"/>
        </w:rPr>
        <w:t>(Rome).</w:t>
      </w:r>
    </w:p>
  </w:footnote>
  <w:footnote w:id="49">
    <w:p w14:paraId="4F9443ED" w14:textId="7487E92A" w:rsidR="000E6FDA" w:rsidRPr="00EA71D3" w:rsidRDefault="000E6FDA" w:rsidP="000E6FDA">
      <w:pPr>
        <w:pStyle w:val="FootnoteText"/>
        <w:rPr>
          <w:sz w:val="18"/>
          <w:szCs w:val="18"/>
          <w:lang w:val="fr-FR"/>
        </w:rPr>
      </w:pPr>
      <w:r w:rsidRPr="00EA71D3">
        <w:rPr>
          <w:rStyle w:val="FootnoteReference"/>
          <w:sz w:val="18"/>
          <w:szCs w:val="18"/>
          <w:lang w:val="fr-FR"/>
        </w:rPr>
        <w:footnoteRef/>
      </w:r>
      <w:r w:rsidRPr="00EA71D3">
        <w:rPr>
          <w:sz w:val="18"/>
          <w:szCs w:val="18"/>
          <w:lang w:val="fr-FR"/>
        </w:rPr>
        <w:t xml:space="preserve"> </w:t>
      </w:r>
      <w:r w:rsidR="00610B52" w:rsidRPr="00610B52">
        <w:rPr>
          <w:sz w:val="18"/>
          <w:szCs w:val="18"/>
          <w:lang w:val="fr-FR"/>
        </w:rPr>
        <w:t xml:space="preserve">Adapté du document de la Commission des ressources génétiques pour l'alimentation et l'agriculture de l'Organisation des Nations Unies pour l'alimentation et l'agriculture intitulé </w:t>
      </w:r>
      <w:r w:rsidR="00610B52" w:rsidRPr="00610B52">
        <w:rPr>
          <w:i/>
          <w:iCs/>
          <w:sz w:val="18"/>
          <w:szCs w:val="18"/>
          <w:lang w:val="fr-FR"/>
        </w:rPr>
        <w:t>The State of the World's Biodiversity for Food and Agriculture</w:t>
      </w:r>
      <w:r w:rsidR="00610B52" w:rsidRPr="00610B52">
        <w:rPr>
          <w:sz w:val="18"/>
          <w:szCs w:val="18"/>
          <w:lang w:val="fr-FR"/>
        </w:rPr>
        <w:t xml:space="preserve"> </w:t>
      </w:r>
      <w:r w:rsidRPr="00EA71D3">
        <w:rPr>
          <w:sz w:val="18"/>
          <w:szCs w:val="18"/>
          <w:lang w:val="fr-FR"/>
        </w:rPr>
        <w:t>(Rome, 2019).</w:t>
      </w:r>
    </w:p>
  </w:footnote>
  <w:footnote w:id="50">
    <w:p w14:paraId="05FEC2A7" w14:textId="21C94D8D" w:rsidR="000E6FDA" w:rsidRPr="00EA71D3" w:rsidRDefault="000E6FDA" w:rsidP="000E6FDA">
      <w:pPr>
        <w:pStyle w:val="FootnoteText"/>
        <w:rPr>
          <w:sz w:val="18"/>
          <w:szCs w:val="18"/>
          <w:lang w:val="fr-FR"/>
        </w:rPr>
      </w:pPr>
      <w:r w:rsidRPr="00EA71D3">
        <w:rPr>
          <w:rStyle w:val="FootnoteReference"/>
          <w:sz w:val="18"/>
          <w:szCs w:val="18"/>
          <w:lang w:val="fr-FR"/>
        </w:rPr>
        <w:footnoteRef/>
      </w:r>
      <w:r w:rsidRPr="00EA71D3">
        <w:rPr>
          <w:sz w:val="18"/>
          <w:szCs w:val="18"/>
          <w:lang w:val="fr-FR"/>
        </w:rPr>
        <w:t xml:space="preserve"> </w:t>
      </w:r>
      <w:r w:rsidR="00610B52" w:rsidRPr="00610B52">
        <w:rPr>
          <w:sz w:val="18"/>
          <w:szCs w:val="18"/>
          <w:lang w:val="fr-FR"/>
        </w:rPr>
        <w:t xml:space="preserve">Adapté du document de la Commission des ressources génétiques pour l'alimentation et l'agriculture de l'Organisation des Nations Unies pour l'alimentation et l'agriculture intitulé </w:t>
      </w:r>
      <w:r w:rsidR="00610B52" w:rsidRPr="00610B52">
        <w:rPr>
          <w:i/>
          <w:iCs/>
          <w:sz w:val="18"/>
          <w:szCs w:val="18"/>
          <w:lang w:val="fr-FR"/>
        </w:rPr>
        <w:t>Framework for Action on Biodiversity for Food and Agriculture</w:t>
      </w:r>
      <w:r w:rsidR="00610B52" w:rsidRPr="00610B52">
        <w:rPr>
          <w:sz w:val="18"/>
          <w:szCs w:val="18"/>
          <w:lang w:val="fr-FR"/>
        </w:rPr>
        <w:t xml:space="preserve"> </w:t>
      </w:r>
      <w:r w:rsidRPr="00EA71D3">
        <w:rPr>
          <w:sz w:val="18"/>
          <w:szCs w:val="18"/>
          <w:lang w:val="fr-FR"/>
        </w:rPr>
        <w:t>(Rome, 2022).</w:t>
      </w:r>
    </w:p>
  </w:footnote>
  <w:footnote w:id="51">
    <w:p w14:paraId="1E9B7CE7" w14:textId="34235985" w:rsidR="000E6FDA" w:rsidRPr="00EA71D3" w:rsidRDefault="000E6FDA" w:rsidP="000E6FDA">
      <w:pPr>
        <w:pStyle w:val="FootnoteText"/>
        <w:rPr>
          <w:sz w:val="18"/>
          <w:szCs w:val="18"/>
          <w:lang w:val="fr-FR"/>
        </w:rPr>
      </w:pPr>
      <w:r w:rsidRPr="00EA71D3">
        <w:rPr>
          <w:rStyle w:val="FootnoteReference"/>
          <w:sz w:val="18"/>
          <w:szCs w:val="18"/>
          <w:lang w:val="fr-FR"/>
        </w:rPr>
        <w:footnoteRef/>
      </w:r>
      <w:r w:rsidRPr="00EA71D3">
        <w:rPr>
          <w:sz w:val="18"/>
          <w:szCs w:val="18"/>
          <w:lang w:val="fr-FR"/>
        </w:rPr>
        <w:t xml:space="preserve"> </w:t>
      </w:r>
      <w:r w:rsidR="00610B52" w:rsidRPr="00610B52">
        <w:rPr>
          <w:sz w:val="18"/>
          <w:szCs w:val="18"/>
          <w:lang w:val="fr-FR"/>
        </w:rPr>
        <w:t xml:space="preserve">Organisation mondiale de la santé animale, </w:t>
      </w:r>
      <w:r w:rsidR="00610B52" w:rsidRPr="00610B52">
        <w:rPr>
          <w:i/>
          <w:iCs/>
          <w:sz w:val="18"/>
          <w:szCs w:val="18"/>
          <w:lang w:val="fr-FR"/>
        </w:rPr>
        <w:t>Stratégie mondiale pour le bien-être animal</w:t>
      </w:r>
      <w:r w:rsidR="00610B52" w:rsidRPr="00610B52">
        <w:rPr>
          <w:sz w:val="18"/>
          <w:szCs w:val="18"/>
          <w:lang w:val="fr-FR"/>
        </w:rPr>
        <w:t xml:space="preserve"> </w:t>
      </w:r>
      <w:r w:rsidRPr="00EA71D3">
        <w:rPr>
          <w:sz w:val="18"/>
          <w:szCs w:val="18"/>
          <w:lang w:val="fr-FR"/>
        </w:rPr>
        <w:t>(Paris, 2017).</w:t>
      </w:r>
    </w:p>
  </w:footnote>
  <w:footnote w:id="52">
    <w:p w14:paraId="36E22771" w14:textId="19D5025D" w:rsidR="000E6FDA" w:rsidRPr="00EA71D3" w:rsidRDefault="000E6FDA" w:rsidP="000E6FDA">
      <w:pPr>
        <w:pStyle w:val="FootnoteText"/>
        <w:rPr>
          <w:sz w:val="18"/>
          <w:szCs w:val="18"/>
          <w:lang w:val="fr-FR"/>
        </w:rPr>
      </w:pPr>
      <w:r w:rsidRPr="00EA71D3">
        <w:rPr>
          <w:rStyle w:val="FootnoteReference"/>
          <w:sz w:val="18"/>
          <w:szCs w:val="18"/>
          <w:lang w:val="fr-FR"/>
        </w:rPr>
        <w:footnoteRef/>
      </w:r>
      <w:r w:rsidRPr="00EA71D3">
        <w:rPr>
          <w:sz w:val="18"/>
          <w:szCs w:val="18"/>
          <w:lang w:val="fr-FR"/>
        </w:rPr>
        <w:t xml:space="preserve"> </w:t>
      </w:r>
      <w:r w:rsidRPr="00EA71D3">
        <w:rPr>
          <w:lang w:val="fr-FR"/>
        </w:rPr>
        <w:t>E/C.19/2023/5</w:t>
      </w:r>
      <w:r w:rsidRPr="00EA71D3">
        <w:rPr>
          <w:sz w:val="18"/>
          <w:szCs w:val="18"/>
          <w:lang w:val="fr-FR"/>
        </w:rPr>
        <w:t>.</w:t>
      </w:r>
    </w:p>
  </w:footnote>
  <w:footnote w:id="53">
    <w:p w14:paraId="1839B1AB" w14:textId="1D0BE66F" w:rsidR="000E6FDA" w:rsidRPr="00EA71D3" w:rsidRDefault="000E6FDA" w:rsidP="000E6FDA">
      <w:pPr>
        <w:pStyle w:val="FootnoteText"/>
        <w:rPr>
          <w:sz w:val="18"/>
          <w:szCs w:val="18"/>
          <w:lang w:val="fr-FR"/>
        </w:rPr>
      </w:pPr>
      <w:r w:rsidRPr="00EA71D3">
        <w:rPr>
          <w:rStyle w:val="FootnoteReference"/>
          <w:sz w:val="18"/>
          <w:szCs w:val="18"/>
          <w:lang w:val="fr-FR"/>
        </w:rPr>
        <w:footnoteRef/>
      </w:r>
      <w:r w:rsidRPr="00EA71D3">
        <w:rPr>
          <w:sz w:val="18"/>
          <w:szCs w:val="18"/>
          <w:lang w:val="fr-FR"/>
        </w:rPr>
        <w:t xml:space="preserve"> </w:t>
      </w:r>
      <w:r w:rsidR="00610B52" w:rsidRPr="00610B52">
        <w:rPr>
          <w:sz w:val="18"/>
          <w:szCs w:val="18"/>
          <w:lang w:val="fr-FR"/>
        </w:rPr>
        <w:t xml:space="preserve">Groupe consultatif pour la recherche agricole internationale, initiative sur la santé environnementale et la biodiversité. Disponible à l'adresse suivante </w:t>
      </w:r>
      <w:hyperlink r:id="rId6">
        <w:r w:rsidRPr="00EA71D3">
          <w:rPr>
            <w:rStyle w:val="Hyperlink"/>
            <w:color w:val="0000FF"/>
            <w:sz w:val="18"/>
            <w:szCs w:val="18"/>
            <w:lang w:val="fr-FR"/>
          </w:rPr>
          <w:t>www.cgiar.org/research/cgiar-portfolio/environmental-health-biodiversity/</w:t>
        </w:r>
      </w:hyperlink>
      <w:r w:rsidRPr="00EA71D3">
        <w:rPr>
          <w:rStyle w:val="Hyperlink"/>
          <w:color w:val="0000FF"/>
          <w:sz w:val="18"/>
          <w:szCs w:val="18"/>
          <w:lang w:val="fr-FR"/>
        </w:rPr>
        <w:t>.</w:t>
      </w:r>
    </w:p>
  </w:footnote>
  <w:footnote w:id="54">
    <w:p w14:paraId="5E9CC2AA" w14:textId="4E815257" w:rsidR="00610B52" w:rsidRPr="00603392" w:rsidRDefault="00610B52" w:rsidP="00610B52">
      <w:pPr>
        <w:pStyle w:val="FootnoteText"/>
        <w:rPr>
          <w:sz w:val="18"/>
          <w:szCs w:val="18"/>
        </w:rPr>
      </w:pPr>
      <w:r w:rsidRPr="00603392">
        <w:rPr>
          <w:rStyle w:val="FootnoteReference"/>
          <w:sz w:val="18"/>
          <w:szCs w:val="18"/>
        </w:rPr>
        <w:footnoteRef/>
      </w:r>
      <w:r w:rsidRPr="00603392">
        <w:rPr>
          <w:sz w:val="18"/>
          <w:szCs w:val="18"/>
        </w:rPr>
        <w:t xml:space="preserve"> </w:t>
      </w:r>
      <w:r w:rsidRPr="00610B52">
        <w:rPr>
          <w:sz w:val="18"/>
          <w:szCs w:val="18"/>
        </w:rPr>
        <w:t xml:space="preserve">La liste des contributions est adaptée du rapport de la Plateforme intergouvernementale scientifique et politique sur la biodiversité et les services écosystémiques, </w:t>
      </w:r>
      <w:r w:rsidRPr="00610B52">
        <w:rPr>
          <w:i/>
          <w:iCs/>
          <w:sz w:val="18"/>
          <w:szCs w:val="18"/>
        </w:rPr>
        <w:t>Rapport de l'évaluation mondiale de la biodiversité et des services écosystémiques, Résumé à l'intention des décideurs</w:t>
      </w:r>
      <w:r w:rsidRPr="00610B52">
        <w:rPr>
          <w:sz w:val="18"/>
          <w:szCs w:val="18"/>
        </w:rPr>
        <w:t>. Disponible à l'adresse suivante</w:t>
      </w:r>
      <w:r w:rsidRPr="00D76BE1">
        <w:rPr>
          <w:sz w:val="18"/>
          <w:szCs w:val="18"/>
        </w:rPr>
        <w:t xml:space="preserve"> </w:t>
      </w:r>
      <w:hyperlink r:id="rId7">
        <w:r w:rsidRPr="00D76BE1">
          <w:rPr>
            <w:rStyle w:val="Hyperlink"/>
            <w:sz w:val="18"/>
            <w:szCs w:val="18"/>
          </w:rPr>
          <w:t>www.ipbes.net/document-library-catalogue/summary-policymakers-global-assessment-laid-out</w:t>
        </w:r>
      </w:hyperlink>
      <w:r w:rsidRPr="00D76BE1">
        <w:rPr>
          <w:rStyle w:val="Hyperlink"/>
          <w:sz w:val="18"/>
          <w:szCs w:val="18"/>
        </w:rPr>
        <w:t>.</w:t>
      </w:r>
    </w:p>
  </w:footnote>
  <w:footnote w:id="55">
    <w:p w14:paraId="57B309A2" w14:textId="19E85672" w:rsidR="000E6FDA" w:rsidRPr="00EA71D3" w:rsidRDefault="000E6FDA" w:rsidP="000E6FDA">
      <w:pPr>
        <w:pStyle w:val="FootnoteText"/>
        <w:rPr>
          <w:sz w:val="18"/>
          <w:szCs w:val="18"/>
          <w:lang w:val="fr-FR"/>
        </w:rPr>
      </w:pPr>
      <w:r w:rsidRPr="00EA71D3">
        <w:rPr>
          <w:rStyle w:val="FootnoteReference"/>
          <w:sz w:val="18"/>
          <w:szCs w:val="18"/>
          <w:lang w:val="fr-FR"/>
        </w:rPr>
        <w:footnoteRef/>
      </w:r>
      <w:r w:rsidRPr="00EA71D3">
        <w:rPr>
          <w:sz w:val="18"/>
          <w:szCs w:val="18"/>
          <w:lang w:val="fr-FR"/>
        </w:rPr>
        <w:t xml:space="preserve"> </w:t>
      </w:r>
      <w:r w:rsidR="00610B52" w:rsidRPr="00EA71D3">
        <w:rPr>
          <w:sz w:val="18"/>
          <w:szCs w:val="18"/>
          <w:lang w:val="fr-FR"/>
        </w:rPr>
        <w:t>Décision</w:t>
      </w:r>
      <w:r w:rsidRPr="00EA71D3">
        <w:rPr>
          <w:sz w:val="18"/>
          <w:szCs w:val="18"/>
          <w:lang w:val="fr-FR"/>
        </w:rPr>
        <w:t xml:space="preserve"> 15/29.</w:t>
      </w:r>
    </w:p>
  </w:footnote>
  <w:footnote w:id="56">
    <w:p w14:paraId="21F0DA3D" w14:textId="17C22529" w:rsidR="000E6FDA" w:rsidRPr="00EA71D3" w:rsidRDefault="000E6FDA" w:rsidP="000E6FDA">
      <w:pPr>
        <w:pStyle w:val="FootnoteText"/>
        <w:rPr>
          <w:sz w:val="18"/>
          <w:szCs w:val="18"/>
          <w:lang w:val="fr-FR"/>
        </w:rPr>
      </w:pPr>
      <w:r w:rsidRPr="00EA71D3">
        <w:rPr>
          <w:rStyle w:val="FootnoteReference"/>
          <w:sz w:val="18"/>
          <w:szCs w:val="18"/>
          <w:lang w:val="fr-FR"/>
        </w:rPr>
        <w:footnoteRef/>
      </w:r>
      <w:r w:rsidRPr="00EA71D3">
        <w:rPr>
          <w:sz w:val="18"/>
          <w:szCs w:val="18"/>
          <w:lang w:val="fr-FR"/>
        </w:rPr>
        <w:t xml:space="preserve"> </w:t>
      </w:r>
      <w:r w:rsidR="00610B52" w:rsidRPr="00610B52">
        <w:rPr>
          <w:sz w:val="18"/>
          <w:szCs w:val="18"/>
          <w:lang w:val="fr-FR"/>
        </w:rPr>
        <w:t xml:space="preserve">Adapté de la publication de la Plateforme intergouvernementale scientifique et politique sur la biodiversité et les services écosystémiques intitulée </w:t>
      </w:r>
      <w:r w:rsidR="00610B52" w:rsidRPr="00610B52">
        <w:rPr>
          <w:i/>
          <w:iCs/>
          <w:sz w:val="18"/>
          <w:szCs w:val="18"/>
          <w:lang w:val="fr-FR"/>
        </w:rPr>
        <w:t>Évaluation méthodologique des diverses valeurs de la nature et de leur estimation.</w:t>
      </w:r>
      <w:r w:rsidR="00610B52" w:rsidRPr="00610B52">
        <w:rPr>
          <w:sz w:val="18"/>
          <w:szCs w:val="18"/>
          <w:lang w:val="fr-FR"/>
        </w:rPr>
        <w:t xml:space="preserve"> </w:t>
      </w:r>
      <w:r w:rsidRPr="00EA71D3">
        <w:rPr>
          <w:sz w:val="18"/>
          <w:szCs w:val="18"/>
          <w:lang w:val="fr-FR"/>
        </w:rPr>
        <w:t>(Bonn, 2022).</w:t>
      </w:r>
    </w:p>
  </w:footnote>
  <w:footnote w:id="57">
    <w:p w14:paraId="2FF1189F" w14:textId="0247F13B" w:rsidR="000E6FDA" w:rsidRPr="00EA71D3" w:rsidRDefault="000E6FDA" w:rsidP="00610B52">
      <w:pPr>
        <w:pStyle w:val="FootnoteText"/>
        <w:rPr>
          <w:sz w:val="18"/>
          <w:szCs w:val="18"/>
          <w:lang w:val="fr-FR"/>
        </w:rPr>
      </w:pPr>
      <w:r w:rsidRPr="00EA71D3">
        <w:rPr>
          <w:rStyle w:val="FootnoteReference"/>
          <w:sz w:val="18"/>
          <w:szCs w:val="18"/>
          <w:lang w:val="fr-FR"/>
        </w:rPr>
        <w:footnoteRef/>
      </w:r>
      <w:r w:rsidRPr="00EA71D3">
        <w:rPr>
          <w:sz w:val="18"/>
          <w:szCs w:val="18"/>
          <w:lang w:val="fr-FR"/>
        </w:rPr>
        <w:t xml:space="preserve"> </w:t>
      </w:r>
      <w:r w:rsidR="00610B52" w:rsidRPr="00610B52">
        <w:rPr>
          <w:sz w:val="18"/>
          <w:szCs w:val="18"/>
          <w:lang w:val="fr-FR"/>
        </w:rPr>
        <w:t>Adapté de la publication de l'Organisation mondiale de la santé</w:t>
      </w:r>
      <w:r w:rsidR="00610B52">
        <w:rPr>
          <w:sz w:val="18"/>
          <w:szCs w:val="18"/>
          <w:lang w:val="fr-FR"/>
        </w:rPr>
        <w:t xml:space="preserve"> intitulée </w:t>
      </w:r>
      <w:r w:rsidR="00610B52" w:rsidRPr="00610B52">
        <w:rPr>
          <w:i/>
          <w:iCs/>
          <w:sz w:val="18"/>
          <w:szCs w:val="18"/>
          <w:lang w:val="fr-FR"/>
        </w:rPr>
        <w:t xml:space="preserve">Stratégie mondiale OMS sur la santé, l’environnement et les changements climatiques </w:t>
      </w:r>
      <w:r w:rsidRPr="00610B52">
        <w:rPr>
          <w:i/>
          <w:iCs/>
          <w:sz w:val="18"/>
          <w:szCs w:val="18"/>
          <w:lang w:val="fr-FR"/>
        </w:rPr>
        <w:t>(</w:t>
      </w:r>
      <w:r w:rsidR="006A480B" w:rsidRPr="00EA71D3">
        <w:rPr>
          <w:sz w:val="18"/>
          <w:szCs w:val="18"/>
          <w:lang w:val="fr-FR"/>
        </w:rPr>
        <w:t>Ge</w:t>
      </w:r>
      <w:r w:rsidR="006A480B">
        <w:rPr>
          <w:sz w:val="18"/>
          <w:szCs w:val="18"/>
          <w:lang w:val="fr-FR"/>
        </w:rPr>
        <w:t>nève</w:t>
      </w:r>
      <w:r w:rsidRPr="00EA71D3">
        <w:rPr>
          <w:sz w:val="18"/>
          <w:szCs w:val="18"/>
          <w:lang w:val="fr-FR"/>
        </w:rPr>
        <w:t>, 2020).</w:t>
      </w:r>
    </w:p>
  </w:footnote>
  <w:footnote w:id="58">
    <w:p w14:paraId="624443C4" w14:textId="77777777" w:rsidR="004D47D0" w:rsidRPr="00EA71D3" w:rsidRDefault="004D47D0" w:rsidP="002F7724">
      <w:pPr>
        <w:pStyle w:val="FootnoteText"/>
        <w:rPr>
          <w:lang w:val="fr-FR"/>
        </w:rPr>
      </w:pPr>
      <w:r w:rsidRPr="00EA71D3">
        <w:rPr>
          <w:rStyle w:val="FootnoteReference"/>
          <w:lang w:val="fr-FR"/>
        </w:rPr>
        <w:footnoteRef/>
      </w:r>
      <w:r w:rsidRPr="00EA71D3">
        <w:rPr>
          <w:lang w:val="fr-FR"/>
        </w:rPr>
        <w:t xml:space="preserve"> </w:t>
      </w:r>
      <w:r w:rsidRPr="00EA71D3">
        <w:rPr>
          <w:sz w:val="18"/>
          <w:szCs w:val="18"/>
          <w:lang w:val="fr-FR"/>
        </w:rPr>
        <w:t>Peuvent comprendre l’agriculture, les forêts, la pêche, l’aquaculture, le tourisme, la santé, les infrastructures, l’énergie et l’exploitation minière, la fabrication, la transformation et les finances, conformément à des décisions antérieures de la Conférence des Parties en matière d’intégration.</w:t>
      </w:r>
    </w:p>
  </w:footnote>
  <w:footnote w:id="59">
    <w:p w14:paraId="082BAD67" w14:textId="196AAAA5" w:rsidR="000E6FDA" w:rsidRPr="00EA71D3" w:rsidRDefault="000E6FDA" w:rsidP="000E6FDA">
      <w:pPr>
        <w:pStyle w:val="FootnoteText"/>
        <w:rPr>
          <w:sz w:val="18"/>
          <w:szCs w:val="18"/>
          <w:lang w:val="fr-FR"/>
        </w:rPr>
      </w:pPr>
      <w:r w:rsidRPr="00EA71D3">
        <w:rPr>
          <w:rStyle w:val="FootnoteReference"/>
          <w:sz w:val="18"/>
          <w:szCs w:val="18"/>
          <w:lang w:val="fr-FR"/>
        </w:rPr>
        <w:footnoteRef/>
      </w:r>
      <w:r w:rsidRPr="00EA71D3">
        <w:rPr>
          <w:sz w:val="18"/>
          <w:szCs w:val="18"/>
          <w:lang w:val="fr-FR"/>
        </w:rPr>
        <w:t xml:space="preserve"> </w:t>
      </w:r>
      <w:r w:rsidR="00610B52" w:rsidRPr="00EA71D3">
        <w:rPr>
          <w:sz w:val="18"/>
          <w:szCs w:val="18"/>
          <w:lang w:val="fr-FR"/>
        </w:rPr>
        <w:t>Décision</w:t>
      </w:r>
      <w:r w:rsidRPr="00EA71D3">
        <w:rPr>
          <w:sz w:val="18"/>
          <w:szCs w:val="18"/>
          <w:lang w:val="fr-FR"/>
        </w:rPr>
        <w:t xml:space="preserve"> XIII/6.</w:t>
      </w:r>
    </w:p>
  </w:footnote>
  <w:footnote w:id="60">
    <w:p w14:paraId="2CC3EF8B" w14:textId="6B8A4AC0" w:rsidR="000E6FDA" w:rsidRPr="00EA71D3" w:rsidRDefault="000E6FDA" w:rsidP="000E6FDA">
      <w:pPr>
        <w:pStyle w:val="FootnoteText"/>
        <w:rPr>
          <w:sz w:val="18"/>
          <w:szCs w:val="18"/>
          <w:lang w:val="fr-FR"/>
        </w:rPr>
      </w:pPr>
      <w:r w:rsidRPr="00EA71D3">
        <w:rPr>
          <w:rStyle w:val="FootnoteReference"/>
          <w:sz w:val="18"/>
          <w:szCs w:val="18"/>
          <w:lang w:val="fr-FR"/>
        </w:rPr>
        <w:footnoteRef/>
      </w:r>
      <w:r w:rsidRPr="00EA71D3">
        <w:rPr>
          <w:sz w:val="18"/>
          <w:szCs w:val="18"/>
          <w:lang w:val="fr-FR"/>
        </w:rPr>
        <w:t xml:space="preserve"> Décision 15/11, annexe.</w:t>
      </w:r>
    </w:p>
  </w:footnote>
  <w:footnote w:id="61">
    <w:p w14:paraId="3A253B73" w14:textId="77777777" w:rsidR="004D47D0" w:rsidRPr="00EA71D3" w:rsidRDefault="004D47D0" w:rsidP="00D37A7E">
      <w:pPr>
        <w:pStyle w:val="FootnoteText"/>
        <w:rPr>
          <w:lang w:val="fr-FR"/>
        </w:rPr>
      </w:pPr>
      <w:r w:rsidRPr="00EA71D3">
        <w:rPr>
          <w:rStyle w:val="FootnoteReference"/>
          <w:lang w:val="fr-FR"/>
        </w:rPr>
        <w:footnoteRef/>
      </w:r>
      <w:r w:rsidRPr="00EA71D3">
        <w:rPr>
          <w:lang w:val="fr-FR"/>
        </w:rPr>
        <w:t xml:space="preserve"> </w:t>
      </w:r>
      <w:r w:rsidRPr="00EA71D3">
        <w:rPr>
          <w:sz w:val="18"/>
          <w:szCs w:val="18"/>
          <w:lang w:val="fr-FR"/>
        </w:rPr>
        <w:t>Décision 15/5, annexe I.</w:t>
      </w:r>
    </w:p>
  </w:footnote>
  <w:footnote w:id="62">
    <w:p w14:paraId="416672A2" w14:textId="2C960FDF" w:rsidR="004D47D0" w:rsidRPr="00EA71D3" w:rsidRDefault="004D47D0" w:rsidP="00D37A7E">
      <w:pPr>
        <w:pStyle w:val="FootnoteText"/>
        <w:rPr>
          <w:lang w:val="fr-FR"/>
        </w:rPr>
      </w:pPr>
      <w:r w:rsidRPr="00EA71D3">
        <w:rPr>
          <w:rStyle w:val="FootnoteReference"/>
          <w:lang w:val="fr-FR"/>
        </w:rPr>
        <w:footnoteRef/>
      </w:r>
      <w:r w:rsidRPr="00EA71D3">
        <w:rPr>
          <w:lang w:val="fr-FR"/>
        </w:rPr>
        <w:t xml:space="preserve"> P</w:t>
      </w:r>
      <w:r w:rsidR="00610B52">
        <w:rPr>
          <w:lang w:val="fr-FR"/>
        </w:rPr>
        <w:t xml:space="preserve">ar exemple, </w:t>
      </w:r>
      <w:r w:rsidRPr="00EA71D3">
        <w:rPr>
          <w:lang w:val="fr-FR"/>
        </w:rPr>
        <w:t>la fonte du pergélisol peut dégager des souches de microorganismes potentiellement nuisibles pour les êtres humains</w:t>
      </w:r>
    </w:p>
  </w:footnote>
  <w:footnote w:id="63">
    <w:p w14:paraId="1248921D" w14:textId="77777777" w:rsidR="004D47D0" w:rsidRPr="00EA71D3" w:rsidRDefault="004D47D0" w:rsidP="00D37A7E">
      <w:pPr>
        <w:pStyle w:val="FootnoteText"/>
        <w:rPr>
          <w:color w:val="1D1D1D"/>
          <w:sz w:val="18"/>
          <w:szCs w:val="18"/>
          <w:shd w:val="clear" w:color="auto" w:fill="FFFFFF"/>
          <w:lang w:val="fr-FR"/>
        </w:rPr>
      </w:pPr>
      <w:r w:rsidRPr="00EA71D3">
        <w:rPr>
          <w:rStyle w:val="FootnoteReference"/>
          <w:rFonts w:eastAsiaTheme="majorEastAsia"/>
          <w:sz w:val="18"/>
          <w:szCs w:val="18"/>
          <w:lang w:val="fr-FR"/>
        </w:rPr>
        <w:footnoteRef/>
      </w:r>
      <w:r w:rsidRPr="00EA71D3">
        <w:rPr>
          <w:sz w:val="18"/>
          <w:szCs w:val="18"/>
          <w:lang w:val="fr-FR"/>
        </w:rPr>
        <w:t xml:space="preserve"> </w:t>
      </w:r>
      <w:r w:rsidRPr="00EA71D3">
        <w:rPr>
          <w:color w:val="1D1D1D"/>
          <w:sz w:val="18"/>
          <w:szCs w:val="18"/>
          <w:shd w:val="clear" w:color="auto" w:fill="FFFFFF"/>
          <w:lang w:val="fr-FR"/>
        </w:rPr>
        <w:t>La diversité biologique s’entend de la variabilité des organismes vivants de toute origine y compris, entre autres, les écosystèmes terrestres, marins et autres écosystèmes aquatiques et les complexes écologiques dont ils font partie ; cela comprend la diversité au sein des espèces et entre espèces ainsi que celle des écosystèmes. (Convention sur la diversité biologique, article</w:t>
      </w:r>
      <w:r w:rsidRPr="00EA71D3">
        <w:rPr>
          <w:color w:val="1D1D1D"/>
          <w:lang w:val="fr-FR"/>
        </w:rPr>
        <w:t> 2.</w:t>
      </w:r>
      <w:r w:rsidRPr="00EA71D3">
        <w:rPr>
          <w:color w:val="1D1D1D"/>
          <w:sz w:val="18"/>
          <w:szCs w:val="18"/>
          <w:shd w:val="clear" w:color="auto" w:fill="FFFFFF"/>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ED126" w14:textId="3484DC57" w:rsidR="00C94F27" w:rsidRPr="00C94F27" w:rsidRDefault="00C94F27" w:rsidP="00C94F27">
    <w:pPr>
      <w:pStyle w:val="Header"/>
      <w:pBdr>
        <w:bottom w:val="single" w:sz="4" w:space="1" w:color="auto"/>
      </w:pBdr>
      <w:spacing w:after="240"/>
      <w:jc w:val="left"/>
      <w:rPr>
        <w:sz w:val="20"/>
        <w:szCs w:val="20"/>
        <w:lang w:eastAsia="zh-CN"/>
      </w:rPr>
    </w:pPr>
    <w:r w:rsidRPr="005D3118">
      <w:rPr>
        <w:sz w:val="20"/>
        <w:szCs w:val="20"/>
      </w:rPr>
      <w:t>CBD/SBSTTA/</w:t>
    </w:r>
    <w:r>
      <w:rPr>
        <w:sz w:val="20"/>
        <w:szCs w:val="20"/>
      </w:rPr>
      <w:t>REC/</w:t>
    </w:r>
    <w:r w:rsidRPr="005D3118">
      <w:rPr>
        <w:sz w:val="20"/>
        <w:szCs w:val="20"/>
      </w:rPr>
      <w:t>26/</w:t>
    </w:r>
    <w:r>
      <w:rPr>
        <w:sz w:val="20"/>
        <w:szCs w:val="20"/>
      </w:rPr>
      <w:t>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17EFD" w14:textId="77777777" w:rsidR="00C94F27" w:rsidRPr="00332A87" w:rsidRDefault="00C94F27" w:rsidP="00C94F27">
    <w:pPr>
      <w:pStyle w:val="Header"/>
      <w:pBdr>
        <w:bottom w:val="single" w:sz="4" w:space="1" w:color="auto"/>
      </w:pBdr>
      <w:jc w:val="right"/>
      <w:rPr>
        <w:sz w:val="20"/>
        <w:szCs w:val="20"/>
      </w:rPr>
    </w:pPr>
    <w:r w:rsidRPr="005D3118">
      <w:rPr>
        <w:sz w:val="20"/>
        <w:szCs w:val="20"/>
      </w:rPr>
      <w:t>CBD/SBSTTA/</w:t>
    </w:r>
    <w:r>
      <w:rPr>
        <w:sz w:val="20"/>
        <w:szCs w:val="20"/>
      </w:rPr>
      <w:t>REC/</w:t>
    </w:r>
    <w:r w:rsidRPr="005D3118">
      <w:rPr>
        <w:sz w:val="20"/>
        <w:szCs w:val="20"/>
      </w:rPr>
      <w:t>26/</w:t>
    </w:r>
    <w:r>
      <w:rPr>
        <w:sz w:val="20"/>
        <w:szCs w:val="20"/>
      </w:rPr>
      <w:t>9</w:t>
    </w:r>
  </w:p>
  <w:p w14:paraId="18209169" w14:textId="1A930AC9" w:rsidR="004D47D0" w:rsidRPr="00C94F27" w:rsidRDefault="004D47D0" w:rsidP="00C94F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635B6"/>
    <w:multiLevelType w:val="hybridMultilevel"/>
    <w:tmpl w:val="7BE8DD02"/>
    <w:lvl w:ilvl="0" w:tplc="4B4C3816">
      <w:start w:val="1"/>
      <w:numFmt w:val="lowerLetter"/>
      <w:lvlText w:val="%1)"/>
      <w:lvlJc w:val="left"/>
      <w:pPr>
        <w:ind w:left="1020" w:hanging="360"/>
      </w:pPr>
    </w:lvl>
    <w:lvl w:ilvl="1" w:tplc="30A2FD76">
      <w:start w:val="1"/>
      <w:numFmt w:val="lowerLetter"/>
      <w:lvlText w:val="%2)"/>
      <w:lvlJc w:val="left"/>
      <w:pPr>
        <w:ind w:left="1020" w:hanging="360"/>
      </w:pPr>
    </w:lvl>
    <w:lvl w:ilvl="2" w:tplc="424AA46C">
      <w:start w:val="1"/>
      <w:numFmt w:val="lowerLetter"/>
      <w:lvlText w:val="%3)"/>
      <w:lvlJc w:val="left"/>
      <w:pPr>
        <w:ind w:left="1020" w:hanging="360"/>
      </w:pPr>
    </w:lvl>
    <w:lvl w:ilvl="3" w:tplc="493E4B88">
      <w:start w:val="1"/>
      <w:numFmt w:val="lowerLetter"/>
      <w:lvlText w:val="%4)"/>
      <w:lvlJc w:val="left"/>
      <w:pPr>
        <w:ind w:left="1020" w:hanging="360"/>
      </w:pPr>
    </w:lvl>
    <w:lvl w:ilvl="4" w:tplc="316C879C">
      <w:start w:val="1"/>
      <w:numFmt w:val="lowerLetter"/>
      <w:lvlText w:val="%5)"/>
      <w:lvlJc w:val="left"/>
      <w:pPr>
        <w:ind w:left="1020" w:hanging="360"/>
      </w:pPr>
    </w:lvl>
    <w:lvl w:ilvl="5" w:tplc="D48E0686">
      <w:start w:val="1"/>
      <w:numFmt w:val="lowerLetter"/>
      <w:lvlText w:val="%6)"/>
      <w:lvlJc w:val="left"/>
      <w:pPr>
        <w:ind w:left="1020" w:hanging="360"/>
      </w:pPr>
    </w:lvl>
    <w:lvl w:ilvl="6" w:tplc="B49EB44E">
      <w:start w:val="1"/>
      <w:numFmt w:val="lowerLetter"/>
      <w:lvlText w:val="%7)"/>
      <w:lvlJc w:val="left"/>
      <w:pPr>
        <w:ind w:left="1020" w:hanging="360"/>
      </w:pPr>
    </w:lvl>
    <w:lvl w:ilvl="7" w:tplc="C868BB64">
      <w:start w:val="1"/>
      <w:numFmt w:val="lowerLetter"/>
      <w:lvlText w:val="%8)"/>
      <w:lvlJc w:val="left"/>
      <w:pPr>
        <w:ind w:left="1020" w:hanging="360"/>
      </w:pPr>
    </w:lvl>
    <w:lvl w:ilvl="8" w:tplc="8598AA54">
      <w:start w:val="1"/>
      <w:numFmt w:val="lowerLetter"/>
      <w:lvlText w:val="%9)"/>
      <w:lvlJc w:val="left"/>
      <w:pPr>
        <w:ind w:left="1020" w:hanging="360"/>
      </w:pPr>
    </w:lvl>
  </w:abstractNum>
  <w:abstractNum w:abstractNumId="1" w15:restartNumberingAfterBreak="0">
    <w:nsid w:val="02CA21D6"/>
    <w:multiLevelType w:val="hybridMultilevel"/>
    <w:tmpl w:val="E8B29FD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A3E56"/>
    <w:multiLevelType w:val="hybridMultilevel"/>
    <w:tmpl w:val="7AA47400"/>
    <w:lvl w:ilvl="0" w:tplc="A2A04BC4">
      <w:start w:val="1"/>
      <w:numFmt w:val="lowerLetter"/>
      <w:lvlText w:val="%1)"/>
      <w:lvlJc w:val="left"/>
      <w:pPr>
        <w:ind w:left="1020" w:hanging="360"/>
      </w:pPr>
    </w:lvl>
    <w:lvl w:ilvl="1" w:tplc="0242E3C0">
      <w:start w:val="1"/>
      <w:numFmt w:val="lowerLetter"/>
      <w:lvlText w:val="%2)"/>
      <w:lvlJc w:val="left"/>
      <w:pPr>
        <w:ind w:left="1020" w:hanging="360"/>
      </w:pPr>
    </w:lvl>
    <w:lvl w:ilvl="2" w:tplc="EC1ED3D4">
      <w:start w:val="1"/>
      <w:numFmt w:val="lowerLetter"/>
      <w:lvlText w:val="%3)"/>
      <w:lvlJc w:val="left"/>
      <w:pPr>
        <w:ind w:left="1020" w:hanging="360"/>
      </w:pPr>
    </w:lvl>
    <w:lvl w:ilvl="3" w:tplc="E7F42116">
      <w:start w:val="1"/>
      <w:numFmt w:val="lowerLetter"/>
      <w:lvlText w:val="%4)"/>
      <w:lvlJc w:val="left"/>
      <w:pPr>
        <w:ind w:left="1020" w:hanging="360"/>
      </w:pPr>
    </w:lvl>
    <w:lvl w:ilvl="4" w:tplc="8D5C747C">
      <w:start w:val="1"/>
      <w:numFmt w:val="lowerLetter"/>
      <w:lvlText w:val="%5)"/>
      <w:lvlJc w:val="left"/>
      <w:pPr>
        <w:ind w:left="1020" w:hanging="360"/>
      </w:pPr>
    </w:lvl>
    <w:lvl w:ilvl="5" w:tplc="4344FD96">
      <w:start w:val="1"/>
      <w:numFmt w:val="lowerLetter"/>
      <w:lvlText w:val="%6)"/>
      <w:lvlJc w:val="left"/>
      <w:pPr>
        <w:ind w:left="1020" w:hanging="360"/>
      </w:pPr>
    </w:lvl>
    <w:lvl w:ilvl="6" w:tplc="1722DA64">
      <w:start w:val="1"/>
      <w:numFmt w:val="lowerLetter"/>
      <w:lvlText w:val="%7)"/>
      <w:lvlJc w:val="left"/>
      <w:pPr>
        <w:ind w:left="1020" w:hanging="360"/>
      </w:pPr>
    </w:lvl>
    <w:lvl w:ilvl="7" w:tplc="D7009634">
      <w:start w:val="1"/>
      <w:numFmt w:val="lowerLetter"/>
      <w:lvlText w:val="%8)"/>
      <w:lvlJc w:val="left"/>
      <w:pPr>
        <w:ind w:left="1020" w:hanging="360"/>
      </w:pPr>
    </w:lvl>
    <w:lvl w:ilvl="8" w:tplc="EF30B9EE">
      <w:start w:val="1"/>
      <w:numFmt w:val="lowerLetter"/>
      <w:lvlText w:val="%9)"/>
      <w:lvlJc w:val="left"/>
      <w:pPr>
        <w:ind w:left="1020" w:hanging="360"/>
      </w:pPr>
    </w:lvl>
  </w:abstractNum>
  <w:abstractNum w:abstractNumId="3" w15:restartNumberingAfterBreak="0">
    <w:nsid w:val="0DBA4EDC"/>
    <w:multiLevelType w:val="hybridMultilevel"/>
    <w:tmpl w:val="1B525FEA"/>
    <w:lvl w:ilvl="0" w:tplc="EB3CF688">
      <w:start w:val="1"/>
      <w:numFmt w:val="decimal"/>
      <w:lvlText w:val="%1)"/>
      <w:lvlJc w:val="left"/>
      <w:pPr>
        <w:ind w:left="1020" w:hanging="360"/>
      </w:pPr>
    </w:lvl>
    <w:lvl w:ilvl="1" w:tplc="7430ECFE">
      <w:start w:val="1"/>
      <w:numFmt w:val="decimal"/>
      <w:lvlText w:val="%2)"/>
      <w:lvlJc w:val="left"/>
      <w:pPr>
        <w:ind w:left="1020" w:hanging="360"/>
      </w:pPr>
    </w:lvl>
    <w:lvl w:ilvl="2" w:tplc="6E4CBF3C">
      <w:start w:val="1"/>
      <w:numFmt w:val="decimal"/>
      <w:lvlText w:val="%3)"/>
      <w:lvlJc w:val="left"/>
      <w:pPr>
        <w:ind w:left="1020" w:hanging="360"/>
      </w:pPr>
    </w:lvl>
    <w:lvl w:ilvl="3" w:tplc="D1F89E16">
      <w:start w:val="1"/>
      <w:numFmt w:val="decimal"/>
      <w:lvlText w:val="%4)"/>
      <w:lvlJc w:val="left"/>
      <w:pPr>
        <w:ind w:left="1020" w:hanging="360"/>
      </w:pPr>
    </w:lvl>
    <w:lvl w:ilvl="4" w:tplc="41AA6AF6">
      <w:start w:val="1"/>
      <w:numFmt w:val="decimal"/>
      <w:lvlText w:val="%5)"/>
      <w:lvlJc w:val="left"/>
      <w:pPr>
        <w:ind w:left="1020" w:hanging="360"/>
      </w:pPr>
    </w:lvl>
    <w:lvl w:ilvl="5" w:tplc="D0DE7F18">
      <w:start w:val="1"/>
      <w:numFmt w:val="decimal"/>
      <w:lvlText w:val="%6)"/>
      <w:lvlJc w:val="left"/>
      <w:pPr>
        <w:ind w:left="1020" w:hanging="360"/>
      </w:pPr>
    </w:lvl>
    <w:lvl w:ilvl="6" w:tplc="5B8C89C6">
      <w:start w:val="1"/>
      <w:numFmt w:val="decimal"/>
      <w:lvlText w:val="%7)"/>
      <w:lvlJc w:val="left"/>
      <w:pPr>
        <w:ind w:left="1020" w:hanging="360"/>
      </w:pPr>
    </w:lvl>
    <w:lvl w:ilvl="7" w:tplc="EE9463EC">
      <w:start w:val="1"/>
      <w:numFmt w:val="decimal"/>
      <w:lvlText w:val="%8)"/>
      <w:lvlJc w:val="left"/>
      <w:pPr>
        <w:ind w:left="1020" w:hanging="360"/>
      </w:pPr>
    </w:lvl>
    <w:lvl w:ilvl="8" w:tplc="AEAA5876">
      <w:start w:val="1"/>
      <w:numFmt w:val="decimal"/>
      <w:lvlText w:val="%9)"/>
      <w:lvlJc w:val="left"/>
      <w:pPr>
        <w:ind w:left="1020" w:hanging="360"/>
      </w:pPr>
    </w:lvl>
  </w:abstractNum>
  <w:abstractNum w:abstractNumId="4" w15:restartNumberingAfterBreak="0">
    <w:nsid w:val="142E6E98"/>
    <w:multiLevelType w:val="hybridMultilevel"/>
    <w:tmpl w:val="B754C608"/>
    <w:lvl w:ilvl="0" w:tplc="A98A99DC">
      <w:start w:val="1"/>
      <w:numFmt w:val="lowerLetter"/>
      <w:lvlText w:val="(%1)"/>
      <w:lvlJc w:val="left"/>
      <w:pPr>
        <w:ind w:left="1287" w:hanging="360"/>
      </w:pPr>
      <w:rPr>
        <w:rFonts w:hint="default"/>
        <w:i w:val="0"/>
        <w:i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4A10EDB"/>
    <w:multiLevelType w:val="multilevel"/>
    <w:tmpl w:val="D3D65B76"/>
    <w:styleLink w:val="CurrentList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1A586A"/>
    <w:multiLevelType w:val="hybridMultilevel"/>
    <w:tmpl w:val="65F2934C"/>
    <w:lvl w:ilvl="0" w:tplc="5A5CE248">
      <w:start w:val="1"/>
      <w:numFmt w:val="lowerLetter"/>
      <w:lvlText w:val="%1)"/>
      <w:lvlJc w:val="left"/>
      <w:pPr>
        <w:ind w:left="1020" w:hanging="360"/>
      </w:pPr>
    </w:lvl>
    <w:lvl w:ilvl="1" w:tplc="8B002950">
      <w:start w:val="1"/>
      <w:numFmt w:val="lowerLetter"/>
      <w:lvlText w:val="%2)"/>
      <w:lvlJc w:val="left"/>
      <w:pPr>
        <w:ind w:left="1020" w:hanging="360"/>
      </w:pPr>
    </w:lvl>
    <w:lvl w:ilvl="2" w:tplc="4AD6404A">
      <w:start w:val="1"/>
      <w:numFmt w:val="lowerLetter"/>
      <w:lvlText w:val="%3)"/>
      <w:lvlJc w:val="left"/>
      <w:pPr>
        <w:ind w:left="1020" w:hanging="360"/>
      </w:pPr>
    </w:lvl>
    <w:lvl w:ilvl="3" w:tplc="D41E040A">
      <w:start w:val="1"/>
      <w:numFmt w:val="lowerLetter"/>
      <w:lvlText w:val="%4)"/>
      <w:lvlJc w:val="left"/>
      <w:pPr>
        <w:ind w:left="1020" w:hanging="360"/>
      </w:pPr>
    </w:lvl>
    <w:lvl w:ilvl="4" w:tplc="325C61D0">
      <w:start w:val="1"/>
      <w:numFmt w:val="lowerLetter"/>
      <w:lvlText w:val="%5)"/>
      <w:lvlJc w:val="left"/>
      <w:pPr>
        <w:ind w:left="1020" w:hanging="360"/>
      </w:pPr>
    </w:lvl>
    <w:lvl w:ilvl="5" w:tplc="E94816A2">
      <w:start w:val="1"/>
      <w:numFmt w:val="lowerLetter"/>
      <w:lvlText w:val="%6)"/>
      <w:lvlJc w:val="left"/>
      <w:pPr>
        <w:ind w:left="1020" w:hanging="360"/>
      </w:pPr>
    </w:lvl>
    <w:lvl w:ilvl="6" w:tplc="A788963E">
      <w:start w:val="1"/>
      <w:numFmt w:val="lowerLetter"/>
      <w:lvlText w:val="%7)"/>
      <w:lvlJc w:val="left"/>
      <w:pPr>
        <w:ind w:left="1020" w:hanging="360"/>
      </w:pPr>
    </w:lvl>
    <w:lvl w:ilvl="7" w:tplc="5AACF76A">
      <w:start w:val="1"/>
      <w:numFmt w:val="lowerLetter"/>
      <w:lvlText w:val="%8)"/>
      <w:lvlJc w:val="left"/>
      <w:pPr>
        <w:ind w:left="1020" w:hanging="360"/>
      </w:pPr>
    </w:lvl>
    <w:lvl w:ilvl="8" w:tplc="23FCD346">
      <w:start w:val="1"/>
      <w:numFmt w:val="lowerLetter"/>
      <w:lvlText w:val="%9)"/>
      <w:lvlJc w:val="left"/>
      <w:pPr>
        <w:ind w:left="1020" w:hanging="360"/>
      </w:pPr>
    </w:lvl>
  </w:abstractNum>
  <w:abstractNum w:abstractNumId="7" w15:restartNumberingAfterBreak="0">
    <w:nsid w:val="2247306A"/>
    <w:multiLevelType w:val="hybridMultilevel"/>
    <w:tmpl w:val="6E60F7DC"/>
    <w:styleLink w:val="CurrentList11"/>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8" w15:restartNumberingAfterBreak="0">
    <w:nsid w:val="224F618D"/>
    <w:multiLevelType w:val="multilevel"/>
    <w:tmpl w:val="A35A395A"/>
    <w:lvl w:ilvl="0">
      <w:start w:val="1"/>
      <w:numFmt w:val="bullet"/>
      <w:lvlText w:val="●"/>
      <w:lvlJc w:val="left"/>
      <w:pPr>
        <w:ind w:left="216" w:hanging="216"/>
      </w:pPr>
      <w:rPr>
        <w:rFonts w:hint="default"/>
        <w:sz w:val="16"/>
        <w:szCs w:val="16"/>
        <w:u w:val="none"/>
      </w:rPr>
    </w:lvl>
    <w:lvl w:ilvl="1">
      <w:start w:val="1"/>
      <w:numFmt w:val="bullet"/>
      <w:lvlText w:val="○"/>
      <w:lvlJc w:val="left"/>
      <w:pPr>
        <w:ind w:left="1080" w:hanging="360"/>
      </w:pPr>
      <w:rPr>
        <w:rFonts w:hint="default"/>
        <w:u w:val="none"/>
      </w:rPr>
    </w:lvl>
    <w:lvl w:ilvl="2">
      <w:start w:val="1"/>
      <w:numFmt w:val="bullet"/>
      <w:lvlText w:val="■"/>
      <w:lvlJc w:val="left"/>
      <w:pPr>
        <w:ind w:left="1800" w:hanging="360"/>
      </w:pPr>
      <w:rPr>
        <w:rFonts w:hint="default"/>
        <w:u w:val="none"/>
      </w:rPr>
    </w:lvl>
    <w:lvl w:ilvl="3">
      <w:start w:val="1"/>
      <w:numFmt w:val="bullet"/>
      <w:lvlText w:val="●"/>
      <w:lvlJc w:val="left"/>
      <w:pPr>
        <w:ind w:left="2520" w:hanging="360"/>
      </w:pPr>
      <w:rPr>
        <w:rFonts w:hint="default"/>
        <w:u w:val="none"/>
      </w:rPr>
    </w:lvl>
    <w:lvl w:ilvl="4">
      <w:start w:val="1"/>
      <w:numFmt w:val="bullet"/>
      <w:lvlText w:val="○"/>
      <w:lvlJc w:val="left"/>
      <w:pPr>
        <w:ind w:left="3240" w:hanging="360"/>
      </w:pPr>
      <w:rPr>
        <w:rFonts w:hint="default"/>
        <w:u w:val="none"/>
      </w:rPr>
    </w:lvl>
    <w:lvl w:ilvl="5">
      <w:start w:val="1"/>
      <w:numFmt w:val="bullet"/>
      <w:lvlText w:val="■"/>
      <w:lvlJc w:val="left"/>
      <w:pPr>
        <w:ind w:left="3960" w:hanging="360"/>
      </w:pPr>
      <w:rPr>
        <w:rFonts w:hint="default"/>
        <w:u w:val="none"/>
      </w:rPr>
    </w:lvl>
    <w:lvl w:ilvl="6">
      <w:start w:val="1"/>
      <w:numFmt w:val="bullet"/>
      <w:lvlText w:val="●"/>
      <w:lvlJc w:val="left"/>
      <w:pPr>
        <w:ind w:left="4680" w:hanging="360"/>
      </w:pPr>
      <w:rPr>
        <w:rFonts w:hint="default"/>
        <w:u w:val="none"/>
      </w:rPr>
    </w:lvl>
    <w:lvl w:ilvl="7">
      <w:start w:val="1"/>
      <w:numFmt w:val="bullet"/>
      <w:lvlText w:val="○"/>
      <w:lvlJc w:val="left"/>
      <w:pPr>
        <w:ind w:left="5400" w:hanging="360"/>
      </w:pPr>
      <w:rPr>
        <w:rFonts w:hint="default"/>
        <w:u w:val="none"/>
      </w:rPr>
    </w:lvl>
    <w:lvl w:ilvl="8">
      <w:start w:val="1"/>
      <w:numFmt w:val="bullet"/>
      <w:lvlText w:val="■"/>
      <w:lvlJc w:val="left"/>
      <w:pPr>
        <w:ind w:left="6120" w:hanging="360"/>
      </w:pPr>
      <w:rPr>
        <w:rFonts w:hint="default"/>
        <w:u w:val="none"/>
      </w:rPr>
    </w:lvl>
  </w:abstractNum>
  <w:abstractNum w:abstractNumId="9" w15:restartNumberingAfterBreak="0">
    <w:nsid w:val="226B13E9"/>
    <w:multiLevelType w:val="multilevel"/>
    <w:tmpl w:val="720CC4D4"/>
    <w:styleLink w:val="CurrentList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ascii="Times New Roman" w:eastAsiaTheme="minorEastAsia" w:hAnsi="Times New Roman" w:cs="Times New Roman"/>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8F31E2A"/>
    <w:multiLevelType w:val="hybridMultilevel"/>
    <w:tmpl w:val="28629C36"/>
    <w:styleLink w:val="CurrentList21"/>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2C3A7AE2"/>
    <w:multiLevelType w:val="hybridMultilevel"/>
    <w:tmpl w:val="23FCDFF0"/>
    <w:lvl w:ilvl="0" w:tplc="B680DA5C">
      <w:start w:val="1"/>
      <w:numFmt w:val="decimal"/>
      <w:lvlText w:val="%1)"/>
      <w:lvlJc w:val="left"/>
      <w:pPr>
        <w:ind w:left="720" w:hanging="360"/>
      </w:pPr>
    </w:lvl>
    <w:lvl w:ilvl="1" w:tplc="9C342852">
      <w:start w:val="1"/>
      <w:numFmt w:val="decimal"/>
      <w:lvlText w:val="%2)"/>
      <w:lvlJc w:val="left"/>
      <w:pPr>
        <w:ind w:left="720" w:hanging="360"/>
      </w:pPr>
    </w:lvl>
    <w:lvl w:ilvl="2" w:tplc="2E1AE036">
      <w:start w:val="1"/>
      <w:numFmt w:val="decimal"/>
      <w:lvlText w:val="%3)"/>
      <w:lvlJc w:val="left"/>
      <w:pPr>
        <w:ind w:left="720" w:hanging="360"/>
      </w:pPr>
    </w:lvl>
    <w:lvl w:ilvl="3" w:tplc="FF66AEB4">
      <w:start w:val="1"/>
      <w:numFmt w:val="decimal"/>
      <w:lvlText w:val="%4)"/>
      <w:lvlJc w:val="left"/>
      <w:pPr>
        <w:ind w:left="720" w:hanging="360"/>
      </w:pPr>
    </w:lvl>
    <w:lvl w:ilvl="4" w:tplc="DC0444F6">
      <w:start w:val="1"/>
      <w:numFmt w:val="decimal"/>
      <w:lvlText w:val="%5)"/>
      <w:lvlJc w:val="left"/>
      <w:pPr>
        <w:ind w:left="720" w:hanging="360"/>
      </w:pPr>
    </w:lvl>
    <w:lvl w:ilvl="5" w:tplc="E9BED39A">
      <w:start w:val="1"/>
      <w:numFmt w:val="decimal"/>
      <w:lvlText w:val="%6)"/>
      <w:lvlJc w:val="left"/>
      <w:pPr>
        <w:ind w:left="720" w:hanging="360"/>
      </w:pPr>
    </w:lvl>
    <w:lvl w:ilvl="6" w:tplc="55109D5C">
      <w:start w:val="1"/>
      <w:numFmt w:val="decimal"/>
      <w:lvlText w:val="%7)"/>
      <w:lvlJc w:val="left"/>
      <w:pPr>
        <w:ind w:left="720" w:hanging="360"/>
      </w:pPr>
    </w:lvl>
    <w:lvl w:ilvl="7" w:tplc="3D86BF7E">
      <w:start w:val="1"/>
      <w:numFmt w:val="decimal"/>
      <w:lvlText w:val="%8)"/>
      <w:lvlJc w:val="left"/>
      <w:pPr>
        <w:ind w:left="720" w:hanging="360"/>
      </w:pPr>
    </w:lvl>
    <w:lvl w:ilvl="8" w:tplc="EE82AECC">
      <w:start w:val="1"/>
      <w:numFmt w:val="decimal"/>
      <w:lvlText w:val="%9)"/>
      <w:lvlJc w:val="left"/>
      <w:pPr>
        <w:ind w:left="720" w:hanging="360"/>
      </w:pPr>
    </w:lvl>
  </w:abstractNum>
  <w:abstractNum w:abstractNumId="12" w15:restartNumberingAfterBreak="0">
    <w:nsid w:val="2DC63855"/>
    <w:multiLevelType w:val="hybridMultilevel"/>
    <w:tmpl w:val="BEF45284"/>
    <w:lvl w:ilvl="0" w:tplc="17BA9552">
      <w:start w:val="1"/>
      <w:numFmt w:val="lowerLetter"/>
      <w:lvlText w:val="%1)"/>
      <w:lvlJc w:val="left"/>
      <w:pPr>
        <w:ind w:left="720" w:hanging="360"/>
      </w:pPr>
    </w:lvl>
    <w:lvl w:ilvl="1" w:tplc="F45C272C">
      <w:start w:val="1"/>
      <w:numFmt w:val="lowerLetter"/>
      <w:lvlText w:val="%2)"/>
      <w:lvlJc w:val="left"/>
      <w:pPr>
        <w:ind w:left="720" w:hanging="360"/>
      </w:pPr>
    </w:lvl>
    <w:lvl w:ilvl="2" w:tplc="3BA0D84A">
      <w:start w:val="1"/>
      <w:numFmt w:val="lowerLetter"/>
      <w:lvlText w:val="%3)"/>
      <w:lvlJc w:val="left"/>
      <w:pPr>
        <w:ind w:left="720" w:hanging="360"/>
      </w:pPr>
    </w:lvl>
    <w:lvl w:ilvl="3" w:tplc="3A2281A6">
      <w:start w:val="1"/>
      <w:numFmt w:val="lowerLetter"/>
      <w:lvlText w:val="%4)"/>
      <w:lvlJc w:val="left"/>
      <w:pPr>
        <w:ind w:left="720" w:hanging="360"/>
      </w:pPr>
    </w:lvl>
    <w:lvl w:ilvl="4" w:tplc="320E887C">
      <w:start w:val="1"/>
      <w:numFmt w:val="lowerLetter"/>
      <w:lvlText w:val="%5)"/>
      <w:lvlJc w:val="left"/>
      <w:pPr>
        <w:ind w:left="720" w:hanging="360"/>
      </w:pPr>
    </w:lvl>
    <w:lvl w:ilvl="5" w:tplc="7736DBCA">
      <w:start w:val="1"/>
      <w:numFmt w:val="lowerLetter"/>
      <w:lvlText w:val="%6)"/>
      <w:lvlJc w:val="left"/>
      <w:pPr>
        <w:ind w:left="720" w:hanging="360"/>
      </w:pPr>
    </w:lvl>
    <w:lvl w:ilvl="6" w:tplc="570A8140">
      <w:start w:val="1"/>
      <w:numFmt w:val="lowerLetter"/>
      <w:lvlText w:val="%7)"/>
      <w:lvlJc w:val="left"/>
      <w:pPr>
        <w:ind w:left="720" w:hanging="360"/>
      </w:pPr>
    </w:lvl>
    <w:lvl w:ilvl="7" w:tplc="1352A5D6">
      <w:start w:val="1"/>
      <w:numFmt w:val="lowerLetter"/>
      <w:lvlText w:val="%8)"/>
      <w:lvlJc w:val="left"/>
      <w:pPr>
        <w:ind w:left="720" w:hanging="360"/>
      </w:pPr>
    </w:lvl>
    <w:lvl w:ilvl="8" w:tplc="A050882C">
      <w:start w:val="1"/>
      <w:numFmt w:val="lowerLetter"/>
      <w:lvlText w:val="%9)"/>
      <w:lvlJc w:val="left"/>
      <w:pPr>
        <w:ind w:left="720" w:hanging="360"/>
      </w:pPr>
    </w:lvl>
  </w:abstractNum>
  <w:abstractNum w:abstractNumId="13" w15:restartNumberingAfterBreak="0">
    <w:nsid w:val="2E9C4227"/>
    <w:multiLevelType w:val="hybridMultilevel"/>
    <w:tmpl w:val="9B26A656"/>
    <w:lvl w:ilvl="0" w:tplc="E2E4D7EE">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EA04BA"/>
    <w:multiLevelType w:val="hybridMultilevel"/>
    <w:tmpl w:val="16341B9C"/>
    <w:lvl w:ilvl="0" w:tplc="94BC852E">
      <w:start w:val="1"/>
      <w:numFmt w:val="decimal"/>
      <w:lvlText w:val="%1)"/>
      <w:lvlJc w:val="left"/>
      <w:pPr>
        <w:ind w:left="1020" w:hanging="360"/>
      </w:pPr>
    </w:lvl>
    <w:lvl w:ilvl="1" w:tplc="C3DC804C">
      <w:start w:val="1"/>
      <w:numFmt w:val="decimal"/>
      <w:lvlText w:val="%2)"/>
      <w:lvlJc w:val="left"/>
      <w:pPr>
        <w:ind w:left="1020" w:hanging="360"/>
      </w:pPr>
    </w:lvl>
    <w:lvl w:ilvl="2" w:tplc="796A326C">
      <w:start w:val="1"/>
      <w:numFmt w:val="decimal"/>
      <w:lvlText w:val="%3)"/>
      <w:lvlJc w:val="left"/>
      <w:pPr>
        <w:ind w:left="1020" w:hanging="360"/>
      </w:pPr>
    </w:lvl>
    <w:lvl w:ilvl="3" w:tplc="B32AE1E0">
      <w:start w:val="1"/>
      <w:numFmt w:val="decimal"/>
      <w:lvlText w:val="%4)"/>
      <w:lvlJc w:val="left"/>
      <w:pPr>
        <w:ind w:left="1020" w:hanging="360"/>
      </w:pPr>
    </w:lvl>
    <w:lvl w:ilvl="4" w:tplc="D5C20F9C">
      <w:start w:val="1"/>
      <w:numFmt w:val="decimal"/>
      <w:lvlText w:val="%5)"/>
      <w:lvlJc w:val="left"/>
      <w:pPr>
        <w:ind w:left="1020" w:hanging="360"/>
      </w:pPr>
    </w:lvl>
    <w:lvl w:ilvl="5" w:tplc="3E8CD7B8">
      <w:start w:val="1"/>
      <w:numFmt w:val="decimal"/>
      <w:lvlText w:val="%6)"/>
      <w:lvlJc w:val="left"/>
      <w:pPr>
        <w:ind w:left="1020" w:hanging="360"/>
      </w:pPr>
    </w:lvl>
    <w:lvl w:ilvl="6" w:tplc="6C4E74AC">
      <w:start w:val="1"/>
      <w:numFmt w:val="decimal"/>
      <w:lvlText w:val="%7)"/>
      <w:lvlJc w:val="left"/>
      <w:pPr>
        <w:ind w:left="1020" w:hanging="360"/>
      </w:pPr>
    </w:lvl>
    <w:lvl w:ilvl="7" w:tplc="6C9AEBC6">
      <w:start w:val="1"/>
      <w:numFmt w:val="decimal"/>
      <w:lvlText w:val="%8)"/>
      <w:lvlJc w:val="left"/>
      <w:pPr>
        <w:ind w:left="1020" w:hanging="360"/>
      </w:pPr>
    </w:lvl>
    <w:lvl w:ilvl="8" w:tplc="A2122224">
      <w:start w:val="1"/>
      <w:numFmt w:val="decimal"/>
      <w:lvlText w:val="%9)"/>
      <w:lvlJc w:val="left"/>
      <w:pPr>
        <w:ind w:left="1020" w:hanging="360"/>
      </w:pPr>
    </w:lvl>
  </w:abstractNum>
  <w:abstractNum w:abstractNumId="15" w15:restartNumberingAfterBreak="0">
    <w:nsid w:val="34920F08"/>
    <w:multiLevelType w:val="hybridMultilevel"/>
    <w:tmpl w:val="FE5CD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E67D2C"/>
    <w:multiLevelType w:val="hybridMultilevel"/>
    <w:tmpl w:val="94C83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C519BD"/>
    <w:multiLevelType w:val="hybridMultilevel"/>
    <w:tmpl w:val="EDECF80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A28DB47"/>
    <w:multiLevelType w:val="hybridMultilevel"/>
    <w:tmpl w:val="B518D4CA"/>
    <w:lvl w:ilvl="0" w:tplc="C15ECE04">
      <w:start w:val="1"/>
      <w:numFmt w:val="lowerRoman"/>
      <w:lvlText w:val="(%1)"/>
      <w:lvlJc w:val="left"/>
      <w:pPr>
        <w:ind w:left="720" w:hanging="360"/>
      </w:pPr>
    </w:lvl>
    <w:lvl w:ilvl="1" w:tplc="0C0C0017">
      <w:start w:val="1"/>
      <w:numFmt w:val="lowerLetter"/>
      <w:lvlText w:val="%2)"/>
      <w:lvlJc w:val="left"/>
      <w:pPr>
        <w:ind w:left="1440" w:hanging="360"/>
      </w:pPr>
    </w:lvl>
    <w:lvl w:ilvl="2" w:tplc="450ADC1C">
      <w:start w:val="1"/>
      <w:numFmt w:val="lowerRoman"/>
      <w:lvlText w:val="%3."/>
      <w:lvlJc w:val="right"/>
      <w:pPr>
        <w:ind w:left="2160" w:hanging="180"/>
      </w:pPr>
    </w:lvl>
    <w:lvl w:ilvl="3" w:tplc="ADDEC8AC">
      <w:start w:val="1"/>
      <w:numFmt w:val="decimal"/>
      <w:lvlText w:val="%4."/>
      <w:lvlJc w:val="left"/>
      <w:pPr>
        <w:ind w:left="2880" w:hanging="360"/>
      </w:pPr>
    </w:lvl>
    <w:lvl w:ilvl="4" w:tplc="FC4A43EC">
      <w:start w:val="1"/>
      <w:numFmt w:val="lowerLetter"/>
      <w:lvlText w:val="%5."/>
      <w:lvlJc w:val="left"/>
      <w:pPr>
        <w:ind w:left="3600" w:hanging="360"/>
      </w:pPr>
    </w:lvl>
    <w:lvl w:ilvl="5" w:tplc="28E2C5E4">
      <w:start w:val="1"/>
      <w:numFmt w:val="lowerRoman"/>
      <w:lvlText w:val="%6."/>
      <w:lvlJc w:val="right"/>
      <w:pPr>
        <w:ind w:left="4320" w:hanging="180"/>
      </w:pPr>
    </w:lvl>
    <w:lvl w:ilvl="6" w:tplc="44085500">
      <w:start w:val="1"/>
      <w:numFmt w:val="decimal"/>
      <w:lvlText w:val="%7."/>
      <w:lvlJc w:val="left"/>
      <w:pPr>
        <w:ind w:left="5040" w:hanging="360"/>
      </w:pPr>
    </w:lvl>
    <w:lvl w:ilvl="7" w:tplc="59BA9360">
      <w:start w:val="1"/>
      <w:numFmt w:val="lowerLetter"/>
      <w:lvlText w:val="%8."/>
      <w:lvlJc w:val="left"/>
      <w:pPr>
        <w:ind w:left="5760" w:hanging="360"/>
      </w:pPr>
    </w:lvl>
    <w:lvl w:ilvl="8" w:tplc="58E6CFFE">
      <w:start w:val="1"/>
      <w:numFmt w:val="lowerRoman"/>
      <w:lvlText w:val="%9."/>
      <w:lvlJc w:val="right"/>
      <w:pPr>
        <w:ind w:left="6480" w:hanging="180"/>
      </w:pPr>
    </w:lvl>
  </w:abstractNum>
  <w:abstractNum w:abstractNumId="19" w15:restartNumberingAfterBreak="0">
    <w:nsid w:val="3C0421AB"/>
    <w:multiLevelType w:val="hybridMultilevel"/>
    <w:tmpl w:val="C5C6EEFA"/>
    <w:lvl w:ilvl="0" w:tplc="AE381872">
      <w:start w:val="1"/>
      <w:numFmt w:val="decimal"/>
      <w:lvlText w:val="%1)"/>
      <w:lvlJc w:val="left"/>
      <w:pPr>
        <w:ind w:left="1020" w:hanging="360"/>
      </w:pPr>
    </w:lvl>
    <w:lvl w:ilvl="1" w:tplc="4FFE4F44">
      <w:start w:val="1"/>
      <w:numFmt w:val="decimal"/>
      <w:lvlText w:val="%2)"/>
      <w:lvlJc w:val="left"/>
      <w:pPr>
        <w:ind w:left="1020" w:hanging="360"/>
      </w:pPr>
    </w:lvl>
    <w:lvl w:ilvl="2" w:tplc="430A4D62">
      <w:start w:val="1"/>
      <w:numFmt w:val="decimal"/>
      <w:lvlText w:val="%3)"/>
      <w:lvlJc w:val="left"/>
      <w:pPr>
        <w:ind w:left="1020" w:hanging="360"/>
      </w:pPr>
    </w:lvl>
    <w:lvl w:ilvl="3" w:tplc="16BA2630">
      <w:start w:val="1"/>
      <w:numFmt w:val="decimal"/>
      <w:lvlText w:val="%4)"/>
      <w:lvlJc w:val="left"/>
      <w:pPr>
        <w:ind w:left="1020" w:hanging="360"/>
      </w:pPr>
    </w:lvl>
    <w:lvl w:ilvl="4" w:tplc="45901FF4">
      <w:start w:val="1"/>
      <w:numFmt w:val="decimal"/>
      <w:lvlText w:val="%5)"/>
      <w:lvlJc w:val="left"/>
      <w:pPr>
        <w:ind w:left="1020" w:hanging="360"/>
      </w:pPr>
    </w:lvl>
    <w:lvl w:ilvl="5" w:tplc="510EFD84">
      <w:start w:val="1"/>
      <w:numFmt w:val="decimal"/>
      <w:lvlText w:val="%6)"/>
      <w:lvlJc w:val="left"/>
      <w:pPr>
        <w:ind w:left="1020" w:hanging="360"/>
      </w:pPr>
    </w:lvl>
    <w:lvl w:ilvl="6" w:tplc="77800672">
      <w:start w:val="1"/>
      <w:numFmt w:val="decimal"/>
      <w:lvlText w:val="%7)"/>
      <w:lvlJc w:val="left"/>
      <w:pPr>
        <w:ind w:left="1020" w:hanging="360"/>
      </w:pPr>
    </w:lvl>
    <w:lvl w:ilvl="7" w:tplc="B2D04AB0">
      <w:start w:val="1"/>
      <w:numFmt w:val="decimal"/>
      <w:lvlText w:val="%8)"/>
      <w:lvlJc w:val="left"/>
      <w:pPr>
        <w:ind w:left="1020" w:hanging="360"/>
      </w:pPr>
    </w:lvl>
    <w:lvl w:ilvl="8" w:tplc="BAD03498">
      <w:start w:val="1"/>
      <w:numFmt w:val="decimal"/>
      <w:lvlText w:val="%9)"/>
      <w:lvlJc w:val="left"/>
      <w:pPr>
        <w:ind w:left="1020" w:hanging="360"/>
      </w:pPr>
    </w:lvl>
  </w:abstractNum>
  <w:abstractNum w:abstractNumId="20" w15:restartNumberingAfterBreak="0">
    <w:nsid w:val="3DB33886"/>
    <w:multiLevelType w:val="hybridMultilevel"/>
    <w:tmpl w:val="E92CBF8E"/>
    <w:lvl w:ilvl="0" w:tplc="24F08720">
      <w:start w:val="1"/>
      <w:numFmt w:val="lowerLetter"/>
      <w:lvlText w:val="(%1)"/>
      <w:lvlJc w:val="left"/>
      <w:pPr>
        <w:ind w:left="1287" w:hanging="360"/>
      </w:pPr>
      <w:rPr>
        <w:rFonts w:hint="default"/>
        <w:i w:val="0"/>
        <w:i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40FD6C92"/>
    <w:multiLevelType w:val="hybridMultilevel"/>
    <w:tmpl w:val="FDCE8AA8"/>
    <w:lvl w:ilvl="0" w:tplc="E3781148">
      <w:start w:val="1"/>
      <w:numFmt w:val="decimal"/>
      <w:lvlText w:val="%1)"/>
      <w:lvlJc w:val="left"/>
      <w:pPr>
        <w:ind w:left="1020" w:hanging="360"/>
      </w:pPr>
    </w:lvl>
    <w:lvl w:ilvl="1" w:tplc="6FBE42D6">
      <w:start w:val="1"/>
      <w:numFmt w:val="decimal"/>
      <w:lvlText w:val="%2)"/>
      <w:lvlJc w:val="left"/>
      <w:pPr>
        <w:ind w:left="1020" w:hanging="360"/>
      </w:pPr>
    </w:lvl>
    <w:lvl w:ilvl="2" w:tplc="635E6E8E">
      <w:start w:val="1"/>
      <w:numFmt w:val="decimal"/>
      <w:lvlText w:val="%3)"/>
      <w:lvlJc w:val="left"/>
      <w:pPr>
        <w:ind w:left="1020" w:hanging="360"/>
      </w:pPr>
    </w:lvl>
    <w:lvl w:ilvl="3" w:tplc="A4FE3568">
      <w:start w:val="1"/>
      <w:numFmt w:val="decimal"/>
      <w:lvlText w:val="%4)"/>
      <w:lvlJc w:val="left"/>
      <w:pPr>
        <w:ind w:left="1020" w:hanging="360"/>
      </w:pPr>
    </w:lvl>
    <w:lvl w:ilvl="4" w:tplc="4AEA52EA">
      <w:start w:val="1"/>
      <w:numFmt w:val="decimal"/>
      <w:lvlText w:val="%5)"/>
      <w:lvlJc w:val="left"/>
      <w:pPr>
        <w:ind w:left="1020" w:hanging="360"/>
      </w:pPr>
    </w:lvl>
    <w:lvl w:ilvl="5" w:tplc="5F547066">
      <w:start w:val="1"/>
      <w:numFmt w:val="decimal"/>
      <w:lvlText w:val="%6)"/>
      <w:lvlJc w:val="left"/>
      <w:pPr>
        <w:ind w:left="1020" w:hanging="360"/>
      </w:pPr>
    </w:lvl>
    <w:lvl w:ilvl="6" w:tplc="65A4D97A">
      <w:start w:val="1"/>
      <w:numFmt w:val="decimal"/>
      <w:lvlText w:val="%7)"/>
      <w:lvlJc w:val="left"/>
      <w:pPr>
        <w:ind w:left="1020" w:hanging="360"/>
      </w:pPr>
    </w:lvl>
    <w:lvl w:ilvl="7" w:tplc="D12642CA">
      <w:start w:val="1"/>
      <w:numFmt w:val="decimal"/>
      <w:lvlText w:val="%8)"/>
      <w:lvlJc w:val="left"/>
      <w:pPr>
        <w:ind w:left="1020" w:hanging="360"/>
      </w:pPr>
    </w:lvl>
    <w:lvl w:ilvl="8" w:tplc="AB149070">
      <w:start w:val="1"/>
      <w:numFmt w:val="decimal"/>
      <w:lvlText w:val="%9)"/>
      <w:lvlJc w:val="left"/>
      <w:pPr>
        <w:ind w:left="1020" w:hanging="360"/>
      </w:pPr>
    </w:lvl>
  </w:abstractNum>
  <w:abstractNum w:abstractNumId="22" w15:restartNumberingAfterBreak="0">
    <w:nsid w:val="41831204"/>
    <w:multiLevelType w:val="multilevel"/>
    <w:tmpl w:val="0409001D"/>
    <w:styleLink w:val="Style1"/>
    <w:lvl w:ilvl="0">
      <w:start w:val="1"/>
      <w:numFmt w:val="decimal"/>
      <w:lvlText w:val="%1)"/>
      <w:lvlJc w:val="left"/>
      <w:pPr>
        <w:ind w:left="360" w:hanging="360"/>
      </w:pPr>
      <w:rPr>
        <w:rFonts w:asciiTheme="majorHAnsi" w:hAnsiTheme="majorHAnsi"/>
        <w:color w:val="4472C4"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25033A6"/>
    <w:multiLevelType w:val="hybridMultilevel"/>
    <w:tmpl w:val="5928D9AC"/>
    <w:lvl w:ilvl="0" w:tplc="2A1CD46A">
      <w:start w:val="1"/>
      <w:numFmt w:val="decimal"/>
      <w:lvlText w:val="%1)"/>
      <w:lvlJc w:val="left"/>
      <w:pPr>
        <w:ind w:left="720" w:hanging="360"/>
      </w:pPr>
    </w:lvl>
    <w:lvl w:ilvl="1" w:tplc="A5B0D48C">
      <w:start w:val="1"/>
      <w:numFmt w:val="decimal"/>
      <w:lvlText w:val="%2)"/>
      <w:lvlJc w:val="left"/>
      <w:pPr>
        <w:ind w:left="720" w:hanging="360"/>
      </w:pPr>
    </w:lvl>
    <w:lvl w:ilvl="2" w:tplc="B5DEA458">
      <w:start w:val="1"/>
      <w:numFmt w:val="decimal"/>
      <w:lvlText w:val="%3)"/>
      <w:lvlJc w:val="left"/>
      <w:pPr>
        <w:ind w:left="720" w:hanging="360"/>
      </w:pPr>
    </w:lvl>
    <w:lvl w:ilvl="3" w:tplc="57107B9E">
      <w:start w:val="1"/>
      <w:numFmt w:val="decimal"/>
      <w:lvlText w:val="%4)"/>
      <w:lvlJc w:val="left"/>
      <w:pPr>
        <w:ind w:left="720" w:hanging="360"/>
      </w:pPr>
    </w:lvl>
    <w:lvl w:ilvl="4" w:tplc="EC421E42">
      <w:start w:val="1"/>
      <w:numFmt w:val="decimal"/>
      <w:lvlText w:val="%5)"/>
      <w:lvlJc w:val="left"/>
      <w:pPr>
        <w:ind w:left="720" w:hanging="360"/>
      </w:pPr>
    </w:lvl>
    <w:lvl w:ilvl="5" w:tplc="1F102770">
      <w:start w:val="1"/>
      <w:numFmt w:val="decimal"/>
      <w:lvlText w:val="%6)"/>
      <w:lvlJc w:val="left"/>
      <w:pPr>
        <w:ind w:left="720" w:hanging="360"/>
      </w:pPr>
    </w:lvl>
    <w:lvl w:ilvl="6" w:tplc="5E427168">
      <w:start w:val="1"/>
      <w:numFmt w:val="decimal"/>
      <w:lvlText w:val="%7)"/>
      <w:lvlJc w:val="left"/>
      <w:pPr>
        <w:ind w:left="720" w:hanging="360"/>
      </w:pPr>
    </w:lvl>
    <w:lvl w:ilvl="7" w:tplc="FCD4E69A">
      <w:start w:val="1"/>
      <w:numFmt w:val="decimal"/>
      <w:lvlText w:val="%8)"/>
      <w:lvlJc w:val="left"/>
      <w:pPr>
        <w:ind w:left="720" w:hanging="360"/>
      </w:pPr>
    </w:lvl>
    <w:lvl w:ilvl="8" w:tplc="576C3A82">
      <w:start w:val="1"/>
      <w:numFmt w:val="decimal"/>
      <w:lvlText w:val="%9)"/>
      <w:lvlJc w:val="left"/>
      <w:pPr>
        <w:ind w:left="720" w:hanging="360"/>
      </w:pPr>
    </w:lvl>
  </w:abstractNum>
  <w:abstractNum w:abstractNumId="24" w15:restartNumberingAfterBreak="0">
    <w:nsid w:val="43DF7BC4"/>
    <w:multiLevelType w:val="multilevel"/>
    <w:tmpl w:val="955A4BBC"/>
    <w:styleLink w:val="CurrentList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67961CE"/>
    <w:multiLevelType w:val="hybridMultilevel"/>
    <w:tmpl w:val="58B0B97A"/>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E0442B4"/>
    <w:multiLevelType w:val="hybridMultilevel"/>
    <w:tmpl w:val="A0D8FD9A"/>
    <w:lvl w:ilvl="0" w:tplc="788AD2FC">
      <w:start w:val="1"/>
      <w:numFmt w:val="decimal"/>
      <w:pStyle w:val="Para1"/>
      <w:lvlText w:val="%1."/>
      <w:lvlJc w:val="left"/>
      <w:pPr>
        <w:tabs>
          <w:tab w:val="num" w:pos="360"/>
        </w:tabs>
        <w:ind w:left="0" w:firstLine="0"/>
      </w:pPr>
      <w:rPr>
        <w:b w:val="0"/>
        <w:i w:val="0"/>
        <w:strike w:val="0"/>
        <w:sz w:val="22"/>
      </w:rPr>
    </w:lvl>
    <w:lvl w:ilvl="1" w:tplc="31804F8C">
      <w:start w:val="1"/>
      <w:numFmt w:val="lowerLetter"/>
      <w:lvlText w:val="(%2)"/>
      <w:lvlJc w:val="left"/>
      <w:pPr>
        <w:tabs>
          <w:tab w:val="num" w:pos="1440"/>
        </w:tabs>
        <w:ind w:left="0" w:firstLine="720"/>
      </w:pPr>
      <w:rPr>
        <w:rFonts w:hint="default"/>
        <w:b w:val="0"/>
        <w:i w:val="0"/>
      </w:rPr>
    </w:lvl>
    <w:lvl w:ilvl="2" w:tplc="A5C64ADA">
      <w:start w:val="1"/>
      <w:numFmt w:val="lowerRoman"/>
      <w:lvlText w:val="(%3)"/>
      <w:lvlJc w:val="right"/>
      <w:pPr>
        <w:tabs>
          <w:tab w:val="num" w:pos="1440"/>
        </w:tabs>
        <w:ind w:left="1440" w:hanging="360"/>
      </w:pPr>
    </w:lvl>
    <w:lvl w:ilvl="3" w:tplc="18582678">
      <w:start w:val="1"/>
      <w:numFmt w:val="bullet"/>
      <w:lvlText w:val=""/>
      <w:lvlJc w:val="left"/>
      <w:pPr>
        <w:tabs>
          <w:tab w:val="num" w:pos="2160"/>
        </w:tabs>
        <w:ind w:left="2160" w:hanging="720"/>
      </w:pPr>
      <w:rPr>
        <w:rFonts w:ascii="Symbol" w:hAnsi="Symbol" w:hint="default"/>
        <w:color w:val="auto"/>
        <w:sz w:val="28"/>
      </w:rPr>
    </w:lvl>
    <w:lvl w:ilvl="4" w:tplc="41F81DF4">
      <w:start w:val="1"/>
      <w:numFmt w:val="lowerLetter"/>
      <w:lvlText w:val="(%5)"/>
      <w:lvlJc w:val="left"/>
      <w:pPr>
        <w:tabs>
          <w:tab w:val="num" w:pos="1800"/>
        </w:tabs>
        <w:ind w:left="1800" w:hanging="360"/>
      </w:pPr>
    </w:lvl>
    <w:lvl w:ilvl="5" w:tplc="80467A50">
      <w:start w:val="1"/>
      <w:numFmt w:val="lowerRoman"/>
      <w:lvlText w:val="(%6)"/>
      <w:lvlJc w:val="left"/>
      <w:pPr>
        <w:tabs>
          <w:tab w:val="num" w:pos="2160"/>
        </w:tabs>
        <w:ind w:left="2160" w:hanging="360"/>
      </w:pPr>
    </w:lvl>
    <w:lvl w:ilvl="6" w:tplc="E60603C2">
      <w:start w:val="1"/>
      <w:numFmt w:val="decimal"/>
      <w:lvlText w:val="%7."/>
      <w:lvlJc w:val="left"/>
      <w:pPr>
        <w:tabs>
          <w:tab w:val="num" w:pos="2520"/>
        </w:tabs>
        <w:ind w:left="2520" w:hanging="360"/>
      </w:pPr>
    </w:lvl>
    <w:lvl w:ilvl="7" w:tplc="8C76FCBA">
      <w:start w:val="1"/>
      <w:numFmt w:val="lowerLetter"/>
      <w:lvlText w:val="%8."/>
      <w:lvlJc w:val="left"/>
      <w:pPr>
        <w:tabs>
          <w:tab w:val="num" w:pos="2880"/>
        </w:tabs>
        <w:ind w:left="2880" w:hanging="360"/>
      </w:pPr>
    </w:lvl>
    <w:lvl w:ilvl="8" w:tplc="356242D6">
      <w:start w:val="1"/>
      <w:numFmt w:val="lowerRoman"/>
      <w:lvlText w:val="%9."/>
      <w:lvlJc w:val="left"/>
      <w:pPr>
        <w:tabs>
          <w:tab w:val="num" w:pos="3240"/>
        </w:tabs>
        <w:ind w:left="3240" w:hanging="360"/>
      </w:pPr>
    </w:lvl>
  </w:abstractNum>
  <w:abstractNum w:abstractNumId="27" w15:restartNumberingAfterBreak="0">
    <w:nsid w:val="50592A13"/>
    <w:multiLevelType w:val="multilevel"/>
    <w:tmpl w:val="40BCC6C0"/>
    <w:styleLink w:val="CurrentList5"/>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40E6049"/>
    <w:multiLevelType w:val="hybridMultilevel"/>
    <w:tmpl w:val="292E1B9E"/>
    <w:lvl w:ilvl="0" w:tplc="F0ACA156">
      <w:start w:val="1"/>
      <w:numFmt w:val="decimal"/>
      <w:lvlText w:val="%1)"/>
      <w:lvlJc w:val="left"/>
      <w:pPr>
        <w:ind w:left="1020" w:hanging="360"/>
      </w:pPr>
    </w:lvl>
    <w:lvl w:ilvl="1" w:tplc="D116B38C">
      <w:start w:val="1"/>
      <w:numFmt w:val="decimal"/>
      <w:lvlText w:val="%2)"/>
      <w:lvlJc w:val="left"/>
      <w:pPr>
        <w:ind w:left="1020" w:hanging="360"/>
      </w:pPr>
    </w:lvl>
    <w:lvl w:ilvl="2" w:tplc="9CC6CB52">
      <w:start w:val="1"/>
      <w:numFmt w:val="decimal"/>
      <w:lvlText w:val="%3)"/>
      <w:lvlJc w:val="left"/>
      <w:pPr>
        <w:ind w:left="1020" w:hanging="360"/>
      </w:pPr>
    </w:lvl>
    <w:lvl w:ilvl="3" w:tplc="C46876DE">
      <w:start w:val="1"/>
      <w:numFmt w:val="decimal"/>
      <w:lvlText w:val="%4)"/>
      <w:lvlJc w:val="left"/>
      <w:pPr>
        <w:ind w:left="1020" w:hanging="360"/>
      </w:pPr>
    </w:lvl>
    <w:lvl w:ilvl="4" w:tplc="B2FCE0F6">
      <w:start w:val="1"/>
      <w:numFmt w:val="decimal"/>
      <w:lvlText w:val="%5)"/>
      <w:lvlJc w:val="left"/>
      <w:pPr>
        <w:ind w:left="1020" w:hanging="360"/>
      </w:pPr>
    </w:lvl>
    <w:lvl w:ilvl="5" w:tplc="D2689B6E">
      <w:start w:val="1"/>
      <w:numFmt w:val="decimal"/>
      <w:lvlText w:val="%6)"/>
      <w:lvlJc w:val="left"/>
      <w:pPr>
        <w:ind w:left="1020" w:hanging="360"/>
      </w:pPr>
    </w:lvl>
    <w:lvl w:ilvl="6" w:tplc="65DAC694">
      <w:start w:val="1"/>
      <w:numFmt w:val="decimal"/>
      <w:lvlText w:val="%7)"/>
      <w:lvlJc w:val="left"/>
      <w:pPr>
        <w:ind w:left="1020" w:hanging="360"/>
      </w:pPr>
    </w:lvl>
    <w:lvl w:ilvl="7" w:tplc="C4A44448">
      <w:start w:val="1"/>
      <w:numFmt w:val="decimal"/>
      <w:lvlText w:val="%8)"/>
      <w:lvlJc w:val="left"/>
      <w:pPr>
        <w:ind w:left="1020" w:hanging="360"/>
      </w:pPr>
    </w:lvl>
    <w:lvl w:ilvl="8" w:tplc="CB74B8C4">
      <w:start w:val="1"/>
      <w:numFmt w:val="decimal"/>
      <w:lvlText w:val="%9)"/>
      <w:lvlJc w:val="left"/>
      <w:pPr>
        <w:ind w:left="1020" w:hanging="360"/>
      </w:pPr>
    </w:lvl>
  </w:abstractNum>
  <w:abstractNum w:abstractNumId="29" w15:restartNumberingAfterBreak="0">
    <w:nsid w:val="56A12008"/>
    <w:multiLevelType w:val="hybridMultilevel"/>
    <w:tmpl w:val="596AB4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7F066CA"/>
    <w:multiLevelType w:val="hybridMultilevel"/>
    <w:tmpl w:val="28FCBFE6"/>
    <w:lvl w:ilvl="0" w:tplc="810C3424">
      <w:start w:val="1"/>
      <w:numFmt w:val="lowerLetter"/>
      <w:lvlText w:val="%1)"/>
      <w:lvlJc w:val="left"/>
      <w:pPr>
        <w:ind w:left="1020" w:hanging="360"/>
      </w:pPr>
    </w:lvl>
    <w:lvl w:ilvl="1" w:tplc="C5503514">
      <w:start w:val="1"/>
      <w:numFmt w:val="lowerLetter"/>
      <w:lvlText w:val="%2)"/>
      <w:lvlJc w:val="left"/>
      <w:pPr>
        <w:ind w:left="1020" w:hanging="360"/>
      </w:pPr>
    </w:lvl>
    <w:lvl w:ilvl="2" w:tplc="BE4E5A76">
      <w:start w:val="1"/>
      <w:numFmt w:val="lowerLetter"/>
      <w:lvlText w:val="%3)"/>
      <w:lvlJc w:val="left"/>
      <w:pPr>
        <w:ind w:left="1020" w:hanging="360"/>
      </w:pPr>
    </w:lvl>
    <w:lvl w:ilvl="3" w:tplc="E75A1980">
      <w:start w:val="1"/>
      <w:numFmt w:val="lowerLetter"/>
      <w:lvlText w:val="%4)"/>
      <w:lvlJc w:val="left"/>
      <w:pPr>
        <w:ind w:left="1020" w:hanging="360"/>
      </w:pPr>
    </w:lvl>
    <w:lvl w:ilvl="4" w:tplc="AE7AEF04">
      <w:start w:val="1"/>
      <w:numFmt w:val="lowerLetter"/>
      <w:lvlText w:val="%5)"/>
      <w:lvlJc w:val="left"/>
      <w:pPr>
        <w:ind w:left="1020" w:hanging="360"/>
      </w:pPr>
    </w:lvl>
    <w:lvl w:ilvl="5" w:tplc="EFE85628">
      <w:start w:val="1"/>
      <w:numFmt w:val="lowerLetter"/>
      <w:lvlText w:val="%6)"/>
      <w:lvlJc w:val="left"/>
      <w:pPr>
        <w:ind w:left="1020" w:hanging="360"/>
      </w:pPr>
    </w:lvl>
    <w:lvl w:ilvl="6" w:tplc="95AA3682">
      <w:start w:val="1"/>
      <w:numFmt w:val="lowerLetter"/>
      <w:lvlText w:val="%7)"/>
      <w:lvlJc w:val="left"/>
      <w:pPr>
        <w:ind w:left="1020" w:hanging="360"/>
      </w:pPr>
    </w:lvl>
    <w:lvl w:ilvl="7" w:tplc="9938615A">
      <w:start w:val="1"/>
      <w:numFmt w:val="lowerLetter"/>
      <w:lvlText w:val="%8)"/>
      <w:lvlJc w:val="left"/>
      <w:pPr>
        <w:ind w:left="1020" w:hanging="360"/>
      </w:pPr>
    </w:lvl>
    <w:lvl w:ilvl="8" w:tplc="2B5CEA74">
      <w:start w:val="1"/>
      <w:numFmt w:val="lowerLetter"/>
      <w:lvlText w:val="%9)"/>
      <w:lvlJc w:val="left"/>
      <w:pPr>
        <w:ind w:left="1020" w:hanging="360"/>
      </w:pPr>
    </w:lvl>
  </w:abstractNum>
  <w:abstractNum w:abstractNumId="31"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5DE85D7D"/>
    <w:multiLevelType w:val="hybridMultilevel"/>
    <w:tmpl w:val="623CF7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E35AD2"/>
    <w:multiLevelType w:val="multilevel"/>
    <w:tmpl w:val="5148A514"/>
    <w:styleLink w:val="CurrentList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04F12AC"/>
    <w:multiLevelType w:val="hybridMultilevel"/>
    <w:tmpl w:val="C5FE2DD4"/>
    <w:lvl w:ilvl="0" w:tplc="04090015">
      <w:start w:val="1"/>
      <w:numFmt w:val="upperLetter"/>
      <w:lvlText w:val="%1."/>
      <w:lvlJc w:val="left"/>
      <w:pPr>
        <w:ind w:left="720" w:hanging="360"/>
      </w:pPr>
      <w:rPr>
        <w:rFonts w:hint="default"/>
      </w:rPr>
    </w:lvl>
    <w:lvl w:ilvl="1" w:tplc="A3D0F52A">
      <w:start w:val="1"/>
      <w:numFmt w:val="lowerLetter"/>
      <w:lvlText w:val="(%2)"/>
      <w:lvlJc w:val="left"/>
      <w:pPr>
        <w:ind w:left="1440" w:hanging="360"/>
      </w:pPr>
      <w:rPr>
        <w:rFonts w:asciiTheme="majorBidi" w:eastAsiaTheme="minorHAnsi" w:hAnsiTheme="majorBidi" w:cstheme="majorBidi"/>
      </w:rPr>
    </w:lvl>
    <w:lvl w:ilvl="2" w:tplc="F148E38C">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3730A5"/>
    <w:multiLevelType w:val="hybridMultilevel"/>
    <w:tmpl w:val="EF5A0DAC"/>
    <w:styleLink w:val="CurrentList51"/>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36" w15:restartNumberingAfterBreak="0">
    <w:nsid w:val="65CA4BA0"/>
    <w:multiLevelType w:val="hybridMultilevel"/>
    <w:tmpl w:val="E534B5AE"/>
    <w:lvl w:ilvl="0" w:tplc="86D04DCE">
      <w:start w:val="1"/>
      <w:numFmt w:val="decimal"/>
      <w:lvlText w:val="%1)"/>
      <w:lvlJc w:val="left"/>
      <w:pPr>
        <w:ind w:left="720" w:hanging="360"/>
      </w:pPr>
    </w:lvl>
    <w:lvl w:ilvl="1" w:tplc="6E1A5EDC">
      <w:start w:val="1"/>
      <w:numFmt w:val="decimal"/>
      <w:lvlText w:val="%2)"/>
      <w:lvlJc w:val="left"/>
      <w:pPr>
        <w:ind w:left="720" w:hanging="360"/>
      </w:pPr>
    </w:lvl>
    <w:lvl w:ilvl="2" w:tplc="95046976">
      <w:start w:val="1"/>
      <w:numFmt w:val="decimal"/>
      <w:lvlText w:val="%3)"/>
      <w:lvlJc w:val="left"/>
      <w:pPr>
        <w:ind w:left="720" w:hanging="360"/>
      </w:pPr>
    </w:lvl>
    <w:lvl w:ilvl="3" w:tplc="709A6768">
      <w:start w:val="1"/>
      <w:numFmt w:val="decimal"/>
      <w:lvlText w:val="%4)"/>
      <w:lvlJc w:val="left"/>
      <w:pPr>
        <w:ind w:left="720" w:hanging="360"/>
      </w:pPr>
    </w:lvl>
    <w:lvl w:ilvl="4" w:tplc="5D6A129A">
      <w:start w:val="1"/>
      <w:numFmt w:val="decimal"/>
      <w:lvlText w:val="%5)"/>
      <w:lvlJc w:val="left"/>
      <w:pPr>
        <w:ind w:left="720" w:hanging="360"/>
      </w:pPr>
    </w:lvl>
    <w:lvl w:ilvl="5" w:tplc="F2DECA9C">
      <w:start w:val="1"/>
      <w:numFmt w:val="decimal"/>
      <w:lvlText w:val="%6)"/>
      <w:lvlJc w:val="left"/>
      <w:pPr>
        <w:ind w:left="720" w:hanging="360"/>
      </w:pPr>
    </w:lvl>
    <w:lvl w:ilvl="6" w:tplc="6D5E4BE6">
      <w:start w:val="1"/>
      <w:numFmt w:val="decimal"/>
      <w:lvlText w:val="%7)"/>
      <w:lvlJc w:val="left"/>
      <w:pPr>
        <w:ind w:left="720" w:hanging="360"/>
      </w:pPr>
    </w:lvl>
    <w:lvl w:ilvl="7" w:tplc="16D2CDE6">
      <w:start w:val="1"/>
      <w:numFmt w:val="decimal"/>
      <w:lvlText w:val="%8)"/>
      <w:lvlJc w:val="left"/>
      <w:pPr>
        <w:ind w:left="720" w:hanging="360"/>
      </w:pPr>
    </w:lvl>
    <w:lvl w:ilvl="8" w:tplc="9300D724">
      <w:start w:val="1"/>
      <w:numFmt w:val="decimal"/>
      <w:lvlText w:val="%9)"/>
      <w:lvlJc w:val="left"/>
      <w:pPr>
        <w:ind w:left="720" w:hanging="360"/>
      </w:pPr>
    </w:lvl>
  </w:abstractNum>
  <w:abstractNum w:abstractNumId="37" w15:restartNumberingAfterBreak="0">
    <w:nsid w:val="65D441B4"/>
    <w:multiLevelType w:val="hybridMultilevel"/>
    <w:tmpl w:val="7C10E144"/>
    <w:styleLink w:val="CurrentList41"/>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8" w15:restartNumberingAfterBreak="0">
    <w:nsid w:val="66052078"/>
    <w:multiLevelType w:val="multilevel"/>
    <w:tmpl w:val="79AA0302"/>
    <w:styleLink w:val="CurrentList2"/>
    <w:lvl w:ilvl="0">
      <w:start w:val="1"/>
      <w:numFmt w:val="lowerLetter"/>
      <w:lvlText w:val="%1."/>
      <w:lvlJc w:val="left"/>
      <w:pPr>
        <w:ind w:left="720" w:hanging="360"/>
      </w:pPr>
      <w:rPr>
        <w:rFonts w:ascii="Times New Roman" w:eastAsiaTheme="minorEastAsia"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8B70991"/>
    <w:multiLevelType w:val="hybridMultilevel"/>
    <w:tmpl w:val="5948B550"/>
    <w:lvl w:ilvl="0" w:tplc="5FE4368E">
      <w:start w:val="1"/>
      <w:numFmt w:val="decimal"/>
      <w:pStyle w:val="Para10"/>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0" w15:restartNumberingAfterBreak="0">
    <w:nsid w:val="69CF6CCC"/>
    <w:multiLevelType w:val="hybridMultilevel"/>
    <w:tmpl w:val="5C20BD38"/>
    <w:lvl w:ilvl="0" w:tplc="99467CAC">
      <w:start w:val="1"/>
      <w:numFmt w:val="decimal"/>
      <w:lvlText w:val="%1)"/>
      <w:lvlJc w:val="left"/>
      <w:pPr>
        <w:ind w:left="1020" w:hanging="360"/>
      </w:pPr>
    </w:lvl>
    <w:lvl w:ilvl="1" w:tplc="6ACED8F4">
      <w:start w:val="1"/>
      <w:numFmt w:val="decimal"/>
      <w:lvlText w:val="%2)"/>
      <w:lvlJc w:val="left"/>
      <w:pPr>
        <w:ind w:left="1020" w:hanging="360"/>
      </w:pPr>
    </w:lvl>
    <w:lvl w:ilvl="2" w:tplc="A1ACD7B4">
      <w:start w:val="1"/>
      <w:numFmt w:val="decimal"/>
      <w:lvlText w:val="%3)"/>
      <w:lvlJc w:val="left"/>
      <w:pPr>
        <w:ind w:left="1020" w:hanging="360"/>
      </w:pPr>
    </w:lvl>
    <w:lvl w:ilvl="3" w:tplc="B17A29D2">
      <w:start w:val="1"/>
      <w:numFmt w:val="decimal"/>
      <w:lvlText w:val="%4)"/>
      <w:lvlJc w:val="left"/>
      <w:pPr>
        <w:ind w:left="1020" w:hanging="360"/>
      </w:pPr>
    </w:lvl>
    <w:lvl w:ilvl="4" w:tplc="E38616D8">
      <w:start w:val="1"/>
      <w:numFmt w:val="decimal"/>
      <w:lvlText w:val="%5)"/>
      <w:lvlJc w:val="left"/>
      <w:pPr>
        <w:ind w:left="1020" w:hanging="360"/>
      </w:pPr>
    </w:lvl>
    <w:lvl w:ilvl="5" w:tplc="A8D8D430">
      <w:start w:val="1"/>
      <w:numFmt w:val="decimal"/>
      <w:lvlText w:val="%6)"/>
      <w:lvlJc w:val="left"/>
      <w:pPr>
        <w:ind w:left="1020" w:hanging="360"/>
      </w:pPr>
    </w:lvl>
    <w:lvl w:ilvl="6" w:tplc="CF3004D4">
      <w:start w:val="1"/>
      <w:numFmt w:val="decimal"/>
      <w:lvlText w:val="%7)"/>
      <w:lvlJc w:val="left"/>
      <w:pPr>
        <w:ind w:left="1020" w:hanging="360"/>
      </w:pPr>
    </w:lvl>
    <w:lvl w:ilvl="7" w:tplc="A118BAD8">
      <w:start w:val="1"/>
      <w:numFmt w:val="decimal"/>
      <w:lvlText w:val="%8)"/>
      <w:lvlJc w:val="left"/>
      <w:pPr>
        <w:ind w:left="1020" w:hanging="360"/>
      </w:pPr>
    </w:lvl>
    <w:lvl w:ilvl="8" w:tplc="80920520">
      <w:start w:val="1"/>
      <w:numFmt w:val="decimal"/>
      <w:lvlText w:val="%9)"/>
      <w:lvlJc w:val="left"/>
      <w:pPr>
        <w:ind w:left="1020" w:hanging="360"/>
      </w:pPr>
    </w:lvl>
  </w:abstractNum>
  <w:abstractNum w:abstractNumId="41" w15:restartNumberingAfterBreak="0">
    <w:nsid w:val="6F5276E9"/>
    <w:multiLevelType w:val="hybridMultilevel"/>
    <w:tmpl w:val="1CC28978"/>
    <w:lvl w:ilvl="0" w:tplc="31804F8C">
      <w:start w:val="1"/>
      <w:numFmt w:val="lowerLetter"/>
      <w:lvlText w:val="(%1)"/>
      <w:lvlJc w:val="left"/>
      <w:pPr>
        <w:tabs>
          <w:tab w:val="num" w:pos="1440"/>
        </w:tabs>
        <w:ind w:left="0" w:firstLine="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8A25DC"/>
    <w:multiLevelType w:val="hybridMultilevel"/>
    <w:tmpl w:val="447228A4"/>
    <w:lvl w:ilvl="0" w:tplc="91587FB8">
      <w:start w:val="1"/>
      <w:numFmt w:val="decimal"/>
      <w:lvlText w:val="%1)"/>
      <w:lvlJc w:val="left"/>
      <w:pPr>
        <w:ind w:left="720" w:hanging="360"/>
      </w:pPr>
    </w:lvl>
    <w:lvl w:ilvl="1" w:tplc="3B2ED97A">
      <w:start w:val="1"/>
      <w:numFmt w:val="decimal"/>
      <w:lvlText w:val="%2)"/>
      <w:lvlJc w:val="left"/>
      <w:pPr>
        <w:ind w:left="720" w:hanging="360"/>
      </w:pPr>
    </w:lvl>
    <w:lvl w:ilvl="2" w:tplc="C8807674">
      <w:start w:val="1"/>
      <w:numFmt w:val="decimal"/>
      <w:lvlText w:val="%3)"/>
      <w:lvlJc w:val="left"/>
      <w:pPr>
        <w:ind w:left="720" w:hanging="360"/>
      </w:pPr>
    </w:lvl>
    <w:lvl w:ilvl="3" w:tplc="C05AE0E4">
      <w:start w:val="1"/>
      <w:numFmt w:val="decimal"/>
      <w:lvlText w:val="%4)"/>
      <w:lvlJc w:val="left"/>
      <w:pPr>
        <w:ind w:left="720" w:hanging="360"/>
      </w:pPr>
    </w:lvl>
    <w:lvl w:ilvl="4" w:tplc="0B507C14">
      <w:start w:val="1"/>
      <w:numFmt w:val="decimal"/>
      <w:lvlText w:val="%5)"/>
      <w:lvlJc w:val="left"/>
      <w:pPr>
        <w:ind w:left="720" w:hanging="360"/>
      </w:pPr>
    </w:lvl>
    <w:lvl w:ilvl="5" w:tplc="97901AF4">
      <w:start w:val="1"/>
      <w:numFmt w:val="decimal"/>
      <w:lvlText w:val="%6)"/>
      <w:lvlJc w:val="left"/>
      <w:pPr>
        <w:ind w:left="720" w:hanging="360"/>
      </w:pPr>
    </w:lvl>
    <w:lvl w:ilvl="6" w:tplc="471EC81A">
      <w:start w:val="1"/>
      <w:numFmt w:val="decimal"/>
      <w:lvlText w:val="%7)"/>
      <w:lvlJc w:val="left"/>
      <w:pPr>
        <w:ind w:left="720" w:hanging="360"/>
      </w:pPr>
    </w:lvl>
    <w:lvl w:ilvl="7" w:tplc="12E8B3B2">
      <w:start w:val="1"/>
      <w:numFmt w:val="decimal"/>
      <w:lvlText w:val="%8)"/>
      <w:lvlJc w:val="left"/>
      <w:pPr>
        <w:ind w:left="720" w:hanging="360"/>
      </w:pPr>
    </w:lvl>
    <w:lvl w:ilvl="8" w:tplc="5DD66714">
      <w:start w:val="1"/>
      <w:numFmt w:val="decimal"/>
      <w:lvlText w:val="%9)"/>
      <w:lvlJc w:val="left"/>
      <w:pPr>
        <w:ind w:left="720" w:hanging="360"/>
      </w:pPr>
    </w:lvl>
  </w:abstractNum>
  <w:abstractNum w:abstractNumId="43" w15:restartNumberingAfterBreak="0">
    <w:nsid w:val="77C75282"/>
    <w:multiLevelType w:val="hybridMultilevel"/>
    <w:tmpl w:val="A7E0EF86"/>
    <w:lvl w:ilvl="0" w:tplc="8230070A">
      <w:start w:val="1"/>
      <w:numFmt w:val="decimal"/>
      <w:lvlText w:val="[%1]"/>
      <w:lvlJc w:val="left"/>
      <w:pPr>
        <w:ind w:left="214" w:hanging="72"/>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281BB5"/>
    <w:multiLevelType w:val="hybridMultilevel"/>
    <w:tmpl w:val="2B1AF9A0"/>
    <w:lvl w:ilvl="0" w:tplc="21F62352">
      <w:start w:val="1"/>
      <w:numFmt w:val="lowerLetter"/>
      <w:lvlText w:val="%1)"/>
      <w:lvlJc w:val="left"/>
      <w:pPr>
        <w:ind w:left="720" w:hanging="360"/>
      </w:pPr>
    </w:lvl>
    <w:lvl w:ilvl="1" w:tplc="46106592">
      <w:start w:val="1"/>
      <w:numFmt w:val="lowerLetter"/>
      <w:lvlText w:val="%2)"/>
      <w:lvlJc w:val="left"/>
      <w:pPr>
        <w:ind w:left="720" w:hanging="360"/>
      </w:pPr>
    </w:lvl>
    <w:lvl w:ilvl="2" w:tplc="1828346C">
      <w:start w:val="1"/>
      <w:numFmt w:val="lowerLetter"/>
      <w:lvlText w:val="%3)"/>
      <w:lvlJc w:val="left"/>
      <w:pPr>
        <w:ind w:left="720" w:hanging="360"/>
      </w:pPr>
    </w:lvl>
    <w:lvl w:ilvl="3" w:tplc="6E12210A">
      <w:start w:val="1"/>
      <w:numFmt w:val="lowerLetter"/>
      <w:lvlText w:val="%4)"/>
      <w:lvlJc w:val="left"/>
      <w:pPr>
        <w:ind w:left="720" w:hanging="360"/>
      </w:pPr>
    </w:lvl>
    <w:lvl w:ilvl="4" w:tplc="CEAA0C22">
      <w:start w:val="1"/>
      <w:numFmt w:val="lowerLetter"/>
      <w:lvlText w:val="%5)"/>
      <w:lvlJc w:val="left"/>
      <w:pPr>
        <w:ind w:left="720" w:hanging="360"/>
      </w:pPr>
    </w:lvl>
    <w:lvl w:ilvl="5" w:tplc="E698F13A">
      <w:start w:val="1"/>
      <w:numFmt w:val="lowerLetter"/>
      <w:lvlText w:val="%6)"/>
      <w:lvlJc w:val="left"/>
      <w:pPr>
        <w:ind w:left="720" w:hanging="360"/>
      </w:pPr>
    </w:lvl>
    <w:lvl w:ilvl="6" w:tplc="BF9C6F64">
      <w:start w:val="1"/>
      <w:numFmt w:val="lowerLetter"/>
      <w:lvlText w:val="%7)"/>
      <w:lvlJc w:val="left"/>
      <w:pPr>
        <w:ind w:left="720" w:hanging="360"/>
      </w:pPr>
    </w:lvl>
    <w:lvl w:ilvl="7" w:tplc="BF7690AE">
      <w:start w:val="1"/>
      <w:numFmt w:val="lowerLetter"/>
      <w:lvlText w:val="%8)"/>
      <w:lvlJc w:val="left"/>
      <w:pPr>
        <w:ind w:left="720" w:hanging="360"/>
      </w:pPr>
    </w:lvl>
    <w:lvl w:ilvl="8" w:tplc="05667DA4">
      <w:start w:val="1"/>
      <w:numFmt w:val="lowerLetter"/>
      <w:lvlText w:val="%9)"/>
      <w:lvlJc w:val="left"/>
      <w:pPr>
        <w:ind w:left="720" w:hanging="360"/>
      </w:pPr>
    </w:lvl>
  </w:abstractNum>
  <w:abstractNum w:abstractNumId="45" w15:restartNumberingAfterBreak="0">
    <w:nsid w:val="7B6F2151"/>
    <w:multiLevelType w:val="hybridMultilevel"/>
    <w:tmpl w:val="B442BCF2"/>
    <w:lvl w:ilvl="0" w:tplc="046A9FC6">
      <w:start w:val="1"/>
      <w:numFmt w:val="lowerLetter"/>
      <w:lvlText w:val="%1)"/>
      <w:lvlJc w:val="left"/>
      <w:pPr>
        <w:ind w:left="1020" w:hanging="360"/>
      </w:pPr>
    </w:lvl>
    <w:lvl w:ilvl="1" w:tplc="EA9E3682">
      <w:start w:val="1"/>
      <w:numFmt w:val="lowerLetter"/>
      <w:lvlText w:val="%2)"/>
      <w:lvlJc w:val="left"/>
      <w:pPr>
        <w:ind w:left="1020" w:hanging="360"/>
      </w:pPr>
    </w:lvl>
    <w:lvl w:ilvl="2" w:tplc="7116EF9E">
      <w:start w:val="1"/>
      <w:numFmt w:val="lowerLetter"/>
      <w:lvlText w:val="%3)"/>
      <w:lvlJc w:val="left"/>
      <w:pPr>
        <w:ind w:left="1020" w:hanging="360"/>
      </w:pPr>
    </w:lvl>
    <w:lvl w:ilvl="3" w:tplc="0FEE6AE0">
      <w:start w:val="1"/>
      <w:numFmt w:val="lowerLetter"/>
      <w:lvlText w:val="%4)"/>
      <w:lvlJc w:val="left"/>
      <w:pPr>
        <w:ind w:left="1020" w:hanging="360"/>
      </w:pPr>
    </w:lvl>
    <w:lvl w:ilvl="4" w:tplc="9F6A4012">
      <w:start w:val="1"/>
      <w:numFmt w:val="lowerLetter"/>
      <w:lvlText w:val="%5)"/>
      <w:lvlJc w:val="left"/>
      <w:pPr>
        <w:ind w:left="1020" w:hanging="360"/>
      </w:pPr>
    </w:lvl>
    <w:lvl w:ilvl="5" w:tplc="779C1F74">
      <w:start w:val="1"/>
      <w:numFmt w:val="lowerLetter"/>
      <w:lvlText w:val="%6)"/>
      <w:lvlJc w:val="left"/>
      <w:pPr>
        <w:ind w:left="1020" w:hanging="360"/>
      </w:pPr>
    </w:lvl>
    <w:lvl w:ilvl="6" w:tplc="1EBA4A2C">
      <w:start w:val="1"/>
      <w:numFmt w:val="lowerLetter"/>
      <w:lvlText w:val="%7)"/>
      <w:lvlJc w:val="left"/>
      <w:pPr>
        <w:ind w:left="1020" w:hanging="360"/>
      </w:pPr>
    </w:lvl>
    <w:lvl w:ilvl="7" w:tplc="EF52D0A6">
      <w:start w:val="1"/>
      <w:numFmt w:val="lowerLetter"/>
      <w:lvlText w:val="%8)"/>
      <w:lvlJc w:val="left"/>
      <w:pPr>
        <w:ind w:left="1020" w:hanging="360"/>
      </w:pPr>
    </w:lvl>
    <w:lvl w:ilvl="8" w:tplc="15DABC8E">
      <w:start w:val="1"/>
      <w:numFmt w:val="lowerLetter"/>
      <w:lvlText w:val="%9)"/>
      <w:lvlJc w:val="left"/>
      <w:pPr>
        <w:ind w:left="1020" w:hanging="360"/>
      </w:pPr>
    </w:lvl>
  </w:abstractNum>
  <w:abstractNum w:abstractNumId="46" w15:restartNumberingAfterBreak="0">
    <w:nsid w:val="7EA0064C"/>
    <w:multiLevelType w:val="hybridMultilevel"/>
    <w:tmpl w:val="5F5008A0"/>
    <w:lvl w:ilvl="0" w:tplc="8A06AD2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7" w15:restartNumberingAfterBreak="0">
    <w:nsid w:val="7F4264D9"/>
    <w:multiLevelType w:val="hybridMultilevel"/>
    <w:tmpl w:val="DEA27710"/>
    <w:lvl w:ilvl="0" w:tplc="D3DC5560">
      <w:start w:val="3"/>
      <w:numFmt w:val="upperRoman"/>
      <w:lvlText w:val="%1."/>
      <w:lvlJc w:val="left"/>
      <w:pPr>
        <w:ind w:left="1080" w:hanging="72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E82E7D"/>
    <w:multiLevelType w:val="hybridMultilevel"/>
    <w:tmpl w:val="63EE12FE"/>
    <w:lvl w:ilvl="0" w:tplc="1CB251DC">
      <w:start w:val="1"/>
      <w:numFmt w:val="lowerLetter"/>
      <w:lvlText w:val="%1)"/>
      <w:lvlJc w:val="left"/>
      <w:pPr>
        <w:ind w:left="1020" w:hanging="360"/>
      </w:pPr>
    </w:lvl>
    <w:lvl w:ilvl="1" w:tplc="C974F148">
      <w:start w:val="1"/>
      <w:numFmt w:val="lowerLetter"/>
      <w:lvlText w:val="%2)"/>
      <w:lvlJc w:val="left"/>
      <w:pPr>
        <w:ind w:left="1020" w:hanging="360"/>
      </w:pPr>
    </w:lvl>
    <w:lvl w:ilvl="2" w:tplc="0A78F192">
      <w:start w:val="1"/>
      <w:numFmt w:val="lowerLetter"/>
      <w:lvlText w:val="%3)"/>
      <w:lvlJc w:val="left"/>
      <w:pPr>
        <w:ind w:left="1020" w:hanging="360"/>
      </w:pPr>
    </w:lvl>
    <w:lvl w:ilvl="3" w:tplc="23CEE1CA">
      <w:start w:val="1"/>
      <w:numFmt w:val="lowerLetter"/>
      <w:lvlText w:val="%4)"/>
      <w:lvlJc w:val="left"/>
      <w:pPr>
        <w:ind w:left="1020" w:hanging="360"/>
      </w:pPr>
    </w:lvl>
    <w:lvl w:ilvl="4" w:tplc="85B854BE">
      <w:start w:val="1"/>
      <w:numFmt w:val="lowerLetter"/>
      <w:lvlText w:val="%5)"/>
      <w:lvlJc w:val="left"/>
      <w:pPr>
        <w:ind w:left="1020" w:hanging="360"/>
      </w:pPr>
    </w:lvl>
    <w:lvl w:ilvl="5" w:tplc="912EFA26">
      <w:start w:val="1"/>
      <w:numFmt w:val="lowerLetter"/>
      <w:lvlText w:val="%6)"/>
      <w:lvlJc w:val="left"/>
      <w:pPr>
        <w:ind w:left="1020" w:hanging="360"/>
      </w:pPr>
    </w:lvl>
    <w:lvl w:ilvl="6" w:tplc="47AAA7D2">
      <w:start w:val="1"/>
      <w:numFmt w:val="lowerLetter"/>
      <w:lvlText w:val="%7)"/>
      <w:lvlJc w:val="left"/>
      <w:pPr>
        <w:ind w:left="1020" w:hanging="360"/>
      </w:pPr>
    </w:lvl>
    <w:lvl w:ilvl="7" w:tplc="961ACAF4">
      <w:start w:val="1"/>
      <w:numFmt w:val="lowerLetter"/>
      <w:lvlText w:val="%8)"/>
      <w:lvlJc w:val="left"/>
      <w:pPr>
        <w:ind w:left="1020" w:hanging="360"/>
      </w:pPr>
    </w:lvl>
    <w:lvl w:ilvl="8" w:tplc="6F128EFA">
      <w:start w:val="1"/>
      <w:numFmt w:val="lowerLetter"/>
      <w:lvlText w:val="%9)"/>
      <w:lvlJc w:val="left"/>
      <w:pPr>
        <w:ind w:left="1020" w:hanging="360"/>
      </w:pPr>
    </w:lvl>
  </w:abstractNum>
  <w:num w:numId="1" w16cid:durableId="332490941">
    <w:abstractNumId w:val="25"/>
  </w:num>
  <w:num w:numId="2" w16cid:durableId="1574511944">
    <w:abstractNumId w:val="39"/>
  </w:num>
  <w:num w:numId="3" w16cid:durableId="900362965">
    <w:abstractNumId w:val="7"/>
  </w:num>
  <w:num w:numId="4" w16cid:durableId="98843450">
    <w:abstractNumId w:val="10"/>
  </w:num>
  <w:num w:numId="5" w16cid:durableId="205025422">
    <w:abstractNumId w:val="31"/>
  </w:num>
  <w:num w:numId="6" w16cid:durableId="1599556941">
    <w:abstractNumId w:val="37"/>
  </w:num>
  <w:num w:numId="7" w16cid:durableId="2001886769">
    <w:abstractNumId w:val="35"/>
  </w:num>
  <w:num w:numId="8" w16cid:durableId="976646559">
    <w:abstractNumId w:val="46"/>
  </w:num>
  <w:num w:numId="9" w16cid:durableId="1585215184">
    <w:abstractNumId w:val="4"/>
  </w:num>
  <w:num w:numId="10" w16cid:durableId="987057337">
    <w:abstractNumId w:val="20"/>
  </w:num>
  <w:num w:numId="11" w16cid:durableId="1734965587">
    <w:abstractNumId w:val="15"/>
  </w:num>
  <w:num w:numId="12" w16cid:durableId="1956786004">
    <w:abstractNumId w:val="34"/>
  </w:num>
  <w:num w:numId="13" w16cid:durableId="481629601">
    <w:abstractNumId w:val="16"/>
  </w:num>
  <w:num w:numId="14" w16cid:durableId="499931761">
    <w:abstractNumId w:val="13"/>
  </w:num>
  <w:num w:numId="15" w16cid:durableId="1760059432">
    <w:abstractNumId w:val="39"/>
    <w:lvlOverride w:ilvl="0">
      <w:startOverride w:val="1"/>
    </w:lvlOverride>
  </w:num>
  <w:num w:numId="16" w16cid:durableId="1971476488">
    <w:abstractNumId w:val="22"/>
  </w:num>
  <w:num w:numId="17" w16cid:durableId="1757482001">
    <w:abstractNumId w:val="26"/>
  </w:num>
  <w:num w:numId="18" w16cid:durableId="1117990784">
    <w:abstractNumId w:val="43"/>
  </w:num>
  <w:num w:numId="19" w16cid:durableId="1968388009">
    <w:abstractNumId w:val="24"/>
  </w:num>
  <w:num w:numId="20" w16cid:durableId="240800778">
    <w:abstractNumId w:val="38"/>
  </w:num>
  <w:num w:numId="21" w16cid:durableId="1863398354">
    <w:abstractNumId w:val="5"/>
  </w:num>
  <w:num w:numId="22" w16cid:durableId="894701991">
    <w:abstractNumId w:val="9"/>
  </w:num>
  <w:num w:numId="23" w16cid:durableId="1133866036">
    <w:abstractNumId w:val="27"/>
  </w:num>
  <w:num w:numId="24" w16cid:durableId="1353605454">
    <w:abstractNumId w:val="18"/>
  </w:num>
  <w:num w:numId="25" w16cid:durableId="1640301118">
    <w:abstractNumId w:val="47"/>
  </w:num>
  <w:num w:numId="26" w16cid:durableId="1566212005">
    <w:abstractNumId w:val="32"/>
  </w:num>
  <w:num w:numId="27" w16cid:durableId="1245604014">
    <w:abstractNumId w:val="17"/>
  </w:num>
  <w:num w:numId="28" w16cid:durableId="1043871298">
    <w:abstractNumId w:val="33"/>
  </w:num>
  <w:num w:numId="29" w16cid:durableId="271285088">
    <w:abstractNumId w:val="8"/>
  </w:num>
  <w:num w:numId="30" w16cid:durableId="1442844215">
    <w:abstractNumId w:val="26"/>
    <w:lvlOverride w:ilvl="0">
      <w:startOverride w:val="3"/>
    </w:lvlOverride>
  </w:num>
  <w:num w:numId="31" w16cid:durableId="149370153">
    <w:abstractNumId w:val="1"/>
  </w:num>
  <w:num w:numId="32" w16cid:durableId="2096899670">
    <w:abstractNumId w:val="41"/>
  </w:num>
  <w:num w:numId="33" w16cid:durableId="297994813">
    <w:abstractNumId w:val="25"/>
  </w:num>
  <w:num w:numId="34" w16cid:durableId="776945459">
    <w:abstractNumId w:val="31"/>
  </w:num>
  <w:num w:numId="35" w16cid:durableId="521865528">
    <w:abstractNumId w:val="39"/>
  </w:num>
  <w:num w:numId="36" w16cid:durableId="828180416">
    <w:abstractNumId w:val="40"/>
  </w:num>
  <w:num w:numId="37" w16cid:durableId="1364207098">
    <w:abstractNumId w:val="42"/>
  </w:num>
  <w:num w:numId="38" w16cid:durableId="838234942">
    <w:abstractNumId w:val="21"/>
  </w:num>
  <w:num w:numId="39" w16cid:durableId="1698508333">
    <w:abstractNumId w:val="11"/>
  </w:num>
  <w:num w:numId="40" w16cid:durableId="1320426897">
    <w:abstractNumId w:val="19"/>
  </w:num>
  <w:num w:numId="41" w16cid:durableId="1565942633">
    <w:abstractNumId w:val="3"/>
  </w:num>
  <w:num w:numId="42" w16cid:durableId="1009679316">
    <w:abstractNumId w:val="28"/>
  </w:num>
  <w:num w:numId="43" w16cid:durableId="1729300186">
    <w:abstractNumId w:val="30"/>
  </w:num>
  <w:num w:numId="44" w16cid:durableId="1153722371">
    <w:abstractNumId w:val="0"/>
  </w:num>
  <w:num w:numId="45" w16cid:durableId="1683817528">
    <w:abstractNumId w:val="6"/>
  </w:num>
  <w:num w:numId="46" w16cid:durableId="321278267">
    <w:abstractNumId w:val="48"/>
  </w:num>
  <w:num w:numId="47" w16cid:durableId="14307932">
    <w:abstractNumId w:val="45"/>
  </w:num>
  <w:num w:numId="48" w16cid:durableId="309871632">
    <w:abstractNumId w:val="23"/>
  </w:num>
  <w:num w:numId="49" w16cid:durableId="1761023148">
    <w:abstractNumId w:val="36"/>
  </w:num>
  <w:num w:numId="50" w16cid:durableId="290668786">
    <w:abstractNumId w:val="14"/>
  </w:num>
  <w:num w:numId="51" w16cid:durableId="51512491">
    <w:abstractNumId w:val="12"/>
  </w:num>
  <w:num w:numId="52" w16cid:durableId="752245008">
    <w:abstractNumId w:val="2"/>
  </w:num>
  <w:num w:numId="53" w16cid:durableId="1465655809">
    <w:abstractNumId w:val="44"/>
  </w:num>
  <w:num w:numId="54" w16cid:durableId="340007367">
    <w:abstractNumId w:val="2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pos w:val="sectEnd"/>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6E9"/>
    <w:rsid w:val="0000284B"/>
    <w:rsid w:val="00003551"/>
    <w:rsid w:val="0000369B"/>
    <w:rsid w:val="000037D1"/>
    <w:rsid w:val="000038CC"/>
    <w:rsid w:val="00004E21"/>
    <w:rsid w:val="000052C2"/>
    <w:rsid w:val="00005453"/>
    <w:rsid w:val="00005865"/>
    <w:rsid w:val="000063AB"/>
    <w:rsid w:val="000063BA"/>
    <w:rsid w:val="000067F0"/>
    <w:rsid w:val="00010E98"/>
    <w:rsid w:val="00010FF2"/>
    <w:rsid w:val="000111A5"/>
    <w:rsid w:val="00011462"/>
    <w:rsid w:val="00011D02"/>
    <w:rsid w:val="00011FC9"/>
    <w:rsid w:val="0001209E"/>
    <w:rsid w:val="00013D5B"/>
    <w:rsid w:val="000143A4"/>
    <w:rsid w:val="00015079"/>
    <w:rsid w:val="00015C14"/>
    <w:rsid w:val="00016978"/>
    <w:rsid w:val="000175FE"/>
    <w:rsid w:val="00020FA6"/>
    <w:rsid w:val="00022B9D"/>
    <w:rsid w:val="00023326"/>
    <w:rsid w:val="000238AB"/>
    <w:rsid w:val="000246C0"/>
    <w:rsid w:val="00026819"/>
    <w:rsid w:val="00031D18"/>
    <w:rsid w:val="00031F47"/>
    <w:rsid w:val="000327FE"/>
    <w:rsid w:val="00032F41"/>
    <w:rsid w:val="000330CC"/>
    <w:rsid w:val="00033FF2"/>
    <w:rsid w:val="00034088"/>
    <w:rsid w:val="00034488"/>
    <w:rsid w:val="00034954"/>
    <w:rsid w:val="00035A72"/>
    <w:rsid w:val="00036AE3"/>
    <w:rsid w:val="00036F69"/>
    <w:rsid w:val="00037255"/>
    <w:rsid w:val="00037BCC"/>
    <w:rsid w:val="00037F94"/>
    <w:rsid w:val="000402D4"/>
    <w:rsid w:val="00040598"/>
    <w:rsid w:val="00040F3B"/>
    <w:rsid w:val="00040F4F"/>
    <w:rsid w:val="00040FF3"/>
    <w:rsid w:val="000414C2"/>
    <w:rsid w:val="00042C6E"/>
    <w:rsid w:val="000439C4"/>
    <w:rsid w:val="000453ED"/>
    <w:rsid w:val="000459C7"/>
    <w:rsid w:val="0004633F"/>
    <w:rsid w:val="00046586"/>
    <w:rsid w:val="000467E1"/>
    <w:rsid w:val="000467F0"/>
    <w:rsid w:val="00046EF9"/>
    <w:rsid w:val="00050049"/>
    <w:rsid w:val="000501EE"/>
    <w:rsid w:val="00050E9A"/>
    <w:rsid w:val="0005108B"/>
    <w:rsid w:val="000516B0"/>
    <w:rsid w:val="00051ECF"/>
    <w:rsid w:val="0005282B"/>
    <w:rsid w:val="00052D23"/>
    <w:rsid w:val="000536EC"/>
    <w:rsid w:val="00053A27"/>
    <w:rsid w:val="00054A40"/>
    <w:rsid w:val="00055227"/>
    <w:rsid w:val="00055568"/>
    <w:rsid w:val="00056C82"/>
    <w:rsid w:val="000603DD"/>
    <w:rsid w:val="000607A5"/>
    <w:rsid w:val="00060830"/>
    <w:rsid w:val="0006111E"/>
    <w:rsid w:val="0006232D"/>
    <w:rsid w:val="0006288B"/>
    <w:rsid w:val="00062950"/>
    <w:rsid w:val="00062A7D"/>
    <w:rsid w:val="000638F8"/>
    <w:rsid w:val="00063E9B"/>
    <w:rsid w:val="0006553F"/>
    <w:rsid w:val="000663BA"/>
    <w:rsid w:val="0006672C"/>
    <w:rsid w:val="0006793C"/>
    <w:rsid w:val="000679BB"/>
    <w:rsid w:val="000702B8"/>
    <w:rsid w:val="000708C6"/>
    <w:rsid w:val="00071ADB"/>
    <w:rsid w:val="000737BE"/>
    <w:rsid w:val="00073A75"/>
    <w:rsid w:val="00073BD0"/>
    <w:rsid w:val="00074FF7"/>
    <w:rsid w:val="00075F1D"/>
    <w:rsid w:val="00076850"/>
    <w:rsid w:val="00076BB6"/>
    <w:rsid w:val="00080361"/>
    <w:rsid w:val="00080872"/>
    <w:rsid w:val="00080930"/>
    <w:rsid w:val="00080F16"/>
    <w:rsid w:val="00081E09"/>
    <w:rsid w:val="00082174"/>
    <w:rsid w:val="00083535"/>
    <w:rsid w:val="00085307"/>
    <w:rsid w:val="00085778"/>
    <w:rsid w:val="00086453"/>
    <w:rsid w:val="00086882"/>
    <w:rsid w:val="00086D8D"/>
    <w:rsid w:val="00087613"/>
    <w:rsid w:val="00087725"/>
    <w:rsid w:val="00087BCF"/>
    <w:rsid w:val="000916AB"/>
    <w:rsid w:val="00091C2A"/>
    <w:rsid w:val="0009246D"/>
    <w:rsid w:val="000926C1"/>
    <w:rsid w:val="00092837"/>
    <w:rsid w:val="00093367"/>
    <w:rsid w:val="00095407"/>
    <w:rsid w:val="000957B7"/>
    <w:rsid w:val="00096BA2"/>
    <w:rsid w:val="0009752C"/>
    <w:rsid w:val="000975F4"/>
    <w:rsid w:val="00097750"/>
    <w:rsid w:val="0009798C"/>
    <w:rsid w:val="000A005D"/>
    <w:rsid w:val="000A08D5"/>
    <w:rsid w:val="000A08E6"/>
    <w:rsid w:val="000A2750"/>
    <w:rsid w:val="000A62E2"/>
    <w:rsid w:val="000A70F9"/>
    <w:rsid w:val="000A720E"/>
    <w:rsid w:val="000A7245"/>
    <w:rsid w:val="000A7DEE"/>
    <w:rsid w:val="000B0331"/>
    <w:rsid w:val="000B0914"/>
    <w:rsid w:val="000B0EAE"/>
    <w:rsid w:val="000B1C3F"/>
    <w:rsid w:val="000B1D7D"/>
    <w:rsid w:val="000B2FB2"/>
    <w:rsid w:val="000B36FA"/>
    <w:rsid w:val="000B3BEF"/>
    <w:rsid w:val="000B402C"/>
    <w:rsid w:val="000B4055"/>
    <w:rsid w:val="000B529E"/>
    <w:rsid w:val="000B5395"/>
    <w:rsid w:val="000B5519"/>
    <w:rsid w:val="000B74E9"/>
    <w:rsid w:val="000B76D1"/>
    <w:rsid w:val="000C0BDA"/>
    <w:rsid w:val="000C0F13"/>
    <w:rsid w:val="000C1513"/>
    <w:rsid w:val="000C264C"/>
    <w:rsid w:val="000C2C54"/>
    <w:rsid w:val="000C3783"/>
    <w:rsid w:val="000C3D8D"/>
    <w:rsid w:val="000C3E86"/>
    <w:rsid w:val="000C4B32"/>
    <w:rsid w:val="000C519A"/>
    <w:rsid w:val="000C6795"/>
    <w:rsid w:val="000C67D4"/>
    <w:rsid w:val="000C6BB7"/>
    <w:rsid w:val="000C6E03"/>
    <w:rsid w:val="000C710F"/>
    <w:rsid w:val="000C782E"/>
    <w:rsid w:val="000C7AD7"/>
    <w:rsid w:val="000D0846"/>
    <w:rsid w:val="000D0A88"/>
    <w:rsid w:val="000D146F"/>
    <w:rsid w:val="000D2F46"/>
    <w:rsid w:val="000D39F4"/>
    <w:rsid w:val="000D406B"/>
    <w:rsid w:val="000D4282"/>
    <w:rsid w:val="000D4CA9"/>
    <w:rsid w:val="000D559E"/>
    <w:rsid w:val="000D5BAE"/>
    <w:rsid w:val="000D5F32"/>
    <w:rsid w:val="000D779F"/>
    <w:rsid w:val="000D79B5"/>
    <w:rsid w:val="000D7F20"/>
    <w:rsid w:val="000E066D"/>
    <w:rsid w:val="000E0C04"/>
    <w:rsid w:val="000E31E7"/>
    <w:rsid w:val="000E3213"/>
    <w:rsid w:val="000E40CF"/>
    <w:rsid w:val="000E46CC"/>
    <w:rsid w:val="000E5EFC"/>
    <w:rsid w:val="000E6E46"/>
    <w:rsid w:val="000E6FDA"/>
    <w:rsid w:val="000E74DA"/>
    <w:rsid w:val="000E7808"/>
    <w:rsid w:val="000E7916"/>
    <w:rsid w:val="000F1DD0"/>
    <w:rsid w:val="000F3DF0"/>
    <w:rsid w:val="000F3E3E"/>
    <w:rsid w:val="000F4BBA"/>
    <w:rsid w:val="000F4F9D"/>
    <w:rsid w:val="000F53AB"/>
    <w:rsid w:val="000F6E05"/>
    <w:rsid w:val="000F6F4C"/>
    <w:rsid w:val="000F7D45"/>
    <w:rsid w:val="000F7F02"/>
    <w:rsid w:val="0010082A"/>
    <w:rsid w:val="00100927"/>
    <w:rsid w:val="00100C0C"/>
    <w:rsid w:val="00100F7A"/>
    <w:rsid w:val="00102618"/>
    <w:rsid w:val="0010482D"/>
    <w:rsid w:val="00104969"/>
    <w:rsid w:val="00106F5F"/>
    <w:rsid w:val="00107C13"/>
    <w:rsid w:val="00110917"/>
    <w:rsid w:val="001110C0"/>
    <w:rsid w:val="0011238F"/>
    <w:rsid w:val="00112F1C"/>
    <w:rsid w:val="00113434"/>
    <w:rsid w:val="00113A9E"/>
    <w:rsid w:val="0011499D"/>
    <w:rsid w:val="00115433"/>
    <w:rsid w:val="001156F6"/>
    <w:rsid w:val="00115D89"/>
    <w:rsid w:val="00116812"/>
    <w:rsid w:val="0011733E"/>
    <w:rsid w:val="00121FDE"/>
    <w:rsid w:val="001220B1"/>
    <w:rsid w:val="00122522"/>
    <w:rsid w:val="001242C7"/>
    <w:rsid w:val="00124C1C"/>
    <w:rsid w:val="00125057"/>
    <w:rsid w:val="0012538E"/>
    <w:rsid w:val="00125EF6"/>
    <w:rsid w:val="001263B1"/>
    <w:rsid w:val="001276F9"/>
    <w:rsid w:val="00127B11"/>
    <w:rsid w:val="001302D8"/>
    <w:rsid w:val="00130494"/>
    <w:rsid w:val="001308B7"/>
    <w:rsid w:val="001309A5"/>
    <w:rsid w:val="00130E64"/>
    <w:rsid w:val="001313B5"/>
    <w:rsid w:val="001319EB"/>
    <w:rsid w:val="00131E14"/>
    <w:rsid w:val="001321F6"/>
    <w:rsid w:val="00132581"/>
    <w:rsid w:val="001325D0"/>
    <w:rsid w:val="00132CC8"/>
    <w:rsid w:val="001338B7"/>
    <w:rsid w:val="00133CF1"/>
    <w:rsid w:val="00133F76"/>
    <w:rsid w:val="00135401"/>
    <w:rsid w:val="00135D10"/>
    <w:rsid w:val="00135FA9"/>
    <w:rsid w:val="001364CF"/>
    <w:rsid w:val="001369F5"/>
    <w:rsid w:val="00137458"/>
    <w:rsid w:val="0013788A"/>
    <w:rsid w:val="00140AB2"/>
    <w:rsid w:val="00140BE2"/>
    <w:rsid w:val="001418EF"/>
    <w:rsid w:val="00141FA5"/>
    <w:rsid w:val="001425C1"/>
    <w:rsid w:val="00142626"/>
    <w:rsid w:val="00143E34"/>
    <w:rsid w:val="00144E42"/>
    <w:rsid w:val="00146C37"/>
    <w:rsid w:val="00147312"/>
    <w:rsid w:val="00150CFA"/>
    <w:rsid w:val="00151DEC"/>
    <w:rsid w:val="00151F04"/>
    <w:rsid w:val="00152206"/>
    <w:rsid w:val="0015230E"/>
    <w:rsid w:val="001538EC"/>
    <w:rsid w:val="001539A7"/>
    <w:rsid w:val="00153AA3"/>
    <w:rsid w:val="00153AE9"/>
    <w:rsid w:val="00153ECE"/>
    <w:rsid w:val="0015458F"/>
    <w:rsid w:val="00155338"/>
    <w:rsid w:val="00157E37"/>
    <w:rsid w:val="001601F5"/>
    <w:rsid w:val="00160CAB"/>
    <w:rsid w:val="0016113C"/>
    <w:rsid w:val="00161A2A"/>
    <w:rsid w:val="00162CBA"/>
    <w:rsid w:val="00162E63"/>
    <w:rsid w:val="00163F77"/>
    <w:rsid w:val="0016425E"/>
    <w:rsid w:val="001652EA"/>
    <w:rsid w:val="00165455"/>
    <w:rsid w:val="001665C3"/>
    <w:rsid w:val="001679AA"/>
    <w:rsid w:val="00167C99"/>
    <w:rsid w:val="00167F4C"/>
    <w:rsid w:val="00170717"/>
    <w:rsid w:val="00170858"/>
    <w:rsid w:val="00171BA1"/>
    <w:rsid w:val="00171BB2"/>
    <w:rsid w:val="00172199"/>
    <w:rsid w:val="00172B86"/>
    <w:rsid w:val="00172F9C"/>
    <w:rsid w:val="00174C09"/>
    <w:rsid w:val="00174F2B"/>
    <w:rsid w:val="00175ACD"/>
    <w:rsid w:val="00175B28"/>
    <w:rsid w:val="00176C15"/>
    <w:rsid w:val="00180394"/>
    <w:rsid w:val="0018053E"/>
    <w:rsid w:val="00180A7F"/>
    <w:rsid w:val="0018109E"/>
    <w:rsid w:val="00181512"/>
    <w:rsid w:val="00181951"/>
    <w:rsid w:val="00181B8D"/>
    <w:rsid w:val="001820B5"/>
    <w:rsid w:val="0018288B"/>
    <w:rsid w:val="00183379"/>
    <w:rsid w:val="00183594"/>
    <w:rsid w:val="001837AB"/>
    <w:rsid w:val="001841D2"/>
    <w:rsid w:val="00184909"/>
    <w:rsid w:val="0018569F"/>
    <w:rsid w:val="00185A94"/>
    <w:rsid w:val="00186C6D"/>
    <w:rsid w:val="00187916"/>
    <w:rsid w:val="001900C6"/>
    <w:rsid w:val="0019174E"/>
    <w:rsid w:val="00192528"/>
    <w:rsid w:val="00193151"/>
    <w:rsid w:val="001933BD"/>
    <w:rsid w:val="0019346F"/>
    <w:rsid w:val="001936D3"/>
    <w:rsid w:val="0019499B"/>
    <w:rsid w:val="00195D86"/>
    <w:rsid w:val="001961A6"/>
    <w:rsid w:val="0019643A"/>
    <w:rsid w:val="00196D2F"/>
    <w:rsid w:val="001A12CE"/>
    <w:rsid w:val="001A22BB"/>
    <w:rsid w:val="001A357B"/>
    <w:rsid w:val="001A403A"/>
    <w:rsid w:val="001A407B"/>
    <w:rsid w:val="001A41E0"/>
    <w:rsid w:val="001A4402"/>
    <w:rsid w:val="001A5354"/>
    <w:rsid w:val="001A55BB"/>
    <w:rsid w:val="001A57D6"/>
    <w:rsid w:val="001A632C"/>
    <w:rsid w:val="001A6B4A"/>
    <w:rsid w:val="001A7D60"/>
    <w:rsid w:val="001A7DDB"/>
    <w:rsid w:val="001A7EEB"/>
    <w:rsid w:val="001B11EF"/>
    <w:rsid w:val="001B1898"/>
    <w:rsid w:val="001B23AA"/>
    <w:rsid w:val="001B2588"/>
    <w:rsid w:val="001B27DF"/>
    <w:rsid w:val="001B35DB"/>
    <w:rsid w:val="001B6B00"/>
    <w:rsid w:val="001B7DD9"/>
    <w:rsid w:val="001C015E"/>
    <w:rsid w:val="001C04E1"/>
    <w:rsid w:val="001C0A52"/>
    <w:rsid w:val="001C0C26"/>
    <w:rsid w:val="001C19A2"/>
    <w:rsid w:val="001C21FF"/>
    <w:rsid w:val="001C4FBB"/>
    <w:rsid w:val="001C5215"/>
    <w:rsid w:val="001C5F88"/>
    <w:rsid w:val="001C6D1E"/>
    <w:rsid w:val="001C7761"/>
    <w:rsid w:val="001D1206"/>
    <w:rsid w:val="001D12C3"/>
    <w:rsid w:val="001D1371"/>
    <w:rsid w:val="001D1499"/>
    <w:rsid w:val="001D25FB"/>
    <w:rsid w:val="001D2663"/>
    <w:rsid w:val="001D3BCF"/>
    <w:rsid w:val="001D3F4B"/>
    <w:rsid w:val="001D6BD7"/>
    <w:rsid w:val="001D7B93"/>
    <w:rsid w:val="001D7D36"/>
    <w:rsid w:val="001D7E76"/>
    <w:rsid w:val="001E01BD"/>
    <w:rsid w:val="001E0767"/>
    <w:rsid w:val="001E134B"/>
    <w:rsid w:val="001E1828"/>
    <w:rsid w:val="001E1BF9"/>
    <w:rsid w:val="001E2187"/>
    <w:rsid w:val="001E2556"/>
    <w:rsid w:val="001E29EA"/>
    <w:rsid w:val="001E2C78"/>
    <w:rsid w:val="001E2F94"/>
    <w:rsid w:val="001E30F9"/>
    <w:rsid w:val="001E3ACB"/>
    <w:rsid w:val="001E3B1C"/>
    <w:rsid w:val="001E5BA7"/>
    <w:rsid w:val="001E5E25"/>
    <w:rsid w:val="001E6130"/>
    <w:rsid w:val="001E6267"/>
    <w:rsid w:val="001E6CC6"/>
    <w:rsid w:val="001E7064"/>
    <w:rsid w:val="001E7190"/>
    <w:rsid w:val="001F0489"/>
    <w:rsid w:val="001F06A4"/>
    <w:rsid w:val="001F17F4"/>
    <w:rsid w:val="001F1B86"/>
    <w:rsid w:val="001F31B3"/>
    <w:rsid w:val="001F343D"/>
    <w:rsid w:val="001F5AA7"/>
    <w:rsid w:val="001F696E"/>
    <w:rsid w:val="001F6CE2"/>
    <w:rsid w:val="001F74C2"/>
    <w:rsid w:val="001F7849"/>
    <w:rsid w:val="001F78E7"/>
    <w:rsid w:val="002002F1"/>
    <w:rsid w:val="002016F0"/>
    <w:rsid w:val="00201D62"/>
    <w:rsid w:val="00202047"/>
    <w:rsid w:val="00202BFD"/>
    <w:rsid w:val="00203177"/>
    <w:rsid w:val="00203FA8"/>
    <w:rsid w:val="002044F8"/>
    <w:rsid w:val="002050C5"/>
    <w:rsid w:val="002052CC"/>
    <w:rsid w:val="002055CA"/>
    <w:rsid w:val="0020578B"/>
    <w:rsid w:val="00205AC0"/>
    <w:rsid w:val="002062DE"/>
    <w:rsid w:val="00206A12"/>
    <w:rsid w:val="00207EF8"/>
    <w:rsid w:val="00211289"/>
    <w:rsid w:val="00211553"/>
    <w:rsid w:val="002123B5"/>
    <w:rsid w:val="00212D4D"/>
    <w:rsid w:val="0021303A"/>
    <w:rsid w:val="0021323C"/>
    <w:rsid w:val="0021391F"/>
    <w:rsid w:val="002143F9"/>
    <w:rsid w:val="00214E56"/>
    <w:rsid w:val="0021669B"/>
    <w:rsid w:val="00216A99"/>
    <w:rsid w:val="00216EF5"/>
    <w:rsid w:val="002201BC"/>
    <w:rsid w:val="00220453"/>
    <w:rsid w:val="00221FD7"/>
    <w:rsid w:val="00222FAA"/>
    <w:rsid w:val="0022392A"/>
    <w:rsid w:val="0022427E"/>
    <w:rsid w:val="00224831"/>
    <w:rsid w:val="00226A94"/>
    <w:rsid w:val="00227091"/>
    <w:rsid w:val="002272AB"/>
    <w:rsid w:val="00231A38"/>
    <w:rsid w:val="00231A5C"/>
    <w:rsid w:val="00232C7F"/>
    <w:rsid w:val="002332A6"/>
    <w:rsid w:val="00233C45"/>
    <w:rsid w:val="002342BB"/>
    <w:rsid w:val="00234CAE"/>
    <w:rsid w:val="002361CC"/>
    <w:rsid w:val="00236F42"/>
    <w:rsid w:val="00237C27"/>
    <w:rsid w:val="00237D39"/>
    <w:rsid w:val="00237EBF"/>
    <w:rsid w:val="002407E0"/>
    <w:rsid w:val="00240B85"/>
    <w:rsid w:val="002412D0"/>
    <w:rsid w:val="0024146D"/>
    <w:rsid w:val="002420E0"/>
    <w:rsid w:val="00243DA7"/>
    <w:rsid w:val="00245235"/>
    <w:rsid w:val="00245448"/>
    <w:rsid w:val="00245E92"/>
    <w:rsid w:val="00245F84"/>
    <w:rsid w:val="002467CC"/>
    <w:rsid w:val="00246BF5"/>
    <w:rsid w:val="00246EEA"/>
    <w:rsid w:val="0025012A"/>
    <w:rsid w:val="0025071B"/>
    <w:rsid w:val="002511E6"/>
    <w:rsid w:val="00251266"/>
    <w:rsid w:val="0025267B"/>
    <w:rsid w:val="00255DC1"/>
    <w:rsid w:val="0026131D"/>
    <w:rsid w:val="00261F41"/>
    <w:rsid w:val="0026217C"/>
    <w:rsid w:val="00262246"/>
    <w:rsid w:val="00262FCE"/>
    <w:rsid w:val="002633D4"/>
    <w:rsid w:val="00264367"/>
    <w:rsid w:val="002647AD"/>
    <w:rsid w:val="002654DC"/>
    <w:rsid w:val="00265C39"/>
    <w:rsid w:val="00265FFA"/>
    <w:rsid w:val="00266E64"/>
    <w:rsid w:val="0027036C"/>
    <w:rsid w:val="00270462"/>
    <w:rsid w:val="00272C99"/>
    <w:rsid w:val="00272D7B"/>
    <w:rsid w:val="00273F36"/>
    <w:rsid w:val="00274043"/>
    <w:rsid w:val="00275D9D"/>
    <w:rsid w:val="002761EB"/>
    <w:rsid w:val="00276240"/>
    <w:rsid w:val="002762BD"/>
    <w:rsid w:val="0027641C"/>
    <w:rsid w:val="002766AA"/>
    <w:rsid w:val="00277D13"/>
    <w:rsid w:val="00277FE1"/>
    <w:rsid w:val="0028107B"/>
    <w:rsid w:val="00281316"/>
    <w:rsid w:val="00281683"/>
    <w:rsid w:val="00281CD6"/>
    <w:rsid w:val="00282C21"/>
    <w:rsid w:val="002836EE"/>
    <w:rsid w:val="002841E8"/>
    <w:rsid w:val="00284685"/>
    <w:rsid w:val="00285BEE"/>
    <w:rsid w:val="00285F60"/>
    <w:rsid w:val="00286719"/>
    <w:rsid w:val="0028713F"/>
    <w:rsid w:val="00287890"/>
    <w:rsid w:val="0029027C"/>
    <w:rsid w:val="0029072C"/>
    <w:rsid w:val="00290821"/>
    <w:rsid w:val="00290A25"/>
    <w:rsid w:val="0029137B"/>
    <w:rsid w:val="002913BE"/>
    <w:rsid w:val="0029261F"/>
    <w:rsid w:val="00293A6B"/>
    <w:rsid w:val="0029480C"/>
    <w:rsid w:val="00294A59"/>
    <w:rsid w:val="00294B83"/>
    <w:rsid w:val="002952D8"/>
    <w:rsid w:val="00295C17"/>
    <w:rsid w:val="00295D3C"/>
    <w:rsid w:val="00295EA0"/>
    <w:rsid w:val="00295EC5"/>
    <w:rsid w:val="00296DAB"/>
    <w:rsid w:val="00296DBC"/>
    <w:rsid w:val="00297611"/>
    <w:rsid w:val="002A0890"/>
    <w:rsid w:val="002A0B12"/>
    <w:rsid w:val="002A0FF7"/>
    <w:rsid w:val="002A558F"/>
    <w:rsid w:val="002A5729"/>
    <w:rsid w:val="002A5CBD"/>
    <w:rsid w:val="002A61BB"/>
    <w:rsid w:val="002A65A4"/>
    <w:rsid w:val="002A678F"/>
    <w:rsid w:val="002A67E6"/>
    <w:rsid w:val="002A6DC0"/>
    <w:rsid w:val="002A722F"/>
    <w:rsid w:val="002A7A88"/>
    <w:rsid w:val="002B00CA"/>
    <w:rsid w:val="002B1392"/>
    <w:rsid w:val="002B17EC"/>
    <w:rsid w:val="002B32EC"/>
    <w:rsid w:val="002B3AC6"/>
    <w:rsid w:val="002B4703"/>
    <w:rsid w:val="002B53C9"/>
    <w:rsid w:val="002B559C"/>
    <w:rsid w:val="002B6D92"/>
    <w:rsid w:val="002B745B"/>
    <w:rsid w:val="002C0C1F"/>
    <w:rsid w:val="002C151D"/>
    <w:rsid w:val="002C1C5F"/>
    <w:rsid w:val="002C26EA"/>
    <w:rsid w:val="002C2923"/>
    <w:rsid w:val="002C2E14"/>
    <w:rsid w:val="002C31EE"/>
    <w:rsid w:val="002C33FF"/>
    <w:rsid w:val="002C40BF"/>
    <w:rsid w:val="002C4E5D"/>
    <w:rsid w:val="002C5316"/>
    <w:rsid w:val="002C5DC5"/>
    <w:rsid w:val="002C5E83"/>
    <w:rsid w:val="002C644D"/>
    <w:rsid w:val="002C7BF9"/>
    <w:rsid w:val="002C7C42"/>
    <w:rsid w:val="002C7CD0"/>
    <w:rsid w:val="002C7E85"/>
    <w:rsid w:val="002C7FCE"/>
    <w:rsid w:val="002D0034"/>
    <w:rsid w:val="002D11FF"/>
    <w:rsid w:val="002D1BF9"/>
    <w:rsid w:val="002D29FE"/>
    <w:rsid w:val="002D4456"/>
    <w:rsid w:val="002D5460"/>
    <w:rsid w:val="002D54EB"/>
    <w:rsid w:val="002D57E1"/>
    <w:rsid w:val="002D6043"/>
    <w:rsid w:val="002D64C7"/>
    <w:rsid w:val="002D6529"/>
    <w:rsid w:val="002D66F8"/>
    <w:rsid w:val="002D728E"/>
    <w:rsid w:val="002D74E2"/>
    <w:rsid w:val="002E0D28"/>
    <w:rsid w:val="002E1174"/>
    <w:rsid w:val="002E1840"/>
    <w:rsid w:val="002E24A0"/>
    <w:rsid w:val="002E260E"/>
    <w:rsid w:val="002E3420"/>
    <w:rsid w:val="002E4BF8"/>
    <w:rsid w:val="002E5A2C"/>
    <w:rsid w:val="002E5B3D"/>
    <w:rsid w:val="002E6C62"/>
    <w:rsid w:val="002E6EE4"/>
    <w:rsid w:val="002F0629"/>
    <w:rsid w:val="002F0A0A"/>
    <w:rsid w:val="002F1278"/>
    <w:rsid w:val="002F2644"/>
    <w:rsid w:val="002F2CD3"/>
    <w:rsid w:val="002F360E"/>
    <w:rsid w:val="002F4B9C"/>
    <w:rsid w:val="002F5456"/>
    <w:rsid w:val="002F5B2B"/>
    <w:rsid w:val="002F6436"/>
    <w:rsid w:val="002F7724"/>
    <w:rsid w:val="002F7F6E"/>
    <w:rsid w:val="00300348"/>
    <w:rsid w:val="00300492"/>
    <w:rsid w:val="003013DE"/>
    <w:rsid w:val="00301DF0"/>
    <w:rsid w:val="003020A4"/>
    <w:rsid w:val="0030276A"/>
    <w:rsid w:val="00304724"/>
    <w:rsid w:val="00304BBC"/>
    <w:rsid w:val="00304E04"/>
    <w:rsid w:val="003052DF"/>
    <w:rsid w:val="00305945"/>
    <w:rsid w:val="00305DEE"/>
    <w:rsid w:val="003061DA"/>
    <w:rsid w:val="0030692E"/>
    <w:rsid w:val="00307300"/>
    <w:rsid w:val="0030750E"/>
    <w:rsid w:val="00310608"/>
    <w:rsid w:val="00311765"/>
    <w:rsid w:val="003120DF"/>
    <w:rsid w:val="00312C3D"/>
    <w:rsid w:val="003143FA"/>
    <w:rsid w:val="003146AD"/>
    <w:rsid w:val="00314D0B"/>
    <w:rsid w:val="00315747"/>
    <w:rsid w:val="00316849"/>
    <w:rsid w:val="00317475"/>
    <w:rsid w:val="00317662"/>
    <w:rsid w:val="00317C04"/>
    <w:rsid w:val="0032000B"/>
    <w:rsid w:val="003211F2"/>
    <w:rsid w:val="0032194C"/>
    <w:rsid w:val="00322918"/>
    <w:rsid w:val="00322F4E"/>
    <w:rsid w:val="00323F22"/>
    <w:rsid w:val="003244B3"/>
    <w:rsid w:val="003249EC"/>
    <w:rsid w:val="00326016"/>
    <w:rsid w:val="003262CC"/>
    <w:rsid w:val="00327AD4"/>
    <w:rsid w:val="00327AFC"/>
    <w:rsid w:val="00327B98"/>
    <w:rsid w:val="00330147"/>
    <w:rsid w:val="003319B3"/>
    <w:rsid w:val="00332354"/>
    <w:rsid w:val="00334A3E"/>
    <w:rsid w:val="00334B78"/>
    <w:rsid w:val="0033656D"/>
    <w:rsid w:val="00337042"/>
    <w:rsid w:val="00337378"/>
    <w:rsid w:val="003375B4"/>
    <w:rsid w:val="003401A7"/>
    <w:rsid w:val="00340DF0"/>
    <w:rsid w:val="0034151D"/>
    <w:rsid w:val="00341E34"/>
    <w:rsid w:val="00341F5E"/>
    <w:rsid w:val="003430BF"/>
    <w:rsid w:val="00343BF9"/>
    <w:rsid w:val="0034407E"/>
    <w:rsid w:val="0034412A"/>
    <w:rsid w:val="00344181"/>
    <w:rsid w:val="00344BF0"/>
    <w:rsid w:val="00345297"/>
    <w:rsid w:val="00345B3D"/>
    <w:rsid w:val="00345B61"/>
    <w:rsid w:val="003462F0"/>
    <w:rsid w:val="00346E50"/>
    <w:rsid w:val="003476A9"/>
    <w:rsid w:val="003500BF"/>
    <w:rsid w:val="00351777"/>
    <w:rsid w:val="003530B1"/>
    <w:rsid w:val="00353555"/>
    <w:rsid w:val="003543DE"/>
    <w:rsid w:val="00354455"/>
    <w:rsid w:val="00354AD5"/>
    <w:rsid w:val="00354DB4"/>
    <w:rsid w:val="00354FA1"/>
    <w:rsid w:val="00355542"/>
    <w:rsid w:val="00356747"/>
    <w:rsid w:val="00356808"/>
    <w:rsid w:val="00356C70"/>
    <w:rsid w:val="00357326"/>
    <w:rsid w:val="00360AD4"/>
    <w:rsid w:val="00361504"/>
    <w:rsid w:val="00361A99"/>
    <w:rsid w:val="00362F5C"/>
    <w:rsid w:val="003638A2"/>
    <w:rsid w:val="00363B71"/>
    <w:rsid w:val="0036411A"/>
    <w:rsid w:val="003642D6"/>
    <w:rsid w:val="003646EE"/>
    <w:rsid w:val="00364862"/>
    <w:rsid w:val="00364B2F"/>
    <w:rsid w:val="00364D2D"/>
    <w:rsid w:val="00365576"/>
    <w:rsid w:val="0036562B"/>
    <w:rsid w:val="00365E1A"/>
    <w:rsid w:val="0036660E"/>
    <w:rsid w:val="00367531"/>
    <w:rsid w:val="00370F82"/>
    <w:rsid w:val="0037174C"/>
    <w:rsid w:val="00372131"/>
    <w:rsid w:val="003729E0"/>
    <w:rsid w:val="00373147"/>
    <w:rsid w:val="00374676"/>
    <w:rsid w:val="0037547D"/>
    <w:rsid w:val="00375736"/>
    <w:rsid w:val="003763D1"/>
    <w:rsid w:val="0037677A"/>
    <w:rsid w:val="00377050"/>
    <w:rsid w:val="00377360"/>
    <w:rsid w:val="003801F6"/>
    <w:rsid w:val="00380A22"/>
    <w:rsid w:val="00381850"/>
    <w:rsid w:val="00381B98"/>
    <w:rsid w:val="00381CBA"/>
    <w:rsid w:val="00381EF1"/>
    <w:rsid w:val="00382398"/>
    <w:rsid w:val="0038363A"/>
    <w:rsid w:val="0038420D"/>
    <w:rsid w:val="0038535C"/>
    <w:rsid w:val="00385C0F"/>
    <w:rsid w:val="00385FB5"/>
    <w:rsid w:val="00386EF7"/>
    <w:rsid w:val="003870DD"/>
    <w:rsid w:val="003873A6"/>
    <w:rsid w:val="00387C7C"/>
    <w:rsid w:val="00390505"/>
    <w:rsid w:val="0039079F"/>
    <w:rsid w:val="003909DC"/>
    <w:rsid w:val="00391041"/>
    <w:rsid w:val="003913E2"/>
    <w:rsid w:val="00391A2E"/>
    <w:rsid w:val="00391A9F"/>
    <w:rsid w:val="0039236E"/>
    <w:rsid w:val="003928C8"/>
    <w:rsid w:val="0039403F"/>
    <w:rsid w:val="0039463E"/>
    <w:rsid w:val="00395111"/>
    <w:rsid w:val="0039655F"/>
    <w:rsid w:val="00396DE7"/>
    <w:rsid w:val="003975DD"/>
    <w:rsid w:val="003A198F"/>
    <w:rsid w:val="003A19EC"/>
    <w:rsid w:val="003A2013"/>
    <w:rsid w:val="003A2C0E"/>
    <w:rsid w:val="003A2E92"/>
    <w:rsid w:val="003A370E"/>
    <w:rsid w:val="003A37E5"/>
    <w:rsid w:val="003A3B5C"/>
    <w:rsid w:val="003A577C"/>
    <w:rsid w:val="003A5D8F"/>
    <w:rsid w:val="003A5F90"/>
    <w:rsid w:val="003A65F4"/>
    <w:rsid w:val="003A74B7"/>
    <w:rsid w:val="003B0FB7"/>
    <w:rsid w:val="003B180E"/>
    <w:rsid w:val="003B246E"/>
    <w:rsid w:val="003B3933"/>
    <w:rsid w:val="003B39F2"/>
    <w:rsid w:val="003B3C4A"/>
    <w:rsid w:val="003B40D1"/>
    <w:rsid w:val="003B4D95"/>
    <w:rsid w:val="003B50AF"/>
    <w:rsid w:val="003B5131"/>
    <w:rsid w:val="003B57E7"/>
    <w:rsid w:val="003B5CCA"/>
    <w:rsid w:val="003B5ECB"/>
    <w:rsid w:val="003B6A9A"/>
    <w:rsid w:val="003B6CC0"/>
    <w:rsid w:val="003B75CE"/>
    <w:rsid w:val="003B7D0D"/>
    <w:rsid w:val="003C0F3A"/>
    <w:rsid w:val="003C1950"/>
    <w:rsid w:val="003C1BCB"/>
    <w:rsid w:val="003C23DA"/>
    <w:rsid w:val="003C243C"/>
    <w:rsid w:val="003C30E9"/>
    <w:rsid w:val="003C33D9"/>
    <w:rsid w:val="003C3848"/>
    <w:rsid w:val="003C464C"/>
    <w:rsid w:val="003C57E9"/>
    <w:rsid w:val="003C6414"/>
    <w:rsid w:val="003C66B2"/>
    <w:rsid w:val="003C6F10"/>
    <w:rsid w:val="003C7C02"/>
    <w:rsid w:val="003C7C03"/>
    <w:rsid w:val="003D0AF2"/>
    <w:rsid w:val="003D0C2C"/>
    <w:rsid w:val="003D1041"/>
    <w:rsid w:val="003D2C8D"/>
    <w:rsid w:val="003D30F2"/>
    <w:rsid w:val="003D4CCE"/>
    <w:rsid w:val="003D6AC6"/>
    <w:rsid w:val="003D6C54"/>
    <w:rsid w:val="003D6E8A"/>
    <w:rsid w:val="003E0256"/>
    <w:rsid w:val="003E09F2"/>
    <w:rsid w:val="003E1095"/>
    <w:rsid w:val="003E115F"/>
    <w:rsid w:val="003E267E"/>
    <w:rsid w:val="003E27E3"/>
    <w:rsid w:val="003E35A3"/>
    <w:rsid w:val="003E3B45"/>
    <w:rsid w:val="003E3C94"/>
    <w:rsid w:val="003E447B"/>
    <w:rsid w:val="003E4685"/>
    <w:rsid w:val="003E5947"/>
    <w:rsid w:val="003E5D8B"/>
    <w:rsid w:val="003E5E35"/>
    <w:rsid w:val="003E64F0"/>
    <w:rsid w:val="003E6801"/>
    <w:rsid w:val="003E6B4C"/>
    <w:rsid w:val="003E6D7C"/>
    <w:rsid w:val="003E6D7D"/>
    <w:rsid w:val="003E6E2B"/>
    <w:rsid w:val="003E6E76"/>
    <w:rsid w:val="003E7157"/>
    <w:rsid w:val="003F067A"/>
    <w:rsid w:val="003F135F"/>
    <w:rsid w:val="003F1FBD"/>
    <w:rsid w:val="003F259B"/>
    <w:rsid w:val="003F4080"/>
    <w:rsid w:val="003F423B"/>
    <w:rsid w:val="003F428E"/>
    <w:rsid w:val="003F4528"/>
    <w:rsid w:val="003F4720"/>
    <w:rsid w:val="003F5440"/>
    <w:rsid w:val="003F55FF"/>
    <w:rsid w:val="003F5D56"/>
    <w:rsid w:val="003F74A4"/>
    <w:rsid w:val="00400A0D"/>
    <w:rsid w:val="00400AE2"/>
    <w:rsid w:val="00401813"/>
    <w:rsid w:val="0040242E"/>
    <w:rsid w:val="00402B4C"/>
    <w:rsid w:val="00402E44"/>
    <w:rsid w:val="00403CA9"/>
    <w:rsid w:val="00404571"/>
    <w:rsid w:val="00404DDB"/>
    <w:rsid w:val="004060CD"/>
    <w:rsid w:val="004063E7"/>
    <w:rsid w:val="00406631"/>
    <w:rsid w:val="00406B08"/>
    <w:rsid w:val="00406C73"/>
    <w:rsid w:val="00406FF2"/>
    <w:rsid w:val="00407525"/>
    <w:rsid w:val="00407951"/>
    <w:rsid w:val="00407B0C"/>
    <w:rsid w:val="00410055"/>
    <w:rsid w:val="00410B1E"/>
    <w:rsid w:val="0041139E"/>
    <w:rsid w:val="00412A0E"/>
    <w:rsid w:val="00412A99"/>
    <w:rsid w:val="00412E81"/>
    <w:rsid w:val="00413753"/>
    <w:rsid w:val="00414B1E"/>
    <w:rsid w:val="00414C84"/>
    <w:rsid w:val="0041503B"/>
    <w:rsid w:val="0041507D"/>
    <w:rsid w:val="00417B6E"/>
    <w:rsid w:val="00420A57"/>
    <w:rsid w:val="00421DF7"/>
    <w:rsid w:val="00422003"/>
    <w:rsid w:val="0042264E"/>
    <w:rsid w:val="00423016"/>
    <w:rsid w:val="0042477C"/>
    <w:rsid w:val="004249DF"/>
    <w:rsid w:val="00424A52"/>
    <w:rsid w:val="00424AAE"/>
    <w:rsid w:val="0042595A"/>
    <w:rsid w:val="0042605C"/>
    <w:rsid w:val="0042615F"/>
    <w:rsid w:val="00431019"/>
    <w:rsid w:val="0043136A"/>
    <w:rsid w:val="00432908"/>
    <w:rsid w:val="00432A8C"/>
    <w:rsid w:val="00432E1C"/>
    <w:rsid w:val="00432F08"/>
    <w:rsid w:val="004335E2"/>
    <w:rsid w:val="00434559"/>
    <w:rsid w:val="00434B87"/>
    <w:rsid w:val="00434FE1"/>
    <w:rsid w:val="0043592A"/>
    <w:rsid w:val="00435A96"/>
    <w:rsid w:val="00436B8A"/>
    <w:rsid w:val="00436F9D"/>
    <w:rsid w:val="00437270"/>
    <w:rsid w:val="00442649"/>
    <w:rsid w:val="00442EF8"/>
    <w:rsid w:val="00443385"/>
    <w:rsid w:val="00444212"/>
    <w:rsid w:val="0044521C"/>
    <w:rsid w:val="004459FF"/>
    <w:rsid w:val="00445BF2"/>
    <w:rsid w:val="0045002D"/>
    <w:rsid w:val="00450CAC"/>
    <w:rsid w:val="004516E7"/>
    <w:rsid w:val="004519D5"/>
    <w:rsid w:val="00451B3D"/>
    <w:rsid w:val="004540FA"/>
    <w:rsid w:val="00454725"/>
    <w:rsid w:val="00456864"/>
    <w:rsid w:val="004577F8"/>
    <w:rsid w:val="00457A9B"/>
    <w:rsid w:val="00457D4C"/>
    <w:rsid w:val="00457E4A"/>
    <w:rsid w:val="00461B93"/>
    <w:rsid w:val="00462226"/>
    <w:rsid w:val="0046331E"/>
    <w:rsid w:val="004633FF"/>
    <w:rsid w:val="0046341F"/>
    <w:rsid w:val="0046441B"/>
    <w:rsid w:val="004651C0"/>
    <w:rsid w:val="00465510"/>
    <w:rsid w:val="00465A1F"/>
    <w:rsid w:val="00465C14"/>
    <w:rsid w:val="004668EB"/>
    <w:rsid w:val="004672AF"/>
    <w:rsid w:val="004673A8"/>
    <w:rsid w:val="00467CF8"/>
    <w:rsid w:val="004701EE"/>
    <w:rsid w:val="00470ECE"/>
    <w:rsid w:val="0047106B"/>
    <w:rsid w:val="00471146"/>
    <w:rsid w:val="004726A0"/>
    <w:rsid w:val="004742CD"/>
    <w:rsid w:val="00474632"/>
    <w:rsid w:val="00474AE9"/>
    <w:rsid w:val="004752AE"/>
    <w:rsid w:val="0047567E"/>
    <w:rsid w:val="00475F4A"/>
    <w:rsid w:val="00476AC5"/>
    <w:rsid w:val="00476D24"/>
    <w:rsid w:val="004771ED"/>
    <w:rsid w:val="00477AC1"/>
    <w:rsid w:val="00480078"/>
    <w:rsid w:val="0048087D"/>
    <w:rsid w:val="00481E08"/>
    <w:rsid w:val="00482138"/>
    <w:rsid w:val="00483737"/>
    <w:rsid w:val="0048473B"/>
    <w:rsid w:val="00486243"/>
    <w:rsid w:val="004866EF"/>
    <w:rsid w:val="0049108C"/>
    <w:rsid w:val="004917C0"/>
    <w:rsid w:val="00491F9A"/>
    <w:rsid w:val="00492148"/>
    <w:rsid w:val="00493083"/>
    <w:rsid w:val="00493944"/>
    <w:rsid w:val="00493FA5"/>
    <w:rsid w:val="00494118"/>
    <w:rsid w:val="00494666"/>
    <w:rsid w:val="004970E3"/>
    <w:rsid w:val="004972ED"/>
    <w:rsid w:val="004A021F"/>
    <w:rsid w:val="004A0D53"/>
    <w:rsid w:val="004A0F1F"/>
    <w:rsid w:val="004A1839"/>
    <w:rsid w:val="004A2731"/>
    <w:rsid w:val="004A2A2D"/>
    <w:rsid w:val="004A2A82"/>
    <w:rsid w:val="004A3154"/>
    <w:rsid w:val="004A3B1B"/>
    <w:rsid w:val="004A4009"/>
    <w:rsid w:val="004A402D"/>
    <w:rsid w:val="004A409C"/>
    <w:rsid w:val="004A594D"/>
    <w:rsid w:val="004A5B5C"/>
    <w:rsid w:val="004A5B7E"/>
    <w:rsid w:val="004A6097"/>
    <w:rsid w:val="004A6BE3"/>
    <w:rsid w:val="004A6C45"/>
    <w:rsid w:val="004A6E83"/>
    <w:rsid w:val="004A79DE"/>
    <w:rsid w:val="004B0ECF"/>
    <w:rsid w:val="004B23A6"/>
    <w:rsid w:val="004B2D30"/>
    <w:rsid w:val="004B3901"/>
    <w:rsid w:val="004B507B"/>
    <w:rsid w:val="004B514B"/>
    <w:rsid w:val="004B6C22"/>
    <w:rsid w:val="004B6D4D"/>
    <w:rsid w:val="004C0C7B"/>
    <w:rsid w:val="004C15FC"/>
    <w:rsid w:val="004C1AF1"/>
    <w:rsid w:val="004C1F99"/>
    <w:rsid w:val="004C283C"/>
    <w:rsid w:val="004C2B61"/>
    <w:rsid w:val="004C3002"/>
    <w:rsid w:val="004C3668"/>
    <w:rsid w:val="004C55A3"/>
    <w:rsid w:val="004C5625"/>
    <w:rsid w:val="004C577F"/>
    <w:rsid w:val="004C58AA"/>
    <w:rsid w:val="004C5B7B"/>
    <w:rsid w:val="004C69BE"/>
    <w:rsid w:val="004C6C1A"/>
    <w:rsid w:val="004C6C92"/>
    <w:rsid w:val="004C73A9"/>
    <w:rsid w:val="004C75C2"/>
    <w:rsid w:val="004D045C"/>
    <w:rsid w:val="004D05D9"/>
    <w:rsid w:val="004D0662"/>
    <w:rsid w:val="004D091D"/>
    <w:rsid w:val="004D1A08"/>
    <w:rsid w:val="004D28D6"/>
    <w:rsid w:val="004D2B3D"/>
    <w:rsid w:val="004D2C89"/>
    <w:rsid w:val="004D4038"/>
    <w:rsid w:val="004D465F"/>
    <w:rsid w:val="004D47D0"/>
    <w:rsid w:val="004D47FD"/>
    <w:rsid w:val="004D5415"/>
    <w:rsid w:val="004D5DD4"/>
    <w:rsid w:val="004D6D20"/>
    <w:rsid w:val="004D6F5E"/>
    <w:rsid w:val="004D7252"/>
    <w:rsid w:val="004D7822"/>
    <w:rsid w:val="004D7D9A"/>
    <w:rsid w:val="004E2227"/>
    <w:rsid w:val="004E2E53"/>
    <w:rsid w:val="004E2EC9"/>
    <w:rsid w:val="004E494B"/>
    <w:rsid w:val="004E57D5"/>
    <w:rsid w:val="004E6122"/>
    <w:rsid w:val="004E6C8F"/>
    <w:rsid w:val="004E7915"/>
    <w:rsid w:val="004F0137"/>
    <w:rsid w:val="004F1ECE"/>
    <w:rsid w:val="004F1F7B"/>
    <w:rsid w:val="004F315B"/>
    <w:rsid w:val="004F33F6"/>
    <w:rsid w:val="004F38A1"/>
    <w:rsid w:val="004F4085"/>
    <w:rsid w:val="004F4931"/>
    <w:rsid w:val="004F4B9A"/>
    <w:rsid w:val="004F4E8D"/>
    <w:rsid w:val="004F5127"/>
    <w:rsid w:val="004F56FA"/>
    <w:rsid w:val="004F5890"/>
    <w:rsid w:val="004F5B5A"/>
    <w:rsid w:val="004F5C24"/>
    <w:rsid w:val="004F63A3"/>
    <w:rsid w:val="004F6640"/>
    <w:rsid w:val="004F67BA"/>
    <w:rsid w:val="004F7576"/>
    <w:rsid w:val="0050045C"/>
    <w:rsid w:val="005004E7"/>
    <w:rsid w:val="005021DC"/>
    <w:rsid w:val="005023A4"/>
    <w:rsid w:val="0050242D"/>
    <w:rsid w:val="00502ABF"/>
    <w:rsid w:val="00502F93"/>
    <w:rsid w:val="00503813"/>
    <w:rsid w:val="0050390F"/>
    <w:rsid w:val="00504385"/>
    <w:rsid w:val="00504500"/>
    <w:rsid w:val="00504606"/>
    <w:rsid w:val="005047D5"/>
    <w:rsid w:val="00504985"/>
    <w:rsid w:val="005049DF"/>
    <w:rsid w:val="00504B93"/>
    <w:rsid w:val="00505413"/>
    <w:rsid w:val="0050558F"/>
    <w:rsid w:val="0050601B"/>
    <w:rsid w:val="00511D5C"/>
    <w:rsid w:val="00512F06"/>
    <w:rsid w:val="005144C8"/>
    <w:rsid w:val="00514712"/>
    <w:rsid w:val="005148B7"/>
    <w:rsid w:val="00514DE7"/>
    <w:rsid w:val="00515466"/>
    <w:rsid w:val="00515691"/>
    <w:rsid w:val="00515770"/>
    <w:rsid w:val="0051628A"/>
    <w:rsid w:val="0051644E"/>
    <w:rsid w:val="005171D1"/>
    <w:rsid w:val="00517FE0"/>
    <w:rsid w:val="00521DB7"/>
    <w:rsid w:val="0052292A"/>
    <w:rsid w:val="005230DB"/>
    <w:rsid w:val="0052323F"/>
    <w:rsid w:val="00523439"/>
    <w:rsid w:val="0052351A"/>
    <w:rsid w:val="005240BE"/>
    <w:rsid w:val="005274B6"/>
    <w:rsid w:val="0052783C"/>
    <w:rsid w:val="00527889"/>
    <w:rsid w:val="00527E05"/>
    <w:rsid w:val="005302C0"/>
    <w:rsid w:val="00531241"/>
    <w:rsid w:val="005321EF"/>
    <w:rsid w:val="005329B6"/>
    <w:rsid w:val="00532AEC"/>
    <w:rsid w:val="00532C4A"/>
    <w:rsid w:val="00533867"/>
    <w:rsid w:val="00533D09"/>
    <w:rsid w:val="005365FB"/>
    <w:rsid w:val="00536808"/>
    <w:rsid w:val="00536F2A"/>
    <w:rsid w:val="00537248"/>
    <w:rsid w:val="005379BC"/>
    <w:rsid w:val="00541030"/>
    <w:rsid w:val="005415C5"/>
    <w:rsid w:val="0054327D"/>
    <w:rsid w:val="005434BB"/>
    <w:rsid w:val="0054414D"/>
    <w:rsid w:val="00544151"/>
    <w:rsid w:val="00544337"/>
    <w:rsid w:val="005446CA"/>
    <w:rsid w:val="00545EED"/>
    <w:rsid w:val="00545F1B"/>
    <w:rsid w:val="005461D6"/>
    <w:rsid w:val="0054665D"/>
    <w:rsid w:val="00546B0B"/>
    <w:rsid w:val="00546EE8"/>
    <w:rsid w:val="00547023"/>
    <w:rsid w:val="005503D2"/>
    <w:rsid w:val="00551373"/>
    <w:rsid w:val="00551929"/>
    <w:rsid w:val="00552161"/>
    <w:rsid w:val="00552166"/>
    <w:rsid w:val="005522EA"/>
    <w:rsid w:val="00552557"/>
    <w:rsid w:val="00552712"/>
    <w:rsid w:val="00553A62"/>
    <w:rsid w:val="00553A71"/>
    <w:rsid w:val="0055547D"/>
    <w:rsid w:val="005556A9"/>
    <w:rsid w:val="005561DB"/>
    <w:rsid w:val="00556FEE"/>
    <w:rsid w:val="005578CA"/>
    <w:rsid w:val="00557AE1"/>
    <w:rsid w:val="00560E25"/>
    <w:rsid w:val="00561E12"/>
    <w:rsid w:val="00562D5D"/>
    <w:rsid w:val="00563356"/>
    <w:rsid w:val="00563B3B"/>
    <w:rsid w:val="00565399"/>
    <w:rsid w:val="00565466"/>
    <w:rsid w:val="00565D01"/>
    <w:rsid w:val="005661C8"/>
    <w:rsid w:val="00566208"/>
    <w:rsid w:val="0056768B"/>
    <w:rsid w:val="00567BFB"/>
    <w:rsid w:val="00571556"/>
    <w:rsid w:val="005722D9"/>
    <w:rsid w:val="00574120"/>
    <w:rsid w:val="00574E27"/>
    <w:rsid w:val="0057561B"/>
    <w:rsid w:val="005757EE"/>
    <w:rsid w:val="00575887"/>
    <w:rsid w:val="00576EED"/>
    <w:rsid w:val="005809D0"/>
    <w:rsid w:val="00580EBC"/>
    <w:rsid w:val="00581D87"/>
    <w:rsid w:val="00581F8F"/>
    <w:rsid w:val="005833DB"/>
    <w:rsid w:val="005843AC"/>
    <w:rsid w:val="00585FE1"/>
    <w:rsid w:val="0058634B"/>
    <w:rsid w:val="00586837"/>
    <w:rsid w:val="00586B4B"/>
    <w:rsid w:val="00586CD0"/>
    <w:rsid w:val="0059061A"/>
    <w:rsid w:val="00590AA2"/>
    <w:rsid w:val="005912DF"/>
    <w:rsid w:val="00592240"/>
    <w:rsid w:val="00592BCA"/>
    <w:rsid w:val="00594FB8"/>
    <w:rsid w:val="005953D1"/>
    <w:rsid w:val="005955A8"/>
    <w:rsid w:val="005957E6"/>
    <w:rsid w:val="00595AC7"/>
    <w:rsid w:val="005961FB"/>
    <w:rsid w:val="00597CBB"/>
    <w:rsid w:val="005A03F8"/>
    <w:rsid w:val="005A08C8"/>
    <w:rsid w:val="005A1716"/>
    <w:rsid w:val="005A206E"/>
    <w:rsid w:val="005A220B"/>
    <w:rsid w:val="005A31D5"/>
    <w:rsid w:val="005A4860"/>
    <w:rsid w:val="005A4A0B"/>
    <w:rsid w:val="005A4A7A"/>
    <w:rsid w:val="005A6243"/>
    <w:rsid w:val="005A704B"/>
    <w:rsid w:val="005A71B5"/>
    <w:rsid w:val="005B038A"/>
    <w:rsid w:val="005B055E"/>
    <w:rsid w:val="005B0B0A"/>
    <w:rsid w:val="005B0CCD"/>
    <w:rsid w:val="005B0F89"/>
    <w:rsid w:val="005B15F2"/>
    <w:rsid w:val="005B1ACB"/>
    <w:rsid w:val="005B1DF6"/>
    <w:rsid w:val="005B1E73"/>
    <w:rsid w:val="005B28E7"/>
    <w:rsid w:val="005B292F"/>
    <w:rsid w:val="005B2C65"/>
    <w:rsid w:val="005B405A"/>
    <w:rsid w:val="005B4B9D"/>
    <w:rsid w:val="005B5282"/>
    <w:rsid w:val="005B565C"/>
    <w:rsid w:val="005B5970"/>
    <w:rsid w:val="005B695D"/>
    <w:rsid w:val="005B6B9F"/>
    <w:rsid w:val="005B7657"/>
    <w:rsid w:val="005B7790"/>
    <w:rsid w:val="005B7AE5"/>
    <w:rsid w:val="005B7FD8"/>
    <w:rsid w:val="005C0059"/>
    <w:rsid w:val="005C083E"/>
    <w:rsid w:val="005C0A96"/>
    <w:rsid w:val="005C100A"/>
    <w:rsid w:val="005C121B"/>
    <w:rsid w:val="005C1ED9"/>
    <w:rsid w:val="005C2960"/>
    <w:rsid w:val="005C4D40"/>
    <w:rsid w:val="005C76D9"/>
    <w:rsid w:val="005C7735"/>
    <w:rsid w:val="005D09CF"/>
    <w:rsid w:val="005D1120"/>
    <w:rsid w:val="005D2788"/>
    <w:rsid w:val="005D2C4F"/>
    <w:rsid w:val="005D36D3"/>
    <w:rsid w:val="005D3709"/>
    <w:rsid w:val="005D4C3C"/>
    <w:rsid w:val="005D57FF"/>
    <w:rsid w:val="005D5AFB"/>
    <w:rsid w:val="005D5B80"/>
    <w:rsid w:val="005D6AA7"/>
    <w:rsid w:val="005D6B72"/>
    <w:rsid w:val="005D6CA4"/>
    <w:rsid w:val="005D71C8"/>
    <w:rsid w:val="005E0070"/>
    <w:rsid w:val="005E0078"/>
    <w:rsid w:val="005E1D7A"/>
    <w:rsid w:val="005E2605"/>
    <w:rsid w:val="005E2A11"/>
    <w:rsid w:val="005E3327"/>
    <w:rsid w:val="005E3960"/>
    <w:rsid w:val="005E3DEA"/>
    <w:rsid w:val="005E4494"/>
    <w:rsid w:val="005E56E4"/>
    <w:rsid w:val="005E5ECC"/>
    <w:rsid w:val="005E644C"/>
    <w:rsid w:val="005E660E"/>
    <w:rsid w:val="005E68EF"/>
    <w:rsid w:val="005E6BA4"/>
    <w:rsid w:val="005E6D5D"/>
    <w:rsid w:val="005F01A3"/>
    <w:rsid w:val="005F0614"/>
    <w:rsid w:val="005F1150"/>
    <w:rsid w:val="005F19AF"/>
    <w:rsid w:val="005F1E3B"/>
    <w:rsid w:val="005F226F"/>
    <w:rsid w:val="005F243E"/>
    <w:rsid w:val="005F275C"/>
    <w:rsid w:val="005F3E54"/>
    <w:rsid w:val="005F486C"/>
    <w:rsid w:val="005F50A1"/>
    <w:rsid w:val="005F64C0"/>
    <w:rsid w:val="005F7F21"/>
    <w:rsid w:val="00600793"/>
    <w:rsid w:val="00601B3F"/>
    <w:rsid w:val="00601C6D"/>
    <w:rsid w:val="00602037"/>
    <w:rsid w:val="006025FB"/>
    <w:rsid w:val="00602930"/>
    <w:rsid w:val="00602B01"/>
    <w:rsid w:val="00603AF5"/>
    <w:rsid w:val="00603C39"/>
    <w:rsid w:val="006041FC"/>
    <w:rsid w:val="0060459D"/>
    <w:rsid w:val="00604A91"/>
    <w:rsid w:val="00607445"/>
    <w:rsid w:val="00607985"/>
    <w:rsid w:val="00607D4D"/>
    <w:rsid w:val="00610B52"/>
    <w:rsid w:val="0061256B"/>
    <w:rsid w:val="00612A0B"/>
    <w:rsid w:val="00613CFA"/>
    <w:rsid w:val="00614324"/>
    <w:rsid w:val="006153AA"/>
    <w:rsid w:val="00615ECA"/>
    <w:rsid w:val="00617078"/>
    <w:rsid w:val="0061712E"/>
    <w:rsid w:val="006171F9"/>
    <w:rsid w:val="00617394"/>
    <w:rsid w:val="006176AD"/>
    <w:rsid w:val="00617F71"/>
    <w:rsid w:val="006212F1"/>
    <w:rsid w:val="006217BE"/>
    <w:rsid w:val="00622855"/>
    <w:rsid w:val="00623393"/>
    <w:rsid w:val="0062399A"/>
    <w:rsid w:val="00625627"/>
    <w:rsid w:val="006300C8"/>
    <w:rsid w:val="00630151"/>
    <w:rsid w:val="00631314"/>
    <w:rsid w:val="00633565"/>
    <w:rsid w:val="00633ADB"/>
    <w:rsid w:val="00634A0B"/>
    <w:rsid w:val="006359A1"/>
    <w:rsid w:val="00636758"/>
    <w:rsid w:val="006400EF"/>
    <w:rsid w:val="006403BE"/>
    <w:rsid w:val="006406A8"/>
    <w:rsid w:val="006419A7"/>
    <w:rsid w:val="00642A69"/>
    <w:rsid w:val="00642CA3"/>
    <w:rsid w:val="00643EF4"/>
    <w:rsid w:val="00644582"/>
    <w:rsid w:val="00645D98"/>
    <w:rsid w:val="006466FA"/>
    <w:rsid w:val="0064681A"/>
    <w:rsid w:val="00646FAE"/>
    <w:rsid w:val="006471E8"/>
    <w:rsid w:val="0065075A"/>
    <w:rsid w:val="00650A56"/>
    <w:rsid w:val="00651266"/>
    <w:rsid w:val="00651489"/>
    <w:rsid w:val="00651707"/>
    <w:rsid w:val="006526BB"/>
    <w:rsid w:val="0065273E"/>
    <w:rsid w:val="0065293B"/>
    <w:rsid w:val="006529EB"/>
    <w:rsid w:val="00652A82"/>
    <w:rsid w:val="0065308A"/>
    <w:rsid w:val="00653CFB"/>
    <w:rsid w:val="006543A9"/>
    <w:rsid w:val="0065457E"/>
    <w:rsid w:val="0065584A"/>
    <w:rsid w:val="00657ED6"/>
    <w:rsid w:val="0066032D"/>
    <w:rsid w:val="006604B0"/>
    <w:rsid w:val="00660D28"/>
    <w:rsid w:val="00660E8B"/>
    <w:rsid w:val="006613C5"/>
    <w:rsid w:val="006621BB"/>
    <w:rsid w:val="006639B0"/>
    <w:rsid w:val="00663B4B"/>
    <w:rsid w:val="006649DE"/>
    <w:rsid w:val="00664E35"/>
    <w:rsid w:val="00664EF0"/>
    <w:rsid w:val="00665378"/>
    <w:rsid w:val="0066629B"/>
    <w:rsid w:val="00666D59"/>
    <w:rsid w:val="00666D8D"/>
    <w:rsid w:val="00666F02"/>
    <w:rsid w:val="00667A3D"/>
    <w:rsid w:val="0067125F"/>
    <w:rsid w:val="006713D7"/>
    <w:rsid w:val="00671CB6"/>
    <w:rsid w:val="00671CC9"/>
    <w:rsid w:val="00671D20"/>
    <w:rsid w:val="00672770"/>
    <w:rsid w:val="00672ED9"/>
    <w:rsid w:val="00673019"/>
    <w:rsid w:val="0067323D"/>
    <w:rsid w:val="00674158"/>
    <w:rsid w:val="006756EE"/>
    <w:rsid w:val="0067596F"/>
    <w:rsid w:val="00675B7D"/>
    <w:rsid w:val="00675CAA"/>
    <w:rsid w:val="00676445"/>
    <w:rsid w:val="00677D20"/>
    <w:rsid w:val="00680881"/>
    <w:rsid w:val="00682E59"/>
    <w:rsid w:val="00682E81"/>
    <w:rsid w:val="00683760"/>
    <w:rsid w:val="00683B48"/>
    <w:rsid w:val="00683F91"/>
    <w:rsid w:val="006849B6"/>
    <w:rsid w:val="00684E85"/>
    <w:rsid w:val="00685B5C"/>
    <w:rsid w:val="006861A2"/>
    <w:rsid w:val="00686A0B"/>
    <w:rsid w:val="0068788B"/>
    <w:rsid w:val="00690E5F"/>
    <w:rsid w:val="006913A8"/>
    <w:rsid w:val="00692022"/>
    <w:rsid w:val="006927E6"/>
    <w:rsid w:val="00692973"/>
    <w:rsid w:val="00693432"/>
    <w:rsid w:val="0069483E"/>
    <w:rsid w:val="00694E4E"/>
    <w:rsid w:val="006957E0"/>
    <w:rsid w:val="00696538"/>
    <w:rsid w:val="006A02D1"/>
    <w:rsid w:val="006A044F"/>
    <w:rsid w:val="006A1B53"/>
    <w:rsid w:val="006A1FD7"/>
    <w:rsid w:val="006A37D8"/>
    <w:rsid w:val="006A4007"/>
    <w:rsid w:val="006A480B"/>
    <w:rsid w:val="006A4970"/>
    <w:rsid w:val="006A505D"/>
    <w:rsid w:val="006A53D5"/>
    <w:rsid w:val="006A5F37"/>
    <w:rsid w:val="006A6FBB"/>
    <w:rsid w:val="006A7591"/>
    <w:rsid w:val="006B083F"/>
    <w:rsid w:val="006B0B99"/>
    <w:rsid w:val="006B142B"/>
    <w:rsid w:val="006B1921"/>
    <w:rsid w:val="006B293D"/>
    <w:rsid w:val="006B3AAE"/>
    <w:rsid w:val="006B4583"/>
    <w:rsid w:val="006B4827"/>
    <w:rsid w:val="006B4958"/>
    <w:rsid w:val="006B50EF"/>
    <w:rsid w:val="006B5713"/>
    <w:rsid w:val="006B5FC1"/>
    <w:rsid w:val="006B7067"/>
    <w:rsid w:val="006B7679"/>
    <w:rsid w:val="006B779E"/>
    <w:rsid w:val="006C1088"/>
    <w:rsid w:val="006C1158"/>
    <w:rsid w:val="006C1763"/>
    <w:rsid w:val="006C1FF9"/>
    <w:rsid w:val="006C2A74"/>
    <w:rsid w:val="006C2BAF"/>
    <w:rsid w:val="006C2DA0"/>
    <w:rsid w:val="006C32CC"/>
    <w:rsid w:val="006C4F8D"/>
    <w:rsid w:val="006C5774"/>
    <w:rsid w:val="006D01FD"/>
    <w:rsid w:val="006D043D"/>
    <w:rsid w:val="006D16A1"/>
    <w:rsid w:val="006D1ED8"/>
    <w:rsid w:val="006D3BFF"/>
    <w:rsid w:val="006D3FF8"/>
    <w:rsid w:val="006D442E"/>
    <w:rsid w:val="006D5BD1"/>
    <w:rsid w:val="006D7A57"/>
    <w:rsid w:val="006D7F9A"/>
    <w:rsid w:val="006E00DD"/>
    <w:rsid w:val="006E0E9C"/>
    <w:rsid w:val="006E1775"/>
    <w:rsid w:val="006E19DB"/>
    <w:rsid w:val="006E1C0A"/>
    <w:rsid w:val="006E1E12"/>
    <w:rsid w:val="006E2B11"/>
    <w:rsid w:val="006E2CF7"/>
    <w:rsid w:val="006E2E62"/>
    <w:rsid w:val="006E4294"/>
    <w:rsid w:val="006E477C"/>
    <w:rsid w:val="006E4A24"/>
    <w:rsid w:val="006E4A66"/>
    <w:rsid w:val="006E5486"/>
    <w:rsid w:val="006E606C"/>
    <w:rsid w:val="006E6EB9"/>
    <w:rsid w:val="006E7630"/>
    <w:rsid w:val="006F053A"/>
    <w:rsid w:val="006F2B98"/>
    <w:rsid w:val="006F2D60"/>
    <w:rsid w:val="006F3257"/>
    <w:rsid w:val="006F3E2B"/>
    <w:rsid w:val="006F471F"/>
    <w:rsid w:val="006F4ED3"/>
    <w:rsid w:val="006F4F46"/>
    <w:rsid w:val="006F5500"/>
    <w:rsid w:val="006F6D00"/>
    <w:rsid w:val="006F71CA"/>
    <w:rsid w:val="007000BF"/>
    <w:rsid w:val="00700948"/>
    <w:rsid w:val="00700F03"/>
    <w:rsid w:val="00701132"/>
    <w:rsid w:val="00702021"/>
    <w:rsid w:val="007027E0"/>
    <w:rsid w:val="00702812"/>
    <w:rsid w:val="00702AC4"/>
    <w:rsid w:val="00703457"/>
    <w:rsid w:val="007039C2"/>
    <w:rsid w:val="00704B31"/>
    <w:rsid w:val="0070538F"/>
    <w:rsid w:val="007054CB"/>
    <w:rsid w:val="00705FDB"/>
    <w:rsid w:val="007076DD"/>
    <w:rsid w:val="00707900"/>
    <w:rsid w:val="00707B56"/>
    <w:rsid w:val="00710295"/>
    <w:rsid w:val="00710462"/>
    <w:rsid w:val="007129A8"/>
    <w:rsid w:val="00713F09"/>
    <w:rsid w:val="00714B5D"/>
    <w:rsid w:val="00716501"/>
    <w:rsid w:val="007167B5"/>
    <w:rsid w:val="007174F5"/>
    <w:rsid w:val="007207E3"/>
    <w:rsid w:val="00721AFB"/>
    <w:rsid w:val="00721FD7"/>
    <w:rsid w:val="007244CF"/>
    <w:rsid w:val="007245FB"/>
    <w:rsid w:val="00724667"/>
    <w:rsid w:val="00724725"/>
    <w:rsid w:val="00724A1B"/>
    <w:rsid w:val="00724A28"/>
    <w:rsid w:val="0072523D"/>
    <w:rsid w:val="007252B3"/>
    <w:rsid w:val="00725A65"/>
    <w:rsid w:val="00725F64"/>
    <w:rsid w:val="007265EF"/>
    <w:rsid w:val="00726DF4"/>
    <w:rsid w:val="00726E75"/>
    <w:rsid w:val="00726ED9"/>
    <w:rsid w:val="00727209"/>
    <w:rsid w:val="00727DB5"/>
    <w:rsid w:val="007313D4"/>
    <w:rsid w:val="007314CE"/>
    <w:rsid w:val="00732261"/>
    <w:rsid w:val="007326FE"/>
    <w:rsid w:val="00732841"/>
    <w:rsid w:val="00732860"/>
    <w:rsid w:val="00732961"/>
    <w:rsid w:val="00732E53"/>
    <w:rsid w:val="00732E5A"/>
    <w:rsid w:val="00733022"/>
    <w:rsid w:val="007340C2"/>
    <w:rsid w:val="0073463C"/>
    <w:rsid w:val="00734650"/>
    <w:rsid w:val="00734C58"/>
    <w:rsid w:val="00734EA6"/>
    <w:rsid w:val="00734F71"/>
    <w:rsid w:val="0073573C"/>
    <w:rsid w:val="007361C2"/>
    <w:rsid w:val="0073637F"/>
    <w:rsid w:val="00736D46"/>
    <w:rsid w:val="007377A3"/>
    <w:rsid w:val="007403AF"/>
    <w:rsid w:val="007407CB"/>
    <w:rsid w:val="007415D3"/>
    <w:rsid w:val="00741E40"/>
    <w:rsid w:val="007428DB"/>
    <w:rsid w:val="00742C98"/>
    <w:rsid w:val="00743FF1"/>
    <w:rsid w:val="00745D1A"/>
    <w:rsid w:val="007461D8"/>
    <w:rsid w:val="00746D3F"/>
    <w:rsid w:val="00747769"/>
    <w:rsid w:val="00747E8C"/>
    <w:rsid w:val="00750C53"/>
    <w:rsid w:val="00750D37"/>
    <w:rsid w:val="007520A4"/>
    <w:rsid w:val="007520FB"/>
    <w:rsid w:val="0075216A"/>
    <w:rsid w:val="0075356B"/>
    <w:rsid w:val="00753893"/>
    <w:rsid w:val="00753A94"/>
    <w:rsid w:val="00754828"/>
    <w:rsid w:val="00754C8C"/>
    <w:rsid w:val="007553A8"/>
    <w:rsid w:val="00755E5D"/>
    <w:rsid w:val="0075683C"/>
    <w:rsid w:val="007568C2"/>
    <w:rsid w:val="00756CF4"/>
    <w:rsid w:val="007616EA"/>
    <w:rsid w:val="00761E57"/>
    <w:rsid w:val="007629C6"/>
    <w:rsid w:val="00763902"/>
    <w:rsid w:val="007646E9"/>
    <w:rsid w:val="00764D78"/>
    <w:rsid w:val="0076527A"/>
    <w:rsid w:val="007664B1"/>
    <w:rsid w:val="00766C88"/>
    <w:rsid w:val="00770EE7"/>
    <w:rsid w:val="00771C6A"/>
    <w:rsid w:val="00772461"/>
    <w:rsid w:val="00772DAD"/>
    <w:rsid w:val="0077354E"/>
    <w:rsid w:val="0077586E"/>
    <w:rsid w:val="00777F33"/>
    <w:rsid w:val="007801BA"/>
    <w:rsid w:val="007803A5"/>
    <w:rsid w:val="007807BB"/>
    <w:rsid w:val="007817C1"/>
    <w:rsid w:val="00782013"/>
    <w:rsid w:val="00782D15"/>
    <w:rsid w:val="007831C6"/>
    <w:rsid w:val="0078326D"/>
    <w:rsid w:val="007835E1"/>
    <w:rsid w:val="007849D6"/>
    <w:rsid w:val="00784B1C"/>
    <w:rsid w:val="00784C41"/>
    <w:rsid w:val="00785727"/>
    <w:rsid w:val="00785C40"/>
    <w:rsid w:val="0078618B"/>
    <w:rsid w:val="00786340"/>
    <w:rsid w:val="00786B33"/>
    <w:rsid w:val="0078730E"/>
    <w:rsid w:val="00787523"/>
    <w:rsid w:val="00787683"/>
    <w:rsid w:val="00787EEB"/>
    <w:rsid w:val="007903F6"/>
    <w:rsid w:val="00790F66"/>
    <w:rsid w:val="00791A08"/>
    <w:rsid w:val="007922B8"/>
    <w:rsid w:val="00792492"/>
    <w:rsid w:val="00793764"/>
    <w:rsid w:val="007940CD"/>
    <w:rsid w:val="007941F4"/>
    <w:rsid w:val="00795717"/>
    <w:rsid w:val="00795D11"/>
    <w:rsid w:val="007963EB"/>
    <w:rsid w:val="007964DF"/>
    <w:rsid w:val="00796B4D"/>
    <w:rsid w:val="00796C52"/>
    <w:rsid w:val="00797907"/>
    <w:rsid w:val="007A1162"/>
    <w:rsid w:val="007A22E6"/>
    <w:rsid w:val="007A28FF"/>
    <w:rsid w:val="007A2A01"/>
    <w:rsid w:val="007A3364"/>
    <w:rsid w:val="007A40AD"/>
    <w:rsid w:val="007A4AA9"/>
    <w:rsid w:val="007A4F48"/>
    <w:rsid w:val="007A5ABB"/>
    <w:rsid w:val="007A6C39"/>
    <w:rsid w:val="007A7247"/>
    <w:rsid w:val="007B05AE"/>
    <w:rsid w:val="007B0DA3"/>
    <w:rsid w:val="007B18AE"/>
    <w:rsid w:val="007B1D4E"/>
    <w:rsid w:val="007B247B"/>
    <w:rsid w:val="007B29DF"/>
    <w:rsid w:val="007B2ED6"/>
    <w:rsid w:val="007B2FE4"/>
    <w:rsid w:val="007B30C0"/>
    <w:rsid w:val="007B350C"/>
    <w:rsid w:val="007B37DE"/>
    <w:rsid w:val="007B382C"/>
    <w:rsid w:val="007B4A80"/>
    <w:rsid w:val="007B50DD"/>
    <w:rsid w:val="007B5716"/>
    <w:rsid w:val="007B65C0"/>
    <w:rsid w:val="007B6D06"/>
    <w:rsid w:val="007B6D17"/>
    <w:rsid w:val="007B6D74"/>
    <w:rsid w:val="007C0C8B"/>
    <w:rsid w:val="007C12B8"/>
    <w:rsid w:val="007C175F"/>
    <w:rsid w:val="007C29CE"/>
    <w:rsid w:val="007C40F1"/>
    <w:rsid w:val="007C54CC"/>
    <w:rsid w:val="007C66FA"/>
    <w:rsid w:val="007C6F69"/>
    <w:rsid w:val="007C72EA"/>
    <w:rsid w:val="007C74BA"/>
    <w:rsid w:val="007C75B5"/>
    <w:rsid w:val="007C77AB"/>
    <w:rsid w:val="007C77BC"/>
    <w:rsid w:val="007C7F63"/>
    <w:rsid w:val="007D0550"/>
    <w:rsid w:val="007D06A5"/>
    <w:rsid w:val="007D0CAE"/>
    <w:rsid w:val="007D0DA0"/>
    <w:rsid w:val="007D1961"/>
    <w:rsid w:val="007D1A5A"/>
    <w:rsid w:val="007D1CB8"/>
    <w:rsid w:val="007D1F1D"/>
    <w:rsid w:val="007D216A"/>
    <w:rsid w:val="007D29BC"/>
    <w:rsid w:val="007D2F3A"/>
    <w:rsid w:val="007D35D8"/>
    <w:rsid w:val="007D3BF8"/>
    <w:rsid w:val="007D4D6B"/>
    <w:rsid w:val="007D60E3"/>
    <w:rsid w:val="007D6143"/>
    <w:rsid w:val="007D6A86"/>
    <w:rsid w:val="007D7BB3"/>
    <w:rsid w:val="007E0321"/>
    <w:rsid w:val="007E0594"/>
    <w:rsid w:val="007E0C6A"/>
    <w:rsid w:val="007E1876"/>
    <w:rsid w:val="007E2F8B"/>
    <w:rsid w:val="007E313E"/>
    <w:rsid w:val="007E53C7"/>
    <w:rsid w:val="007E55C8"/>
    <w:rsid w:val="007E5CE0"/>
    <w:rsid w:val="007E795D"/>
    <w:rsid w:val="007F100A"/>
    <w:rsid w:val="007F2F4E"/>
    <w:rsid w:val="007F510A"/>
    <w:rsid w:val="007F56DE"/>
    <w:rsid w:val="007F57E8"/>
    <w:rsid w:val="007F6A30"/>
    <w:rsid w:val="007F6B09"/>
    <w:rsid w:val="007F7B44"/>
    <w:rsid w:val="007F7F9C"/>
    <w:rsid w:val="008000DF"/>
    <w:rsid w:val="00800D72"/>
    <w:rsid w:val="00801270"/>
    <w:rsid w:val="0080154B"/>
    <w:rsid w:val="00803135"/>
    <w:rsid w:val="00803CE4"/>
    <w:rsid w:val="00805276"/>
    <w:rsid w:val="00805E39"/>
    <w:rsid w:val="00806161"/>
    <w:rsid w:val="00806384"/>
    <w:rsid w:val="00806437"/>
    <w:rsid w:val="008069DB"/>
    <w:rsid w:val="00810EFC"/>
    <w:rsid w:val="008119AE"/>
    <w:rsid w:val="00812C4C"/>
    <w:rsid w:val="00812D00"/>
    <w:rsid w:val="00813162"/>
    <w:rsid w:val="0081329A"/>
    <w:rsid w:val="0081348B"/>
    <w:rsid w:val="008139B8"/>
    <w:rsid w:val="00814138"/>
    <w:rsid w:val="0081415E"/>
    <w:rsid w:val="00815412"/>
    <w:rsid w:val="00817242"/>
    <w:rsid w:val="00817EB3"/>
    <w:rsid w:val="008218F0"/>
    <w:rsid w:val="00822EFA"/>
    <w:rsid w:val="0082323B"/>
    <w:rsid w:val="0082348B"/>
    <w:rsid w:val="008236A4"/>
    <w:rsid w:val="00824F5C"/>
    <w:rsid w:val="008250BB"/>
    <w:rsid w:val="00825204"/>
    <w:rsid w:val="0082582D"/>
    <w:rsid w:val="00825E74"/>
    <w:rsid w:val="00827768"/>
    <w:rsid w:val="00827B08"/>
    <w:rsid w:val="008301C1"/>
    <w:rsid w:val="00830288"/>
    <w:rsid w:val="0083051C"/>
    <w:rsid w:val="008314E9"/>
    <w:rsid w:val="00831984"/>
    <w:rsid w:val="00831A6E"/>
    <w:rsid w:val="008324C6"/>
    <w:rsid w:val="00833815"/>
    <w:rsid w:val="00833823"/>
    <w:rsid w:val="008339D0"/>
    <w:rsid w:val="00833A63"/>
    <w:rsid w:val="0083479D"/>
    <w:rsid w:val="00834BD5"/>
    <w:rsid w:val="00835975"/>
    <w:rsid w:val="0083682A"/>
    <w:rsid w:val="00840113"/>
    <w:rsid w:val="00841E9D"/>
    <w:rsid w:val="00842079"/>
    <w:rsid w:val="00843AC5"/>
    <w:rsid w:val="00843F51"/>
    <w:rsid w:val="008440E9"/>
    <w:rsid w:val="00845256"/>
    <w:rsid w:val="00846567"/>
    <w:rsid w:val="00847B32"/>
    <w:rsid w:val="00850AB9"/>
    <w:rsid w:val="008527EB"/>
    <w:rsid w:val="00852A79"/>
    <w:rsid w:val="0085384C"/>
    <w:rsid w:val="0085432D"/>
    <w:rsid w:val="008549AF"/>
    <w:rsid w:val="00854CCA"/>
    <w:rsid w:val="008550DB"/>
    <w:rsid w:val="00855170"/>
    <w:rsid w:val="00855EE0"/>
    <w:rsid w:val="0085703F"/>
    <w:rsid w:val="00857712"/>
    <w:rsid w:val="008621BB"/>
    <w:rsid w:val="00862C66"/>
    <w:rsid w:val="00863893"/>
    <w:rsid w:val="008639A0"/>
    <w:rsid w:val="008652D4"/>
    <w:rsid w:val="008656D3"/>
    <w:rsid w:val="00865C6A"/>
    <w:rsid w:val="00865CF2"/>
    <w:rsid w:val="00865DF0"/>
    <w:rsid w:val="00865E18"/>
    <w:rsid w:val="00865F35"/>
    <w:rsid w:val="00866351"/>
    <w:rsid w:val="008672B3"/>
    <w:rsid w:val="00867530"/>
    <w:rsid w:val="00867AFA"/>
    <w:rsid w:val="008702B3"/>
    <w:rsid w:val="00874541"/>
    <w:rsid w:val="008756AA"/>
    <w:rsid w:val="008762A2"/>
    <w:rsid w:val="0087643E"/>
    <w:rsid w:val="00877624"/>
    <w:rsid w:val="008776B8"/>
    <w:rsid w:val="00877CB0"/>
    <w:rsid w:val="00880C39"/>
    <w:rsid w:val="00881239"/>
    <w:rsid w:val="00881D6B"/>
    <w:rsid w:val="008828E9"/>
    <w:rsid w:val="008836A4"/>
    <w:rsid w:val="008837D2"/>
    <w:rsid w:val="008839DE"/>
    <w:rsid w:val="008869DA"/>
    <w:rsid w:val="00886FEE"/>
    <w:rsid w:val="00887C8C"/>
    <w:rsid w:val="00890393"/>
    <w:rsid w:val="008905E1"/>
    <w:rsid w:val="00890928"/>
    <w:rsid w:val="00893840"/>
    <w:rsid w:val="00893927"/>
    <w:rsid w:val="0089400C"/>
    <w:rsid w:val="00896185"/>
    <w:rsid w:val="008961CC"/>
    <w:rsid w:val="00896396"/>
    <w:rsid w:val="00896D3B"/>
    <w:rsid w:val="00897077"/>
    <w:rsid w:val="00897172"/>
    <w:rsid w:val="00897660"/>
    <w:rsid w:val="0089798D"/>
    <w:rsid w:val="00897BB7"/>
    <w:rsid w:val="008A03A1"/>
    <w:rsid w:val="008A0992"/>
    <w:rsid w:val="008A22E8"/>
    <w:rsid w:val="008A2A45"/>
    <w:rsid w:val="008A34F9"/>
    <w:rsid w:val="008A3EF9"/>
    <w:rsid w:val="008A4680"/>
    <w:rsid w:val="008A48CE"/>
    <w:rsid w:val="008A4FDC"/>
    <w:rsid w:val="008A5774"/>
    <w:rsid w:val="008A59A2"/>
    <w:rsid w:val="008A5C5E"/>
    <w:rsid w:val="008A6E67"/>
    <w:rsid w:val="008A70B1"/>
    <w:rsid w:val="008A70E2"/>
    <w:rsid w:val="008A737F"/>
    <w:rsid w:val="008A7A89"/>
    <w:rsid w:val="008B07E6"/>
    <w:rsid w:val="008B1685"/>
    <w:rsid w:val="008B1C61"/>
    <w:rsid w:val="008B1D2C"/>
    <w:rsid w:val="008B27CE"/>
    <w:rsid w:val="008B2A14"/>
    <w:rsid w:val="008B2AE3"/>
    <w:rsid w:val="008B37FB"/>
    <w:rsid w:val="008B418A"/>
    <w:rsid w:val="008B4B8C"/>
    <w:rsid w:val="008B4E5D"/>
    <w:rsid w:val="008B518E"/>
    <w:rsid w:val="008B53DD"/>
    <w:rsid w:val="008B5E83"/>
    <w:rsid w:val="008B72B1"/>
    <w:rsid w:val="008B72F2"/>
    <w:rsid w:val="008B78EF"/>
    <w:rsid w:val="008C0017"/>
    <w:rsid w:val="008C0527"/>
    <w:rsid w:val="008C143C"/>
    <w:rsid w:val="008C14A4"/>
    <w:rsid w:val="008C159F"/>
    <w:rsid w:val="008C1609"/>
    <w:rsid w:val="008C22F1"/>
    <w:rsid w:val="008C2646"/>
    <w:rsid w:val="008C327C"/>
    <w:rsid w:val="008C3584"/>
    <w:rsid w:val="008C39CD"/>
    <w:rsid w:val="008C3F3D"/>
    <w:rsid w:val="008C5ABC"/>
    <w:rsid w:val="008C5DF8"/>
    <w:rsid w:val="008C7278"/>
    <w:rsid w:val="008C7C9F"/>
    <w:rsid w:val="008C7CF1"/>
    <w:rsid w:val="008D05CB"/>
    <w:rsid w:val="008D118B"/>
    <w:rsid w:val="008D1565"/>
    <w:rsid w:val="008D1D9F"/>
    <w:rsid w:val="008D2120"/>
    <w:rsid w:val="008D341A"/>
    <w:rsid w:val="008D3960"/>
    <w:rsid w:val="008D42A0"/>
    <w:rsid w:val="008D5279"/>
    <w:rsid w:val="008D562B"/>
    <w:rsid w:val="008D56EA"/>
    <w:rsid w:val="008D56F1"/>
    <w:rsid w:val="008D6097"/>
    <w:rsid w:val="008D62F8"/>
    <w:rsid w:val="008D730F"/>
    <w:rsid w:val="008D741A"/>
    <w:rsid w:val="008E0581"/>
    <w:rsid w:val="008E0A19"/>
    <w:rsid w:val="008E0AED"/>
    <w:rsid w:val="008E1024"/>
    <w:rsid w:val="008E11E9"/>
    <w:rsid w:val="008E1351"/>
    <w:rsid w:val="008E179F"/>
    <w:rsid w:val="008E1D68"/>
    <w:rsid w:val="008E21EA"/>
    <w:rsid w:val="008E22D0"/>
    <w:rsid w:val="008E2757"/>
    <w:rsid w:val="008E3573"/>
    <w:rsid w:val="008E5E0F"/>
    <w:rsid w:val="008E7E66"/>
    <w:rsid w:val="008F17BB"/>
    <w:rsid w:val="008F1965"/>
    <w:rsid w:val="008F2612"/>
    <w:rsid w:val="008F2DFA"/>
    <w:rsid w:val="008F3671"/>
    <w:rsid w:val="008F3B8E"/>
    <w:rsid w:val="008F42BC"/>
    <w:rsid w:val="008F4BF3"/>
    <w:rsid w:val="008F51E2"/>
    <w:rsid w:val="008F535A"/>
    <w:rsid w:val="008F5E34"/>
    <w:rsid w:val="008F63E9"/>
    <w:rsid w:val="008F6E71"/>
    <w:rsid w:val="008F7100"/>
    <w:rsid w:val="008F75AB"/>
    <w:rsid w:val="008F7632"/>
    <w:rsid w:val="00900CE7"/>
    <w:rsid w:val="00901108"/>
    <w:rsid w:val="0090181E"/>
    <w:rsid w:val="009023C5"/>
    <w:rsid w:val="00902568"/>
    <w:rsid w:val="00902BD0"/>
    <w:rsid w:val="009030C6"/>
    <w:rsid w:val="00904C5D"/>
    <w:rsid w:val="0090633D"/>
    <w:rsid w:val="00906518"/>
    <w:rsid w:val="00906691"/>
    <w:rsid w:val="00906C26"/>
    <w:rsid w:val="00906D3A"/>
    <w:rsid w:val="009105A6"/>
    <w:rsid w:val="009106F9"/>
    <w:rsid w:val="00910CB5"/>
    <w:rsid w:val="00911B5C"/>
    <w:rsid w:val="00912D93"/>
    <w:rsid w:val="0091328A"/>
    <w:rsid w:val="00913C97"/>
    <w:rsid w:val="00914335"/>
    <w:rsid w:val="00914E2A"/>
    <w:rsid w:val="009162CD"/>
    <w:rsid w:val="00916FA8"/>
    <w:rsid w:val="0091733F"/>
    <w:rsid w:val="00917F40"/>
    <w:rsid w:val="00920EEC"/>
    <w:rsid w:val="00920F1F"/>
    <w:rsid w:val="00921119"/>
    <w:rsid w:val="009228AB"/>
    <w:rsid w:val="00922B9D"/>
    <w:rsid w:val="00922DDE"/>
    <w:rsid w:val="00923101"/>
    <w:rsid w:val="00923561"/>
    <w:rsid w:val="00923B65"/>
    <w:rsid w:val="00923C1D"/>
    <w:rsid w:val="00923E42"/>
    <w:rsid w:val="0092400A"/>
    <w:rsid w:val="00925315"/>
    <w:rsid w:val="00925460"/>
    <w:rsid w:val="00926148"/>
    <w:rsid w:val="009262D9"/>
    <w:rsid w:val="009271D3"/>
    <w:rsid w:val="00927E98"/>
    <w:rsid w:val="00930A32"/>
    <w:rsid w:val="00930C14"/>
    <w:rsid w:val="009313D2"/>
    <w:rsid w:val="0093168C"/>
    <w:rsid w:val="00933FF2"/>
    <w:rsid w:val="0093545D"/>
    <w:rsid w:val="00935461"/>
    <w:rsid w:val="009360D9"/>
    <w:rsid w:val="00936C00"/>
    <w:rsid w:val="00936FCB"/>
    <w:rsid w:val="00937281"/>
    <w:rsid w:val="00937312"/>
    <w:rsid w:val="009402EC"/>
    <w:rsid w:val="00940570"/>
    <w:rsid w:val="0094107D"/>
    <w:rsid w:val="00941A14"/>
    <w:rsid w:val="0094521E"/>
    <w:rsid w:val="00945A65"/>
    <w:rsid w:val="009503C1"/>
    <w:rsid w:val="00950429"/>
    <w:rsid w:val="00951A18"/>
    <w:rsid w:val="00951DDA"/>
    <w:rsid w:val="009520DE"/>
    <w:rsid w:val="00952805"/>
    <w:rsid w:val="00952F59"/>
    <w:rsid w:val="009530F7"/>
    <w:rsid w:val="00954685"/>
    <w:rsid w:val="00955730"/>
    <w:rsid w:val="00955EB5"/>
    <w:rsid w:val="009569D5"/>
    <w:rsid w:val="00957CA5"/>
    <w:rsid w:val="00960C1C"/>
    <w:rsid w:val="00960F6A"/>
    <w:rsid w:val="00962309"/>
    <w:rsid w:val="009627D9"/>
    <w:rsid w:val="00963ABF"/>
    <w:rsid w:val="0096414C"/>
    <w:rsid w:val="009655DE"/>
    <w:rsid w:val="00965B0D"/>
    <w:rsid w:val="00966180"/>
    <w:rsid w:val="00966600"/>
    <w:rsid w:val="00967005"/>
    <w:rsid w:val="00967F2B"/>
    <w:rsid w:val="0097018F"/>
    <w:rsid w:val="00970D6E"/>
    <w:rsid w:val="009714A8"/>
    <w:rsid w:val="00971D38"/>
    <w:rsid w:val="00972105"/>
    <w:rsid w:val="009722AC"/>
    <w:rsid w:val="009724F9"/>
    <w:rsid w:val="00972B32"/>
    <w:rsid w:val="00973B18"/>
    <w:rsid w:val="00973FCF"/>
    <w:rsid w:val="0097441A"/>
    <w:rsid w:val="00974E4C"/>
    <w:rsid w:val="0097552A"/>
    <w:rsid w:val="00975DAE"/>
    <w:rsid w:val="00976019"/>
    <w:rsid w:val="009764DB"/>
    <w:rsid w:val="00976738"/>
    <w:rsid w:val="009776B4"/>
    <w:rsid w:val="00980090"/>
    <w:rsid w:val="0098134C"/>
    <w:rsid w:val="00981936"/>
    <w:rsid w:val="0098397F"/>
    <w:rsid w:val="00984160"/>
    <w:rsid w:val="00985229"/>
    <w:rsid w:val="00985548"/>
    <w:rsid w:val="00985949"/>
    <w:rsid w:val="00985FD9"/>
    <w:rsid w:val="00986EBC"/>
    <w:rsid w:val="00987D71"/>
    <w:rsid w:val="00987E20"/>
    <w:rsid w:val="00990956"/>
    <w:rsid w:val="00990C1C"/>
    <w:rsid w:val="0099172E"/>
    <w:rsid w:val="00991FAE"/>
    <w:rsid w:val="00992D69"/>
    <w:rsid w:val="00992D97"/>
    <w:rsid w:val="00992E5B"/>
    <w:rsid w:val="009933E8"/>
    <w:rsid w:val="009936E0"/>
    <w:rsid w:val="009945CC"/>
    <w:rsid w:val="00994FA9"/>
    <w:rsid w:val="00995DDC"/>
    <w:rsid w:val="00996174"/>
    <w:rsid w:val="00996BA6"/>
    <w:rsid w:val="009973F6"/>
    <w:rsid w:val="0099763E"/>
    <w:rsid w:val="0099787C"/>
    <w:rsid w:val="00997BFA"/>
    <w:rsid w:val="009A0648"/>
    <w:rsid w:val="009A14C0"/>
    <w:rsid w:val="009A22AA"/>
    <w:rsid w:val="009A33B8"/>
    <w:rsid w:val="009A34F3"/>
    <w:rsid w:val="009A429E"/>
    <w:rsid w:val="009B17E3"/>
    <w:rsid w:val="009B2C26"/>
    <w:rsid w:val="009B3FDE"/>
    <w:rsid w:val="009B5043"/>
    <w:rsid w:val="009B523A"/>
    <w:rsid w:val="009B5DCE"/>
    <w:rsid w:val="009B6014"/>
    <w:rsid w:val="009B67A3"/>
    <w:rsid w:val="009B75E2"/>
    <w:rsid w:val="009B7AB0"/>
    <w:rsid w:val="009C0120"/>
    <w:rsid w:val="009C042F"/>
    <w:rsid w:val="009C0681"/>
    <w:rsid w:val="009C0793"/>
    <w:rsid w:val="009C0D0C"/>
    <w:rsid w:val="009C1114"/>
    <w:rsid w:val="009C166F"/>
    <w:rsid w:val="009C184D"/>
    <w:rsid w:val="009C1A36"/>
    <w:rsid w:val="009C1EFF"/>
    <w:rsid w:val="009C1F88"/>
    <w:rsid w:val="009C2C6D"/>
    <w:rsid w:val="009C2DDC"/>
    <w:rsid w:val="009C341F"/>
    <w:rsid w:val="009C3D04"/>
    <w:rsid w:val="009C5532"/>
    <w:rsid w:val="009C633C"/>
    <w:rsid w:val="009C7370"/>
    <w:rsid w:val="009D1031"/>
    <w:rsid w:val="009D108C"/>
    <w:rsid w:val="009D1A75"/>
    <w:rsid w:val="009D2187"/>
    <w:rsid w:val="009D2262"/>
    <w:rsid w:val="009D2612"/>
    <w:rsid w:val="009D2BD0"/>
    <w:rsid w:val="009D2FB6"/>
    <w:rsid w:val="009D373F"/>
    <w:rsid w:val="009D38A1"/>
    <w:rsid w:val="009D4C6D"/>
    <w:rsid w:val="009D5D7E"/>
    <w:rsid w:val="009D68C8"/>
    <w:rsid w:val="009D6FBB"/>
    <w:rsid w:val="009E0FA9"/>
    <w:rsid w:val="009E1158"/>
    <w:rsid w:val="009E1726"/>
    <w:rsid w:val="009E2208"/>
    <w:rsid w:val="009E2A83"/>
    <w:rsid w:val="009E2C17"/>
    <w:rsid w:val="009E3CDB"/>
    <w:rsid w:val="009E5508"/>
    <w:rsid w:val="009E6D43"/>
    <w:rsid w:val="009E771C"/>
    <w:rsid w:val="009E7EA6"/>
    <w:rsid w:val="009E7EA9"/>
    <w:rsid w:val="009F09C5"/>
    <w:rsid w:val="009F161E"/>
    <w:rsid w:val="009F2A99"/>
    <w:rsid w:val="009F2B01"/>
    <w:rsid w:val="009F2DEA"/>
    <w:rsid w:val="009F3601"/>
    <w:rsid w:val="009F3F21"/>
    <w:rsid w:val="009F4873"/>
    <w:rsid w:val="009F55CE"/>
    <w:rsid w:val="009F57E1"/>
    <w:rsid w:val="009F5CC6"/>
    <w:rsid w:val="009F635B"/>
    <w:rsid w:val="00A007E8"/>
    <w:rsid w:val="00A00A5F"/>
    <w:rsid w:val="00A010E8"/>
    <w:rsid w:val="00A01163"/>
    <w:rsid w:val="00A014EB"/>
    <w:rsid w:val="00A018C1"/>
    <w:rsid w:val="00A022D0"/>
    <w:rsid w:val="00A02CEB"/>
    <w:rsid w:val="00A05B2A"/>
    <w:rsid w:val="00A05B92"/>
    <w:rsid w:val="00A07725"/>
    <w:rsid w:val="00A07E85"/>
    <w:rsid w:val="00A1123F"/>
    <w:rsid w:val="00A1167B"/>
    <w:rsid w:val="00A117BA"/>
    <w:rsid w:val="00A1191C"/>
    <w:rsid w:val="00A1194C"/>
    <w:rsid w:val="00A125B6"/>
    <w:rsid w:val="00A153D9"/>
    <w:rsid w:val="00A15D93"/>
    <w:rsid w:val="00A15E3F"/>
    <w:rsid w:val="00A163AC"/>
    <w:rsid w:val="00A16E59"/>
    <w:rsid w:val="00A1738B"/>
    <w:rsid w:val="00A17B09"/>
    <w:rsid w:val="00A17D83"/>
    <w:rsid w:val="00A205C2"/>
    <w:rsid w:val="00A20E05"/>
    <w:rsid w:val="00A20F0A"/>
    <w:rsid w:val="00A2139E"/>
    <w:rsid w:val="00A225F3"/>
    <w:rsid w:val="00A227D0"/>
    <w:rsid w:val="00A234B4"/>
    <w:rsid w:val="00A235B0"/>
    <w:rsid w:val="00A23675"/>
    <w:rsid w:val="00A23F8C"/>
    <w:rsid w:val="00A24EE4"/>
    <w:rsid w:val="00A25284"/>
    <w:rsid w:val="00A26FE7"/>
    <w:rsid w:val="00A27860"/>
    <w:rsid w:val="00A27D52"/>
    <w:rsid w:val="00A27FBF"/>
    <w:rsid w:val="00A30F89"/>
    <w:rsid w:val="00A31D75"/>
    <w:rsid w:val="00A32846"/>
    <w:rsid w:val="00A32BD0"/>
    <w:rsid w:val="00A32D7F"/>
    <w:rsid w:val="00A33AAA"/>
    <w:rsid w:val="00A33E7B"/>
    <w:rsid w:val="00A34D04"/>
    <w:rsid w:val="00A356AE"/>
    <w:rsid w:val="00A36FE0"/>
    <w:rsid w:val="00A370F1"/>
    <w:rsid w:val="00A373CB"/>
    <w:rsid w:val="00A40850"/>
    <w:rsid w:val="00A4132E"/>
    <w:rsid w:val="00A41B91"/>
    <w:rsid w:val="00A42497"/>
    <w:rsid w:val="00A435A0"/>
    <w:rsid w:val="00A43B26"/>
    <w:rsid w:val="00A46D8C"/>
    <w:rsid w:val="00A470B3"/>
    <w:rsid w:val="00A47AD1"/>
    <w:rsid w:val="00A50C22"/>
    <w:rsid w:val="00A512DD"/>
    <w:rsid w:val="00A51AAC"/>
    <w:rsid w:val="00A51C8F"/>
    <w:rsid w:val="00A548BE"/>
    <w:rsid w:val="00A54FA0"/>
    <w:rsid w:val="00A55000"/>
    <w:rsid w:val="00A55A97"/>
    <w:rsid w:val="00A56F2F"/>
    <w:rsid w:val="00A57936"/>
    <w:rsid w:val="00A57A49"/>
    <w:rsid w:val="00A60AB8"/>
    <w:rsid w:val="00A60AC9"/>
    <w:rsid w:val="00A60F2B"/>
    <w:rsid w:val="00A617B3"/>
    <w:rsid w:val="00A62C8F"/>
    <w:rsid w:val="00A62EEF"/>
    <w:rsid w:val="00A64644"/>
    <w:rsid w:val="00A64FDF"/>
    <w:rsid w:val="00A6687C"/>
    <w:rsid w:val="00A67174"/>
    <w:rsid w:val="00A67D38"/>
    <w:rsid w:val="00A70103"/>
    <w:rsid w:val="00A703BF"/>
    <w:rsid w:val="00A70753"/>
    <w:rsid w:val="00A71CB2"/>
    <w:rsid w:val="00A732F9"/>
    <w:rsid w:val="00A73E5C"/>
    <w:rsid w:val="00A74F44"/>
    <w:rsid w:val="00A758ED"/>
    <w:rsid w:val="00A75F62"/>
    <w:rsid w:val="00A76694"/>
    <w:rsid w:val="00A7675E"/>
    <w:rsid w:val="00A7752B"/>
    <w:rsid w:val="00A807EC"/>
    <w:rsid w:val="00A80C97"/>
    <w:rsid w:val="00A81A0C"/>
    <w:rsid w:val="00A82740"/>
    <w:rsid w:val="00A83148"/>
    <w:rsid w:val="00A85441"/>
    <w:rsid w:val="00A86F4C"/>
    <w:rsid w:val="00A870D4"/>
    <w:rsid w:val="00A8714C"/>
    <w:rsid w:val="00A87455"/>
    <w:rsid w:val="00A912FB"/>
    <w:rsid w:val="00A91F9B"/>
    <w:rsid w:val="00A923C0"/>
    <w:rsid w:val="00A93037"/>
    <w:rsid w:val="00A93A7E"/>
    <w:rsid w:val="00A946C8"/>
    <w:rsid w:val="00A9588D"/>
    <w:rsid w:val="00A95B9C"/>
    <w:rsid w:val="00A96533"/>
    <w:rsid w:val="00A96B21"/>
    <w:rsid w:val="00A96F03"/>
    <w:rsid w:val="00A97FD2"/>
    <w:rsid w:val="00AA0719"/>
    <w:rsid w:val="00AA08DD"/>
    <w:rsid w:val="00AA2337"/>
    <w:rsid w:val="00AA285D"/>
    <w:rsid w:val="00AA2A82"/>
    <w:rsid w:val="00AA2B67"/>
    <w:rsid w:val="00AA34F9"/>
    <w:rsid w:val="00AA4A8A"/>
    <w:rsid w:val="00AA5131"/>
    <w:rsid w:val="00AA54B5"/>
    <w:rsid w:val="00AA5A8E"/>
    <w:rsid w:val="00AA7046"/>
    <w:rsid w:val="00AB1823"/>
    <w:rsid w:val="00AB1E23"/>
    <w:rsid w:val="00AB2A8D"/>
    <w:rsid w:val="00AB2E71"/>
    <w:rsid w:val="00AB3A0B"/>
    <w:rsid w:val="00AB3A6A"/>
    <w:rsid w:val="00AB3B34"/>
    <w:rsid w:val="00AB3C4C"/>
    <w:rsid w:val="00AB5439"/>
    <w:rsid w:val="00AB55A9"/>
    <w:rsid w:val="00AB5E3D"/>
    <w:rsid w:val="00AB6157"/>
    <w:rsid w:val="00AB6556"/>
    <w:rsid w:val="00AB689F"/>
    <w:rsid w:val="00AB6EAD"/>
    <w:rsid w:val="00AB71E5"/>
    <w:rsid w:val="00AB7E9D"/>
    <w:rsid w:val="00AC0A71"/>
    <w:rsid w:val="00AC110A"/>
    <w:rsid w:val="00AC233B"/>
    <w:rsid w:val="00AC3625"/>
    <w:rsid w:val="00AC40C2"/>
    <w:rsid w:val="00AC4175"/>
    <w:rsid w:val="00AC474A"/>
    <w:rsid w:val="00AC480D"/>
    <w:rsid w:val="00AC484A"/>
    <w:rsid w:val="00AC4DBA"/>
    <w:rsid w:val="00AC5C08"/>
    <w:rsid w:val="00AC6480"/>
    <w:rsid w:val="00AC7151"/>
    <w:rsid w:val="00AC7668"/>
    <w:rsid w:val="00AD0C6B"/>
    <w:rsid w:val="00AD2266"/>
    <w:rsid w:val="00AD3574"/>
    <w:rsid w:val="00AD6310"/>
    <w:rsid w:val="00AD6674"/>
    <w:rsid w:val="00AD7329"/>
    <w:rsid w:val="00AD766B"/>
    <w:rsid w:val="00AE0630"/>
    <w:rsid w:val="00AE1A95"/>
    <w:rsid w:val="00AE2212"/>
    <w:rsid w:val="00AE291B"/>
    <w:rsid w:val="00AE2E20"/>
    <w:rsid w:val="00AE3AEB"/>
    <w:rsid w:val="00AE4873"/>
    <w:rsid w:val="00AE4F35"/>
    <w:rsid w:val="00AE57B3"/>
    <w:rsid w:val="00AE7860"/>
    <w:rsid w:val="00AE7D86"/>
    <w:rsid w:val="00AF08A5"/>
    <w:rsid w:val="00AF0B90"/>
    <w:rsid w:val="00AF1898"/>
    <w:rsid w:val="00AF1A66"/>
    <w:rsid w:val="00AF1DE2"/>
    <w:rsid w:val="00AF279D"/>
    <w:rsid w:val="00AF284D"/>
    <w:rsid w:val="00AF2EF1"/>
    <w:rsid w:val="00AF4863"/>
    <w:rsid w:val="00AF5321"/>
    <w:rsid w:val="00AF5779"/>
    <w:rsid w:val="00AF59AE"/>
    <w:rsid w:val="00AF61AB"/>
    <w:rsid w:val="00AF7065"/>
    <w:rsid w:val="00AF73D9"/>
    <w:rsid w:val="00AF77B5"/>
    <w:rsid w:val="00AF7CB4"/>
    <w:rsid w:val="00B00533"/>
    <w:rsid w:val="00B01467"/>
    <w:rsid w:val="00B01572"/>
    <w:rsid w:val="00B0161B"/>
    <w:rsid w:val="00B01962"/>
    <w:rsid w:val="00B01B1A"/>
    <w:rsid w:val="00B03144"/>
    <w:rsid w:val="00B0384D"/>
    <w:rsid w:val="00B03A96"/>
    <w:rsid w:val="00B03BC8"/>
    <w:rsid w:val="00B0489C"/>
    <w:rsid w:val="00B0581C"/>
    <w:rsid w:val="00B05B2A"/>
    <w:rsid w:val="00B05ED9"/>
    <w:rsid w:val="00B063DA"/>
    <w:rsid w:val="00B06C2F"/>
    <w:rsid w:val="00B06D09"/>
    <w:rsid w:val="00B07F27"/>
    <w:rsid w:val="00B102EF"/>
    <w:rsid w:val="00B10404"/>
    <w:rsid w:val="00B12176"/>
    <w:rsid w:val="00B1352E"/>
    <w:rsid w:val="00B14669"/>
    <w:rsid w:val="00B15494"/>
    <w:rsid w:val="00B171AA"/>
    <w:rsid w:val="00B17F04"/>
    <w:rsid w:val="00B20372"/>
    <w:rsid w:val="00B20DDD"/>
    <w:rsid w:val="00B21656"/>
    <w:rsid w:val="00B21B36"/>
    <w:rsid w:val="00B22097"/>
    <w:rsid w:val="00B220A7"/>
    <w:rsid w:val="00B22CC6"/>
    <w:rsid w:val="00B22FBC"/>
    <w:rsid w:val="00B23635"/>
    <w:rsid w:val="00B247ED"/>
    <w:rsid w:val="00B2530A"/>
    <w:rsid w:val="00B30351"/>
    <w:rsid w:val="00B306F7"/>
    <w:rsid w:val="00B310E9"/>
    <w:rsid w:val="00B3213C"/>
    <w:rsid w:val="00B335B9"/>
    <w:rsid w:val="00B33650"/>
    <w:rsid w:val="00B33DFD"/>
    <w:rsid w:val="00B3422C"/>
    <w:rsid w:val="00B34861"/>
    <w:rsid w:val="00B35686"/>
    <w:rsid w:val="00B358D6"/>
    <w:rsid w:val="00B36847"/>
    <w:rsid w:val="00B36EA9"/>
    <w:rsid w:val="00B3710A"/>
    <w:rsid w:val="00B37359"/>
    <w:rsid w:val="00B40D99"/>
    <w:rsid w:val="00B410BB"/>
    <w:rsid w:val="00B41BDC"/>
    <w:rsid w:val="00B42C85"/>
    <w:rsid w:val="00B43267"/>
    <w:rsid w:val="00B43FE1"/>
    <w:rsid w:val="00B456C0"/>
    <w:rsid w:val="00B45AA7"/>
    <w:rsid w:val="00B4603C"/>
    <w:rsid w:val="00B46090"/>
    <w:rsid w:val="00B4644C"/>
    <w:rsid w:val="00B464FA"/>
    <w:rsid w:val="00B46FE4"/>
    <w:rsid w:val="00B47123"/>
    <w:rsid w:val="00B473D5"/>
    <w:rsid w:val="00B47783"/>
    <w:rsid w:val="00B47DEE"/>
    <w:rsid w:val="00B47E51"/>
    <w:rsid w:val="00B50471"/>
    <w:rsid w:val="00B5047F"/>
    <w:rsid w:val="00B504B8"/>
    <w:rsid w:val="00B50833"/>
    <w:rsid w:val="00B50B84"/>
    <w:rsid w:val="00B5196F"/>
    <w:rsid w:val="00B5315B"/>
    <w:rsid w:val="00B544E1"/>
    <w:rsid w:val="00B54DF9"/>
    <w:rsid w:val="00B550B0"/>
    <w:rsid w:val="00B550CD"/>
    <w:rsid w:val="00B56167"/>
    <w:rsid w:val="00B5624B"/>
    <w:rsid w:val="00B562CE"/>
    <w:rsid w:val="00B56FA3"/>
    <w:rsid w:val="00B57E2A"/>
    <w:rsid w:val="00B60786"/>
    <w:rsid w:val="00B610A8"/>
    <w:rsid w:val="00B6178D"/>
    <w:rsid w:val="00B62A32"/>
    <w:rsid w:val="00B64420"/>
    <w:rsid w:val="00B654B2"/>
    <w:rsid w:val="00B65D79"/>
    <w:rsid w:val="00B65F69"/>
    <w:rsid w:val="00B6604C"/>
    <w:rsid w:val="00B66DBE"/>
    <w:rsid w:val="00B66EDC"/>
    <w:rsid w:val="00B671C2"/>
    <w:rsid w:val="00B67430"/>
    <w:rsid w:val="00B6758F"/>
    <w:rsid w:val="00B7042C"/>
    <w:rsid w:val="00B70496"/>
    <w:rsid w:val="00B709B8"/>
    <w:rsid w:val="00B70FA3"/>
    <w:rsid w:val="00B72DF8"/>
    <w:rsid w:val="00B72DFA"/>
    <w:rsid w:val="00B72E8D"/>
    <w:rsid w:val="00B7365B"/>
    <w:rsid w:val="00B74465"/>
    <w:rsid w:val="00B76AD6"/>
    <w:rsid w:val="00B76CA2"/>
    <w:rsid w:val="00B76D0D"/>
    <w:rsid w:val="00B7768A"/>
    <w:rsid w:val="00B802B2"/>
    <w:rsid w:val="00B80BE7"/>
    <w:rsid w:val="00B8214B"/>
    <w:rsid w:val="00B82DCA"/>
    <w:rsid w:val="00B8310F"/>
    <w:rsid w:val="00B838EB"/>
    <w:rsid w:val="00B83A4C"/>
    <w:rsid w:val="00B83A51"/>
    <w:rsid w:val="00B83BBB"/>
    <w:rsid w:val="00B84578"/>
    <w:rsid w:val="00B85B8D"/>
    <w:rsid w:val="00B86236"/>
    <w:rsid w:val="00B87532"/>
    <w:rsid w:val="00B87D4F"/>
    <w:rsid w:val="00B90351"/>
    <w:rsid w:val="00B90451"/>
    <w:rsid w:val="00B90FE2"/>
    <w:rsid w:val="00B9108D"/>
    <w:rsid w:val="00B91E0F"/>
    <w:rsid w:val="00B92795"/>
    <w:rsid w:val="00B93691"/>
    <w:rsid w:val="00B93BA0"/>
    <w:rsid w:val="00B94797"/>
    <w:rsid w:val="00B94ED2"/>
    <w:rsid w:val="00B951F1"/>
    <w:rsid w:val="00B960C6"/>
    <w:rsid w:val="00B974AF"/>
    <w:rsid w:val="00B97DC1"/>
    <w:rsid w:val="00BA1382"/>
    <w:rsid w:val="00BA1B05"/>
    <w:rsid w:val="00BA1FA0"/>
    <w:rsid w:val="00BA1FBD"/>
    <w:rsid w:val="00BA38F4"/>
    <w:rsid w:val="00BA3EBC"/>
    <w:rsid w:val="00BA41BD"/>
    <w:rsid w:val="00BA435E"/>
    <w:rsid w:val="00BA43C9"/>
    <w:rsid w:val="00BA4A65"/>
    <w:rsid w:val="00BA4BE5"/>
    <w:rsid w:val="00BA5789"/>
    <w:rsid w:val="00BA67FC"/>
    <w:rsid w:val="00BA767C"/>
    <w:rsid w:val="00BB00CC"/>
    <w:rsid w:val="00BB0225"/>
    <w:rsid w:val="00BB0A02"/>
    <w:rsid w:val="00BB1483"/>
    <w:rsid w:val="00BB1656"/>
    <w:rsid w:val="00BB4569"/>
    <w:rsid w:val="00BB46D4"/>
    <w:rsid w:val="00BB4DA4"/>
    <w:rsid w:val="00BB4E36"/>
    <w:rsid w:val="00BB6580"/>
    <w:rsid w:val="00BB6B7E"/>
    <w:rsid w:val="00BB6BB8"/>
    <w:rsid w:val="00BB7D52"/>
    <w:rsid w:val="00BC03E1"/>
    <w:rsid w:val="00BC08AB"/>
    <w:rsid w:val="00BC1719"/>
    <w:rsid w:val="00BC2E4D"/>
    <w:rsid w:val="00BC3052"/>
    <w:rsid w:val="00BC3100"/>
    <w:rsid w:val="00BC324B"/>
    <w:rsid w:val="00BC355E"/>
    <w:rsid w:val="00BC3598"/>
    <w:rsid w:val="00BC3B22"/>
    <w:rsid w:val="00BC6751"/>
    <w:rsid w:val="00BC67B3"/>
    <w:rsid w:val="00BC7998"/>
    <w:rsid w:val="00BD0141"/>
    <w:rsid w:val="00BD2FDE"/>
    <w:rsid w:val="00BD32A8"/>
    <w:rsid w:val="00BD3A95"/>
    <w:rsid w:val="00BD3D39"/>
    <w:rsid w:val="00BD3DE1"/>
    <w:rsid w:val="00BD3F21"/>
    <w:rsid w:val="00BD46B9"/>
    <w:rsid w:val="00BD4B6A"/>
    <w:rsid w:val="00BD6033"/>
    <w:rsid w:val="00BD63A5"/>
    <w:rsid w:val="00BE0A3E"/>
    <w:rsid w:val="00BE0B84"/>
    <w:rsid w:val="00BE19F6"/>
    <w:rsid w:val="00BE22EB"/>
    <w:rsid w:val="00BE2745"/>
    <w:rsid w:val="00BE76B6"/>
    <w:rsid w:val="00BF06D5"/>
    <w:rsid w:val="00BF09D4"/>
    <w:rsid w:val="00BF0B63"/>
    <w:rsid w:val="00BF104D"/>
    <w:rsid w:val="00BF111B"/>
    <w:rsid w:val="00BF21EE"/>
    <w:rsid w:val="00BF24AB"/>
    <w:rsid w:val="00BF3F5D"/>
    <w:rsid w:val="00BF4454"/>
    <w:rsid w:val="00BF5223"/>
    <w:rsid w:val="00BF52FD"/>
    <w:rsid w:val="00BF5A01"/>
    <w:rsid w:val="00BF60B0"/>
    <w:rsid w:val="00BF7251"/>
    <w:rsid w:val="00BF7997"/>
    <w:rsid w:val="00BF7ACF"/>
    <w:rsid w:val="00C0010D"/>
    <w:rsid w:val="00C00BCF"/>
    <w:rsid w:val="00C014CC"/>
    <w:rsid w:val="00C01B07"/>
    <w:rsid w:val="00C03C08"/>
    <w:rsid w:val="00C03FE2"/>
    <w:rsid w:val="00C078FF"/>
    <w:rsid w:val="00C07F23"/>
    <w:rsid w:val="00C07F57"/>
    <w:rsid w:val="00C1024D"/>
    <w:rsid w:val="00C10A15"/>
    <w:rsid w:val="00C10E04"/>
    <w:rsid w:val="00C11301"/>
    <w:rsid w:val="00C115B2"/>
    <w:rsid w:val="00C12655"/>
    <w:rsid w:val="00C13997"/>
    <w:rsid w:val="00C14112"/>
    <w:rsid w:val="00C14CDF"/>
    <w:rsid w:val="00C153C0"/>
    <w:rsid w:val="00C1566A"/>
    <w:rsid w:val="00C15731"/>
    <w:rsid w:val="00C15A8C"/>
    <w:rsid w:val="00C15E81"/>
    <w:rsid w:val="00C16611"/>
    <w:rsid w:val="00C16744"/>
    <w:rsid w:val="00C1682F"/>
    <w:rsid w:val="00C16DA2"/>
    <w:rsid w:val="00C16FE7"/>
    <w:rsid w:val="00C175BD"/>
    <w:rsid w:val="00C17F22"/>
    <w:rsid w:val="00C20379"/>
    <w:rsid w:val="00C2093F"/>
    <w:rsid w:val="00C209E7"/>
    <w:rsid w:val="00C212F7"/>
    <w:rsid w:val="00C2134A"/>
    <w:rsid w:val="00C2202E"/>
    <w:rsid w:val="00C22041"/>
    <w:rsid w:val="00C22AD8"/>
    <w:rsid w:val="00C2354A"/>
    <w:rsid w:val="00C241FB"/>
    <w:rsid w:val="00C25BB1"/>
    <w:rsid w:val="00C26BED"/>
    <w:rsid w:val="00C277A2"/>
    <w:rsid w:val="00C27B96"/>
    <w:rsid w:val="00C30C72"/>
    <w:rsid w:val="00C335DA"/>
    <w:rsid w:val="00C33A75"/>
    <w:rsid w:val="00C3492D"/>
    <w:rsid w:val="00C34C35"/>
    <w:rsid w:val="00C36AE7"/>
    <w:rsid w:val="00C36B78"/>
    <w:rsid w:val="00C374B4"/>
    <w:rsid w:val="00C37D0A"/>
    <w:rsid w:val="00C4080A"/>
    <w:rsid w:val="00C41175"/>
    <w:rsid w:val="00C41D93"/>
    <w:rsid w:val="00C4249B"/>
    <w:rsid w:val="00C42BE7"/>
    <w:rsid w:val="00C4336D"/>
    <w:rsid w:val="00C43E56"/>
    <w:rsid w:val="00C449F1"/>
    <w:rsid w:val="00C449F6"/>
    <w:rsid w:val="00C45903"/>
    <w:rsid w:val="00C469E9"/>
    <w:rsid w:val="00C473AC"/>
    <w:rsid w:val="00C47E3B"/>
    <w:rsid w:val="00C47EB2"/>
    <w:rsid w:val="00C5053D"/>
    <w:rsid w:val="00C50625"/>
    <w:rsid w:val="00C50A7C"/>
    <w:rsid w:val="00C50B24"/>
    <w:rsid w:val="00C510CA"/>
    <w:rsid w:val="00C511CA"/>
    <w:rsid w:val="00C517AD"/>
    <w:rsid w:val="00C544D3"/>
    <w:rsid w:val="00C5456A"/>
    <w:rsid w:val="00C549E7"/>
    <w:rsid w:val="00C54DE2"/>
    <w:rsid w:val="00C55772"/>
    <w:rsid w:val="00C563B3"/>
    <w:rsid w:val="00C60A67"/>
    <w:rsid w:val="00C60BDD"/>
    <w:rsid w:val="00C60D72"/>
    <w:rsid w:val="00C61DEA"/>
    <w:rsid w:val="00C62743"/>
    <w:rsid w:val="00C6327A"/>
    <w:rsid w:val="00C64F56"/>
    <w:rsid w:val="00C65D72"/>
    <w:rsid w:val="00C665D6"/>
    <w:rsid w:val="00C66A07"/>
    <w:rsid w:val="00C66B57"/>
    <w:rsid w:val="00C673EB"/>
    <w:rsid w:val="00C674C5"/>
    <w:rsid w:val="00C67E63"/>
    <w:rsid w:val="00C70874"/>
    <w:rsid w:val="00C70FBF"/>
    <w:rsid w:val="00C71945"/>
    <w:rsid w:val="00C7313C"/>
    <w:rsid w:val="00C736B4"/>
    <w:rsid w:val="00C74637"/>
    <w:rsid w:val="00C74F1A"/>
    <w:rsid w:val="00C74F27"/>
    <w:rsid w:val="00C752F9"/>
    <w:rsid w:val="00C765E4"/>
    <w:rsid w:val="00C775AE"/>
    <w:rsid w:val="00C77B3F"/>
    <w:rsid w:val="00C77D24"/>
    <w:rsid w:val="00C8045A"/>
    <w:rsid w:val="00C81F06"/>
    <w:rsid w:val="00C82D4E"/>
    <w:rsid w:val="00C82E99"/>
    <w:rsid w:val="00C82FA7"/>
    <w:rsid w:val="00C83006"/>
    <w:rsid w:val="00C8372F"/>
    <w:rsid w:val="00C838EC"/>
    <w:rsid w:val="00C859D1"/>
    <w:rsid w:val="00C85A54"/>
    <w:rsid w:val="00C8641A"/>
    <w:rsid w:val="00C86D00"/>
    <w:rsid w:val="00C87F6A"/>
    <w:rsid w:val="00C91D3A"/>
    <w:rsid w:val="00C92F73"/>
    <w:rsid w:val="00C934D0"/>
    <w:rsid w:val="00C94EBF"/>
    <w:rsid w:val="00C94F27"/>
    <w:rsid w:val="00C955D7"/>
    <w:rsid w:val="00C95954"/>
    <w:rsid w:val="00C96F56"/>
    <w:rsid w:val="00C96F62"/>
    <w:rsid w:val="00C975E0"/>
    <w:rsid w:val="00C976DE"/>
    <w:rsid w:val="00CA037E"/>
    <w:rsid w:val="00CA068B"/>
    <w:rsid w:val="00CA0F36"/>
    <w:rsid w:val="00CA1885"/>
    <w:rsid w:val="00CA1B15"/>
    <w:rsid w:val="00CA1B38"/>
    <w:rsid w:val="00CA3B05"/>
    <w:rsid w:val="00CA3B91"/>
    <w:rsid w:val="00CA4056"/>
    <w:rsid w:val="00CA65BA"/>
    <w:rsid w:val="00CA7090"/>
    <w:rsid w:val="00CA7639"/>
    <w:rsid w:val="00CB0246"/>
    <w:rsid w:val="00CB0BEF"/>
    <w:rsid w:val="00CB1651"/>
    <w:rsid w:val="00CB1BE3"/>
    <w:rsid w:val="00CB208B"/>
    <w:rsid w:val="00CB25C2"/>
    <w:rsid w:val="00CB34BE"/>
    <w:rsid w:val="00CB3DE6"/>
    <w:rsid w:val="00CB5625"/>
    <w:rsid w:val="00CB6FA7"/>
    <w:rsid w:val="00CC0B36"/>
    <w:rsid w:val="00CC0CCB"/>
    <w:rsid w:val="00CC2192"/>
    <w:rsid w:val="00CC24FA"/>
    <w:rsid w:val="00CC2D14"/>
    <w:rsid w:val="00CC3377"/>
    <w:rsid w:val="00CC3A93"/>
    <w:rsid w:val="00CC4F87"/>
    <w:rsid w:val="00CC6024"/>
    <w:rsid w:val="00CC60D5"/>
    <w:rsid w:val="00CC6EAA"/>
    <w:rsid w:val="00CC72AE"/>
    <w:rsid w:val="00CC77D6"/>
    <w:rsid w:val="00CC7F01"/>
    <w:rsid w:val="00CD0274"/>
    <w:rsid w:val="00CD1033"/>
    <w:rsid w:val="00CD15F5"/>
    <w:rsid w:val="00CD22A1"/>
    <w:rsid w:val="00CD2E7D"/>
    <w:rsid w:val="00CD2E9C"/>
    <w:rsid w:val="00CD4367"/>
    <w:rsid w:val="00CD4989"/>
    <w:rsid w:val="00CE01E4"/>
    <w:rsid w:val="00CE14E6"/>
    <w:rsid w:val="00CE18B9"/>
    <w:rsid w:val="00CE318F"/>
    <w:rsid w:val="00CE3213"/>
    <w:rsid w:val="00CE4E9E"/>
    <w:rsid w:val="00CE6FBD"/>
    <w:rsid w:val="00CF0F41"/>
    <w:rsid w:val="00CF106D"/>
    <w:rsid w:val="00CF1916"/>
    <w:rsid w:val="00CF1C6D"/>
    <w:rsid w:val="00CF2A13"/>
    <w:rsid w:val="00CF32FF"/>
    <w:rsid w:val="00CF42E1"/>
    <w:rsid w:val="00CF4AFB"/>
    <w:rsid w:val="00CF6774"/>
    <w:rsid w:val="00CF70AB"/>
    <w:rsid w:val="00CF7263"/>
    <w:rsid w:val="00CF73F1"/>
    <w:rsid w:val="00CF79A2"/>
    <w:rsid w:val="00D00025"/>
    <w:rsid w:val="00D002A0"/>
    <w:rsid w:val="00D00DF9"/>
    <w:rsid w:val="00D0271F"/>
    <w:rsid w:val="00D03277"/>
    <w:rsid w:val="00D03405"/>
    <w:rsid w:val="00D0469D"/>
    <w:rsid w:val="00D05779"/>
    <w:rsid w:val="00D05D99"/>
    <w:rsid w:val="00D069B1"/>
    <w:rsid w:val="00D06CDC"/>
    <w:rsid w:val="00D07282"/>
    <w:rsid w:val="00D07638"/>
    <w:rsid w:val="00D07B79"/>
    <w:rsid w:val="00D10913"/>
    <w:rsid w:val="00D10A1C"/>
    <w:rsid w:val="00D112D6"/>
    <w:rsid w:val="00D11741"/>
    <w:rsid w:val="00D12752"/>
    <w:rsid w:val="00D12EE0"/>
    <w:rsid w:val="00D134B2"/>
    <w:rsid w:val="00D13CDB"/>
    <w:rsid w:val="00D163F5"/>
    <w:rsid w:val="00D16644"/>
    <w:rsid w:val="00D2138A"/>
    <w:rsid w:val="00D21697"/>
    <w:rsid w:val="00D2180B"/>
    <w:rsid w:val="00D22775"/>
    <w:rsid w:val="00D22D68"/>
    <w:rsid w:val="00D22E15"/>
    <w:rsid w:val="00D232CA"/>
    <w:rsid w:val="00D2349D"/>
    <w:rsid w:val="00D24F44"/>
    <w:rsid w:val="00D2595F"/>
    <w:rsid w:val="00D25CF5"/>
    <w:rsid w:val="00D25FF8"/>
    <w:rsid w:val="00D265B3"/>
    <w:rsid w:val="00D26644"/>
    <w:rsid w:val="00D279FC"/>
    <w:rsid w:val="00D27CC0"/>
    <w:rsid w:val="00D27F84"/>
    <w:rsid w:val="00D302D3"/>
    <w:rsid w:val="00D3059B"/>
    <w:rsid w:val="00D30E54"/>
    <w:rsid w:val="00D32418"/>
    <w:rsid w:val="00D32541"/>
    <w:rsid w:val="00D328E1"/>
    <w:rsid w:val="00D32997"/>
    <w:rsid w:val="00D32D4F"/>
    <w:rsid w:val="00D32E33"/>
    <w:rsid w:val="00D331CC"/>
    <w:rsid w:val="00D33351"/>
    <w:rsid w:val="00D338FB"/>
    <w:rsid w:val="00D3452C"/>
    <w:rsid w:val="00D34768"/>
    <w:rsid w:val="00D34A5E"/>
    <w:rsid w:val="00D3750B"/>
    <w:rsid w:val="00D37A7E"/>
    <w:rsid w:val="00D37D9E"/>
    <w:rsid w:val="00D403F3"/>
    <w:rsid w:val="00D4063B"/>
    <w:rsid w:val="00D40DA5"/>
    <w:rsid w:val="00D4129C"/>
    <w:rsid w:val="00D4130B"/>
    <w:rsid w:val="00D424CE"/>
    <w:rsid w:val="00D426E0"/>
    <w:rsid w:val="00D42F10"/>
    <w:rsid w:val="00D43243"/>
    <w:rsid w:val="00D439A5"/>
    <w:rsid w:val="00D43C0E"/>
    <w:rsid w:val="00D4699C"/>
    <w:rsid w:val="00D469F2"/>
    <w:rsid w:val="00D46B5F"/>
    <w:rsid w:val="00D47558"/>
    <w:rsid w:val="00D47AAC"/>
    <w:rsid w:val="00D47CED"/>
    <w:rsid w:val="00D50936"/>
    <w:rsid w:val="00D50CA3"/>
    <w:rsid w:val="00D5141B"/>
    <w:rsid w:val="00D567BB"/>
    <w:rsid w:val="00D573DD"/>
    <w:rsid w:val="00D574C8"/>
    <w:rsid w:val="00D57AD9"/>
    <w:rsid w:val="00D57BCF"/>
    <w:rsid w:val="00D60046"/>
    <w:rsid w:val="00D6012E"/>
    <w:rsid w:val="00D6165D"/>
    <w:rsid w:val="00D619D6"/>
    <w:rsid w:val="00D61BE1"/>
    <w:rsid w:val="00D61C18"/>
    <w:rsid w:val="00D624DA"/>
    <w:rsid w:val="00D62DF1"/>
    <w:rsid w:val="00D63FA1"/>
    <w:rsid w:val="00D63FEA"/>
    <w:rsid w:val="00D647E5"/>
    <w:rsid w:val="00D65330"/>
    <w:rsid w:val="00D65972"/>
    <w:rsid w:val="00D67311"/>
    <w:rsid w:val="00D70D49"/>
    <w:rsid w:val="00D710F0"/>
    <w:rsid w:val="00D71880"/>
    <w:rsid w:val="00D71D3B"/>
    <w:rsid w:val="00D71FFB"/>
    <w:rsid w:val="00D74531"/>
    <w:rsid w:val="00D7631E"/>
    <w:rsid w:val="00D77006"/>
    <w:rsid w:val="00D80898"/>
    <w:rsid w:val="00D80DC8"/>
    <w:rsid w:val="00D81850"/>
    <w:rsid w:val="00D81A37"/>
    <w:rsid w:val="00D81CC1"/>
    <w:rsid w:val="00D81DD7"/>
    <w:rsid w:val="00D826EC"/>
    <w:rsid w:val="00D834CC"/>
    <w:rsid w:val="00D837C5"/>
    <w:rsid w:val="00D83EE4"/>
    <w:rsid w:val="00D83FA0"/>
    <w:rsid w:val="00D84C45"/>
    <w:rsid w:val="00D8554F"/>
    <w:rsid w:val="00D85CDA"/>
    <w:rsid w:val="00D866AC"/>
    <w:rsid w:val="00D87F46"/>
    <w:rsid w:val="00D906C3"/>
    <w:rsid w:val="00D90797"/>
    <w:rsid w:val="00D909A1"/>
    <w:rsid w:val="00D90E41"/>
    <w:rsid w:val="00D9180B"/>
    <w:rsid w:val="00D91978"/>
    <w:rsid w:val="00D91A8D"/>
    <w:rsid w:val="00D92B2A"/>
    <w:rsid w:val="00D931BA"/>
    <w:rsid w:val="00D932F9"/>
    <w:rsid w:val="00D94806"/>
    <w:rsid w:val="00D94CE2"/>
    <w:rsid w:val="00D95097"/>
    <w:rsid w:val="00D95594"/>
    <w:rsid w:val="00D95785"/>
    <w:rsid w:val="00D95BA4"/>
    <w:rsid w:val="00D96DA4"/>
    <w:rsid w:val="00D96FA4"/>
    <w:rsid w:val="00D97153"/>
    <w:rsid w:val="00D97B90"/>
    <w:rsid w:val="00DA0021"/>
    <w:rsid w:val="00DA09D6"/>
    <w:rsid w:val="00DA18F2"/>
    <w:rsid w:val="00DA19C6"/>
    <w:rsid w:val="00DA216D"/>
    <w:rsid w:val="00DA25EF"/>
    <w:rsid w:val="00DA3170"/>
    <w:rsid w:val="00DA3367"/>
    <w:rsid w:val="00DA3A75"/>
    <w:rsid w:val="00DA4522"/>
    <w:rsid w:val="00DA50F1"/>
    <w:rsid w:val="00DA57CB"/>
    <w:rsid w:val="00DA5DCE"/>
    <w:rsid w:val="00DA5DF5"/>
    <w:rsid w:val="00DA5ECD"/>
    <w:rsid w:val="00DA6373"/>
    <w:rsid w:val="00DA68FE"/>
    <w:rsid w:val="00DA6D38"/>
    <w:rsid w:val="00DA700A"/>
    <w:rsid w:val="00DA746C"/>
    <w:rsid w:val="00DA7A99"/>
    <w:rsid w:val="00DB0D93"/>
    <w:rsid w:val="00DB168A"/>
    <w:rsid w:val="00DB20DF"/>
    <w:rsid w:val="00DB2505"/>
    <w:rsid w:val="00DB2DCA"/>
    <w:rsid w:val="00DB332B"/>
    <w:rsid w:val="00DB3763"/>
    <w:rsid w:val="00DB396C"/>
    <w:rsid w:val="00DB41F3"/>
    <w:rsid w:val="00DB5588"/>
    <w:rsid w:val="00DB62BE"/>
    <w:rsid w:val="00DB7151"/>
    <w:rsid w:val="00DB7658"/>
    <w:rsid w:val="00DB787B"/>
    <w:rsid w:val="00DC11CF"/>
    <w:rsid w:val="00DC1C79"/>
    <w:rsid w:val="00DC2E49"/>
    <w:rsid w:val="00DC34BA"/>
    <w:rsid w:val="00DC450E"/>
    <w:rsid w:val="00DC52BB"/>
    <w:rsid w:val="00DC5B54"/>
    <w:rsid w:val="00DC5E59"/>
    <w:rsid w:val="00DC653B"/>
    <w:rsid w:val="00DD1847"/>
    <w:rsid w:val="00DD2642"/>
    <w:rsid w:val="00DD3862"/>
    <w:rsid w:val="00DD3F2E"/>
    <w:rsid w:val="00DD4844"/>
    <w:rsid w:val="00DD58A7"/>
    <w:rsid w:val="00DD70E4"/>
    <w:rsid w:val="00DD7449"/>
    <w:rsid w:val="00DD78FF"/>
    <w:rsid w:val="00DE066D"/>
    <w:rsid w:val="00DE1DDE"/>
    <w:rsid w:val="00DE2A88"/>
    <w:rsid w:val="00DE43BA"/>
    <w:rsid w:val="00DE4B3D"/>
    <w:rsid w:val="00DE52F3"/>
    <w:rsid w:val="00DE6388"/>
    <w:rsid w:val="00DE6520"/>
    <w:rsid w:val="00DE655A"/>
    <w:rsid w:val="00DE6582"/>
    <w:rsid w:val="00DE7A44"/>
    <w:rsid w:val="00DF0031"/>
    <w:rsid w:val="00DF0C10"/>
    <w:rsid w:val="00DF3F3E"/>
    <w:rsid w:val="00DF45B1"/>
    <w:rsid w:val="00DF4B90"/>
    <w:rsid w:val="00DF51E5"/>
    <w:rsid w:val="00DF769F"/>
    <w:rsid w:val="00E0049A"/>
    <w:rsid w:val="00E010F8"/>
    <w:rsid w:val="00E01675"/>
    <w:rsid w:val="00E02071"/>
    <w:rsid w:val="00E02B1C"/>
    <w:rsid w:val="00E03644"/>
    <w:rsid w:val="00E04714"/>
    <w:rsid w:val="00E04A12"/>
    <w:rsid w:val="00E103D6"/>
    <w:rsid w:val="00E10CAB"/>
    <w:rsid w:val="00E1142C"/>
    <w:rsid w:val="00E131F7"/>
    <w:rsid w:val="00E14F28"/>
    <w:rsid w:val="00E15495"/>
    <w:rsid w:val="00E1597C"/>
    <w:rsid w:val="00E162A5"/>
    <w:rsid w:val="00E20DC1"/>
    <w:rsid w:val="00E20E73"/>
    <w:rsid w:val="00E22855"/>
    <w:rsid w:val="00E22873"/>
    <w:rsid w:val="00E2290F"/>
    <w:rsid w:val="00E23362"/>
    <w:rsid w:val="00E235DE"/>
    <w:rsid w:val="00E2421C"/>
    <w:rsid w:val="00E25C51"/>
    <w:rsid w:val="00E261B8"/>
    <w:rsid w:val="00E2625A"/>
    <w:rsid w:val="00E279D6"/>
    <w:rsid w:val="00E27F4D"/>
    <w:rsid w:val="00E27FA9"/>
    <w:rsid w:val="00E31A43"/>
    <w:rsid w:val="00E329A9"/>
    <w:rsid w:val="00E33115"/>
    <w:rsid w:val="00E3411E"/>
    <w:rsid w:val="00E35A1D"/>
    <w:rsid w:val="00E35E67"/>
    <w:rsid w:val="00E3604C"/>
    <w:rsid w:val="00E36871"/>
    <w:rsid w:val="00E36AE0"/>
    <w:rsid w:val="00E377E4"/>
    <w:rsid w:val="00E4024D"/>
    <w:rsid w:val="00E40876"/>
    <w:rsid w:val="00E40AA0"/>
    <w:rsid w:val="00E41137"/>
    <w:rsid w:val="00E42E35"/>
    <w:rsid w:val="00E43D13"/>
    <w:rsid w:val="00E44CBD"/>
    <w:rsid w:val="00E44E44"/>
    <w:rsid w:val="00E4539F"/>
    <w:rsid w:val="00E45761"/>
    <w:rsid w:val="00E45A5F"/>
    <w:rsid w:val="00E45B84"/>
    <w:rsid w:val="00E45BF4"/>
    <w:rsid w:val="00E45CBA"/>
    <w:rsid w:val="00E45E0D"/>
    <w:rsid w:val="00E4648F"/>
    <w:rsid w:val="00E467D5"/>
    <w:rsid w:val="00E46C34"/>
    <w:rsid w:val="00E46F6B"/>
    <w:rsid w:val="00E50977"/>
    <w:rsid w:val="00E50CC9"/>
    <w:rsid w:val="00E510DC"/>
    <w:rsid w:val="00E5346B"/>
    <w:rsid w:val="00E5389E"/>
    <w:rsid w:val="00E54D19"/>
    <w:rsid w:val="00E56B3B"/>
    <w:rsid w:val="00E57008"/>
    <w:rsid w:val="00E57313"/>
    <w:rsid w:val="00E6059C"/>
    <w:rsid w:val="00E6087A"/>
    <w:rsid w:val="00E60FC8"/>
    <w:rsid w:val="00E618B4"/>
    <w:rsid w:val="00E621AA"/>
    <w:rsid w:val="00E6243F"/>
    <w:rsid w:val="00E625E3"/>
    <w:rsid w:val="00E62864"/>
    <w:rsid w:val="00E62DEB"/>
    <w:rsid w:val="00E62FFA"/>
    <w:rsid w:val="00E635AC"/>
    <w:rsid w:val="00E63611"/>
    <w:rsid w:val="00E63C6A"/>
    <w:rsid w:val="00E64077"/>
    <w:rsid w:val="00E64B40"/>
    <w:rsid w:val="00E65A42"/>
    <w:rsid w:val="00E70076"/>
    <w:rsid w:val="00E70DA6"/>
    <w:rsid w:val="00E72841"/>
    <w:rsid w:val="00E74FB7"/>
    <w:rsid w:val="00E75AB5"/>
    <w:rsid w:val="00E75D3E"/>
    <w:rsid w:val="00E7642A"/>
    <w:rsid w:val="00E7708D"/>
    <w:rsid w:val="00E7768C"/>
    <w:rsid w:val="00E77811"/>
    <w:rsid w:val="00E77F67"/>
    <w:rsid w:val="00E80392"/>
    <w:rsid w:val="00E81C35"/>
    <w:rsid w:val="00E828CC"/>
    <w:rsid w:val="00E83205"/>
    <w:rsid w:val="00E842CC"/>
    <w:rsid w:val="00E844AB"/>
    <w:rsid w:val="00E845D1"/>
    <w:rsid w:val="00E847D4"/>
    <w:rsid w:val="00E8519B"/>
    <w:rsid w:val="00E852B9"/>
    <w:rsid w:val="00E854BD"/>
    <w:rsid w:val="00E85596"/>
    <w:rsid w:val="00E86812"/>
    <w:rsid w:val="00E873A2"/>
    <w:rsid w:val="00E92C6A"/>
    <w:rsid w:val="00E92EA9"/>
    <w:rsid w:val="00E932AE"/>
    <w:rsid w:val="00E93EF8"/>
    <w:rsid w:val="00E9534F"/>
    <w:rsid w:val="00E9545E"/>
    <w:rsid w:val="00E95993"/>
    <w:rsid w:val="00E96BC1"/>
    <w:rsid w:val="00E96E3C"/>
    <w:rsid w:val="00E96F5A"/>
    <w:rsid w:val="00E96FBB"/>
    <w:rsid w:val="00E97AD1"/>
    <w:rsid w:val="00E97CD2"/>
    <w:rsid w:val="00EA06FB"/>
    <w:rsid w:val="00EA1DF7"/>
    <w:rsid w:val="00EA2751"/>
    <w:rsid w:val="00EA2BDF"/>
    <w:rsid w:val="00EA417E"/>
    <w:rsid w:val="00EA4611"/>
    <w:rsid w:val="00EA510C"/>
    <w:rsid w:val="00EA57A4"/>
    <w:rsid w:val="00EA5E3D"/>
    <w:rsid w:val="00EA6572"/>
    <w:rsid w:val="00EA71D3"/>
    <w:rsid w:val="00EB15FD"/>
    <w:rsid w:val="00EB17BC"/>
    <w:rsid w:val="00EB18FE"/>
    <w:rsid w:val="00EB3506"/>
    <w:rsid w:val="00EB4726"/>
    <w:rsid w:val="00EB4960"/>
    <w:rsid w:val="00EB4A89"/>
    <w:rsid w:val="00EB5132"/>
    <w:rsid w:val="00EB5383"/>
    <w:rsid w:val="00EB54EE"/>
    <w:rsid w:val="00EB66DE"/>
    <w:rsid w:val="00EB6901"/>
    <w:rsid w:val="00EB7CAC"/>
    <w:rsid w:val="00EC043E"/>
    <w:rsid w:val="00EC0861"/>
    <w:rsid w:val="00EC0AEF"/>
    <w:rsid w:val="00EC2DC2"/>
    <w:rsid w:val="00EC3B6C"/>
    <w:rsid w:val="00EC5CDA"/>
    <w:rsid w:val="00EC68CF"/>
    <w:rsid w:val="00EC69A7"/>
    <w:rsid w:val="00ED00F8"/>
    <w:rsid w:val="00ED0124"/>
    <w:rsid w:val="00ED1457"/>
    <w:rsid w:val="00ED1C75"/>
    <w:rsid w:val="00ED219A"/>
    <w:rsid w:val="00ED2734"/>
    <w:rsid w:val="00ED3849"/>
    <w:rsid w:val="00ED3A8B"/>
    <w:rsid w:val="00ED4653"/>
    <w:rsid w:val="00ED5615"/>
    <w:rsid w:val="00ED6F19"/>
    <w:rsid w:val="00ED7A6F"/>
    <w:rsid w:val="00ED7B10"/>
    <w:rsid w:val="00EE124F"/>
    <w:rsid w:val="00EE1D33"/>
    <w:rsid w:val="00EE26B5"/>
    <w:rsid w:val="00EE3A0C"/>
    <w:rsid w:val="00EE3E73"/>
    <w:rsid w:val="00EE3F00"/>
    <w:rsid w:val="00EE4040"/>
    <w:rsid w:val="00EE41FB"/>
    <w:rsid w:val="00EE4477"/>
    <w:rsid w:val="00EE465A"/>
    <w:rsid w:val="00EE5AFC"/>
    <w:rsid w:val="00EE669F"/>
    <w:rsid w:val="00EE79D7"/>
    <w:rsid w:val="00EF0806"/>
    <w:rsid w:val="00EF153E"/>
    <w:rsid w:val="00EF1B9C"/>
    <w:rsid w:val="00EF1DDF"/>
    <w:rsid w:val="00EF3634"/>
    <w:rsid w:val="00EF3A10"/>
    <w:rsid w:val="00EF4B12"/>
    <w:rsid w:val="00EF585C"/>
    <w:rsid w:val="00EF6F78"/>
    <w:rsid w:val="00EF70B9"/>
    <w:rsid w:val="00EF73BB"/>
    <w:rsid w:val="00EF7480"/>
    <w:rsid w:val="00EF7684"/>
    <w:rsid w:val="00F01495"/>
    <w:rsid w:val="00F016DA"/>
    <w:rsid w:val="00F02117"/>
    <w:rsid w:val="00F0244D"/>
    <w:rsid w:val="00F02502"/>
    <w:rsid w:val="00F02754"/>
    <w:rsid w:val="00F04073"/>
    <w:rsid w:val="00F04089"/>
    <w:rsid w:val="00F0455A"/>
    <w:rsid w:val="00F05100"/>
    <w:rsid w:val="00F0529B"/>
    <w:rsid w:val="00F05310"/>
    <w:rsid w:val="00F05406"/>
    <w:rsid w:val="00F0632A"/>
    <w:rsid w:val="00F07161"/>
    <w:rsid w:val="00F07E17"/>
    <w:rsid w:val="00F11032"/>
    <w:rsid w:val="00F11618"/>
    <w:rsid w:val="00F1175E"/>
    <w:rsid w:val="00F12B5B"/>
    <w:rsid w:val="00F13180"/>
    <w:rsid w:val="00F13AE8"/>
    <w:rsid w:val="00F14A39"/>
    <w:rsid w:val="00F14F59"/>
    <w:rsid w:val="00F17906"/>
    <w:rsid w:val="00F2272C"/>
    <w:rsid w:val="00F23357"/>
    <w:rsid w:val="00F2370F"/>
    <w:rsid w:val="00F237AE"/>
    <w:rsid w:val="00F23A1D"/>
    <w:rsid w:val="00F258FB"/>
    <w:rsid w:val="00F2639A"/>
    <w:rsid w:val="00F30BF1"/>
    <w:rsid w:val="00F31DC2"/>
    <w:rsid w:val="00F31E52"/>
    <w:rsid w:val="00F333B8"/>
    <w:rsid w:val="00F33562"/>
    <w:rsid w:val="00F3440B"/>
    <w:rsid w:val="00F34A95"/>
    <w:rsid w:val="00F35DC9"/>
    <w:rsid w:val="00F36411"/>
    <w:rsid w:val="00F37C65"/>
    <w:rsid w:val="00F400AD"/>
    <w:rsid w:val="00F40A79"/>
    <w:rsid w:val="00F40BA1"/>
    <w:rsid w:val="00F418E7"/>
    <w:rsid w:val="00F42CB4"/>
    <w:rsid w:val="00F42FCE"/>
    <w:rsid w:val="00F437E8"/>
    <w:rsid w:val="00F43A5A"/>
    <w:rsid w:val="00F44EB0"/>
    <w:rsid w:val="00F46297"/>
    <w:rsid w:val="00F47048"/>
    <w:rsid w:val="00F47C5E"/>
    <w:rsid w:val="00F47D9A"/>
    <w:rsid w:val="00F47E5B"/>
    <w:rsid w:val="00F50D3A"/>
    <w:rsid w:val="00F50DEE"/>
    <w:rsid w:val="00F50EAA"/>
    <w:rsid w:val="00F51813"/>
    <w:rsid w:val="00F51882"/>
    <w:rsid w:val="00F51FFE"/>
    <w:rsid w:val="00F5236C"/>
    <w:rsid w:val="00F53933"/>
    <w:rsid w:val="00F5514A"/>
    <w:rsid w:val="00F5616E"/>
    <w:rsid w:val="00F570BE"/>
    <w:rsid w:val="00F575BF"/>
    <w:rsid w:val="00F6017F"/>
    <w:rsid w:val="00F60A2D"/>
    <w:rsid w:val="00F6178B"/>
    <w:rsid w:val="00F62CA2"/>
    <w:rsid w:val="00F62F70"/>
    <w:rsid w:val="00F639ED"/>
    <w:rsid w:val="00F655AF"/>
    <w:rsid w:val="00F66A46"/>
    <w:rsid w:val="00F673A3"/>
    <w:rsid w:val="00F70541"/>
    <w:rsid w:val="00F70F4F"/>
    <w:rsid w:val="00F7107B"/>
    <w:rsid w:val="00F71103"/>
    <w:rsid w:val="00F712F9"/>
    <w:rsid w:val="00F73C45"/>
    <w:rsid w:val="00F73F3E"/>
    <w:rsid w:val="00F741B0"/>
    <w:rsid w:val="00F761F1"/>
    <w:rsid w:val="00F77BA0"/>
    <w:rsid w:val="00F807DD"/>
    <w:rsid w:val="00F81D19"/>
    <w:rsid w:val="00F82261"/>
    <w:rsid w:val="00F82759"/>
    <w:rsid w:val="00F82D63"/>
    <w:rsid w:val="00F8318C"/>
    <w:rsid w:val="00F83360"/>
    <w:rsid w:val="00F8475D"/>
    <w:rsid w:val="00F84CA0"/>
    <w:rsid w:val="00F85107"/>
    <w:rsid w:val="00F855FE"/>
    <w:rsid w:val="00F85EF6"/>
    <w:rsid w:val="00F8644F"/>
    <w:rsid w:val="00F87787"/>
    <w:rsid w:val="00F91707"/>
    <w:rsid w:val="00F92278"/>
    <w:rsid w:val="00F92652"/>
    <w:rsid w:val="00F92D92"/>
    <w:rsid w:val="00F93435"/>
    <w:rsid w:val="00F93DC5"/>
    <w:rsid w:val="00F93EC9"/>
    <w:rsid w:val="00F9425F"/>
    <w:rsid w:val="00F95639"/>
    <w:rsid w:val="00F956C6"/>
    <w:rsid w:val="00F96793"/>
    <w:rsid w:val="00F96B73"/>
    <w:rsid w:val="00FA0398"/>
    <w:rsid w:val="00FA108B"/>
    <w:rsid w:val="00FA11F5"/>
    <w:rsid w:val="00FA147F"/>
    <w:rsid w:val="00FA18C9"/>
    <w:rsid w:val="00FA18F1"/>
    <w:rsid w:val="00FA3719"/>
    <w:rsid w:val="00FA57A6"/>
    <w:rsid w:val="00FA5C57"/>
    <w:rsid w:val="00FA5DF1"/>
    <w:rsid w:val="00FA6378"/>
    <w:rsid w:val="00FA6840"/>
    <w:rsid w:val="00FA6E82"/>
    <w:rsid w:val="00FA7ECF"/>
    <w:rsid w:val="00FB00FB"/>
    <w:rsid w:val="00FB01AC"/>
    <w:rsid w:val="00FB07F0"/>
    <w:rsid w:val="00FB174C"/>
    <w:rsid w:val="00FB226D"/>
    <w:rsid w:val="00FB2533"/>
    <w:rsid w:val="00FB2FE4"/>
    <w:rsid w:val="00FB38D6"/>
    <w:rsid w:val="00FB3C74"/>
    <w:rsid w:val="00FB3DDE"/>
    <w:rsid w:val="00FB46FA"/>
    <w:rsid w:val="00FB470C"/>
    <w:rsid w:val="00FB5042"/>
    <w:rsid w:val="00FB712E"/>
    <w:rsid w:val="00FB7B08"/>
    <w:rsid w:val="00FC01A8"/>
    <w:rsid w:val="00FC0808"/>
    <w:rsid w:val="00FC0883"/>
    <w:rsid w:val="00FC22B9"/>
    <w:rsid w:val="00FC307E"/>
    <w:rsid w:val="00FC31FE"/>
    <w:rsid w:val="00FC3B1F"/>
    <w:rsid w:val="00FC3E67"/>
    <w:rsid w:val="00FC44E7"/>
    <w:rsid w:val="00FC4524"/>
    <w:rsid w:val="00FC487A"/>
    <w:rsid w:val="00FC5DBC"/>
    <w:rsid w:val="00FC62E7"/>
    <w:rsid w:val="00FC6E90"/>
    <w:rsid w:val="00FC79E2"/>
    <w:rsid w:val="00FD0B30"/>
    <w:rsid w:val="00FD0CED"/>
    <w:rsid w:val="00FD2FFB"/>
    <w:rsid w:val="00FD3188"/>
    <w:rsid w:val="00FD3616"/>
    <w:rsid w:val="00FD3B66"/>
    <w:rsid w:val="00FD3D20"/>
    <w:rsid w:val="00FD4546"/>
    <w:rsid w:val="00FD4EEF"/>
    <w:rsid w:val="00FD4FA3"/>
    <w:rsid w:val="00FD5152"/>
    <w:rsid w:val="00FD5500"/>
    <w:rsid w:val="00FD5540"/>
    <w:rsid w:val="00FD71F8"/>
    <w:rsid w:val="00FD7D8D"/>
    <w:rsid w:val="00FD7E57"/>
    <w:rsid w:val="00FE0364"/>
    <w:rsid w:val="00FE1599"/>
    <w:rsid w:val="00FE16AC"/>
    <w:rsid w:val="00FE1C5B"/>
    <w:rsid w:val="00FE38F2"/>
    <w:rsid w:val="00FE410A"/>
    <w:rsid w:val="00FE4385"/>
    <w:rsid w:val="00FE4FE2"/>
    <w:rsid w:val="00FE5773"/>
    <w:rsid w:val="00FE7C25"/>
    <w:rsid w:val="00FF25AE"/>
    <w:rsid w:val="00FF3224"/>
    <w:rsid w:val="00FF3605"/>
    <w:rsid w:val="00FF43F8"/>
    <w:rsid w:val="00FF4781"/>
    <w:rsid w:val="00FF4BE6"/>
    <w:rsid w:val="00FF559A"/>
    <w:rsid w:val="00FF5A7B"/>
    <w:rsid w:val="00FF5E30"/>
    <w:rsid w:val="00FF5E9A"/>
    <w:rsid w:val="00FF606C"/>
    <w:rsid w:val="00FF6E33"/>
    <w:rsid w:val="00FF71BC"/>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7612A4"/>
  <w15:chartTrackingRefBased/>
  <w15:docId w15:val="{E0D9CE5A-3282-4476-8B7C-3E299DAD8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32D"/>
    <w:pPr>
      <w:spacing w:after="0" w:line="240" w:lineRule="auto"/>
      <w:jc w:val="both"/>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F21EE"/>
    <w:pPr>
      <w:keepNext/>
      <w:keepLines/>
      <w:numPr>
        <w:numId w:val="33"/>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Normal"/>
    <w:link w:val="Heading2Char"/>
    <w:uiPriority w:val="9"/>
    <w:unhideWhenUsed/>
    <w:qFormat/>
    <w:rsid w:val="00BF21EE"/>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BF21EE"/>
    <w:pPr>
      <w:keepNext/>
      <w:keepLines/>
      <w:numPr>
        <w:numId w:val="34"/>
      </w:numPr>
      <w:spacing w:before="120" w:after="120"/>
      <w:outlineLvl w:val="2"/>
    </w:pPr>
    <w:rPr>
      <w:rFonts w:eastAsiaTheme="majorEastAsia"/>
      <w:b/>
      <w:bCs/>
    </w:rPr>
  </w:style>
  <w:style w:type="paragraph" w:styleId="Heading4">
    <w:name w:val="heading 4"/>
    <w:basedOn w:val="Normal"/>
    <w:next w:val="Normal"/>
    <w:link w:val="Heading4Char"/>
    <w:uiPriority w:val="9"/>
    <w:unhideWhenUsed/>
    <w:qFormat/>
    <w:rsid w:val="00BF21EE"/>
    <w:pPr>
      <w:keepNext/>
      <w:spacing w:before="120"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BF21EE"/>
    <w:pPr>
      <w:keepNext/>
      <w:spacing w:before="120" w:after="120"/>
      <w:ind w:left="567" w:hanging="567"/>
      <w:outlineLvl w:val="4"/>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BF21EE"/>
    <w:pPr>
      <w:suppressLineNumbers/>
      <w:suppressAutoHyphens/>
      <w:spacing w:before="120" w:line="240" w:lineRule="auto"/>
    </w:pPr>
    <w:rPr>
      <w:rFonts w:ascii="Times New Roman" w:eastAsia="Times New Roman" w:hAnsi="Times New Roman" w:cs="Times New Roman"/>
      <w:b/>
      <w:iCs/>
      <w:snapToGrid w:val="0"/>
      <w:kern w:val="22"/>
      <w:sz w:val="24"/>
      <w14:ligatures w14:val="none"/>
    </w:rPr>
  </w:style>
  <w:style w:type="paragraph" w:styleId="BodyText">
    <w:name w:val="Body Text"/>
    <w:basedOn w:val="Normal"/>
    <w:link w:val="BodyTextChar"/>
    <w:uiPriority w:val="99"/>
    <w:semiHidden/>
    <w:unhideWhenUsed/>
    <w:rsid w:val="00BF21EE"/>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BF21EE"/>
  </w:style>
  <w:style w:type="paragraph" w:styleId="Title">
    <w:name w:val="Title"/>
    <w:basedOn w:val="Normal"/>
    <w:next w:val="Normal"/>
    <w:link w:val="TitleChar"/>
    <w:uiPriority w:val="10"/>
    <w:qFormat/>
    <w:rsid w:val="00BF21EE"/>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BF21EE"/>
    <w:rPr>
      <w:rFonts w:ascii="Times New Roman Bold" w:eastAsiaTheme="majorEastAsia" w:hAnsi="Times New Roman Bold" w:cs="Times New Roman"/>
      <w:b/>
      <w:bCs/>
      <w:spacing w:val="5"/>
      <w:kern w:val="28"/>
      <w:sz w:val="28"/>
      <w:szCs w:val="28"/>
      <w:lang w:val="fr-CA"/>
    </w:rPr>
  </w:style>
  <w:style w:type="character" w:customStyle="1" w:styleId="Heading1Char">
    <w:name w:val="Heading 1 Char"/>
    <w:basedOn w:val="DefaultParagraphFont"/>
    <w:link w:val="Heading1"/>
    <w:uiPriority w:val="9"/>
    <w:rsid w:val="00BF21EE"/>
    <w:rPr>
      <w:rFonts w:ascii="Times New Roman" w:eastAsiaTheme="majorEastAsia" w:hAnsi="Times New Roman" w:cstheme="majorBidi"/>
      <w:b/>
      <w:bCs/>
      <w:sz w:val="28"/>
      <w:szCs w:val="32"/>
    </w:rPr>
  </w:style>
  <w:style w:type="paragraph" w:customStyle="1" w:styleId="Cornernotation">
    <w:name w:val="Corner notation"/>
    <w:basedOn w:val="Normal"/>
    <w:rsid w:val="00BF21EE"/>
    <w:pPr>
      <w:ind w:left="170" w:right="3119" w:hanging="170"/>
      <w:jc w:val="left"/>
    </w:pPr>
    <w:rPr>
      <w:b/>
      <w:sz w:val="24"/>
    </w:rPr>
  </w:style>
  <w:style w:type="table" w:customStyle="1" w:styleId="TableGrid1">
    <w:name w:val="Table Grid1"/>
    <w:basedOn w:val="TableNormal"/>
    <w:next w:val="TableGrid"/>
    <w:uiPriority w:val="59"/>
    <w:rsid w:val="00BF21EE"/>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F21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BF21EE"/>
    <w:rPr>
      <w:b w:val="0"/>
      <w:bCs/>
      <w:sz w:val="22"/>
    </w:rPr>
  </w:style>
  <w:style w:type="paragraph" w:styleId="FootnoteText">
    <w:name w:val="footnote text"/>
    <w:basedOn w:val="Normal"/>
    <w:link w:val="FootnoteTextChar"/>
    <w:uiPriority w:val="99"/>
    <w:unhideWhenUsed/>
    <w:rsid w:val="00BF21EE"/>
    <w:rPr>
      <w:sz w:val="20"/>
      <w:szCs w:val="20"/>
    </w:rPr>
  </w:style>
  <w:style w:type="character" w:customStyle="1" w:styleId="FootnoteTextChar">
    <w:name w:val="Footnote Text Char"/>
    <w:basedOn w:val="DefaultParagraphFont"/>
    <w:link w:val="FootnoteText"/>
    <w:uiPriority w:val="99"/>
    <w:rsid w:val="00BF21EE"/>
    <w:rPr>
      <w:rFonts w:ascii="Times New Roman" w:eastAsia="Times New Roman" w:hAnsi="Times New Roman" w:cs="Times New Roman"/>
      <w:kern w:val="0"/>
      <w:sz w:val="20"/>
      <w:szCs w:val="20"/>
      <w:lang w:val="fr-CA"/>
      <w14:ligatures w14:val="none"/>
    </w:rPr>
  </w:style>
  <w:style w:type="character" w:styleId="FootnoteReference">
    <w:name w:val="footnote reference"/>
    <w:basedOn w:val="DefaultParagraphFont"/>
    <w:link w:val="BVIfnrChar"/>
    <w:uiPriority w:val="99"/>
    <w:unhideWhenUsed/>
    <w:rsid w:val="00BF21EE"/>
    <w:rPr>
      <w:vertAlign w:val="superscript"/>
    </w:rPr>
  </w:style>
  <w:style w:type="paragraph" w:customStyle="1" w:styleId="Footnote">
    <w:name w:val="Footnote"/>
    <w:basedOn w:val="FootnoteText"/>
    <w:qFormat/>
    <w:rsid w:val="00BF21EE"/>
    <w:rPr>
      <w:sz w:val="18"/>
      <w:szCs w:val="18"/>
    </w:rPr>
  </w:style>
  <w:style w:type="paragraph" w:customStyle="1" w:styleId="Cornernotation-Item">
    <w:name w:val="Corner notation - Item"/>
    <w:basedOn w:val="Venuedate"/>
    <w:qFormat/>
    <w:rsid w:val="00BF21EE"/>
    <w:rPr>
      <w:b/>
    </w:rPr>
  </w:style>
  <w:style w:type="paragraph" w:styleId="Subtitle">
    <w:name w:val="Subtitle"/>
    <w:basedOn w:val="Normal"/>
    <w:next w:val="Normal"/>
    <w:link w:val="SubtitleChar"/>
    <w:uiPriority w:val="11"/>
    <w:qFormat/>
    <w:rsid w:val="00BF21EE"/>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BF21EE"/>
    <w:rPr>
      <w:rFonts w:ascii="Times New Roman Bold" w:eastAsiaTheme="minorEastAsia" w:hAnsi="Times New Roman Bold"/>
      <w:b/>
      <w:color w:val="5A5A5A" w:themeColor="text1" w:themeTint="A5"/>
      <w:kern w:val="0"/>
      <w:lang w:val="fr-CA"/>
      <w14:ligatures w14:val="none"/>
    </w:rPr>
  </w:style>
  <w:style w:type="paragraph" w:customStyle="1" w:styleId="Para10">
    <w:name w:val="Para 1"/>
    <w:basedOn w:val="Normal"/>
    <w:qFormat/>
    <w:rsid w:val="00FF71BC"/>
    <w:pPr>
      <w:numPr>
        <w:numId w:val="35"/>
      </w:numPr>
      <w:tabs>
        <w:tab w:val="left" w:pos="1134"/>
      </w:tabs>
      <w:spacing w:before="120" w:after="120"/>
      <w:ind w:left="567" w:firstLine="0"/>
    </w:pPr>
  </w:style>
  <w:style w:type="character" w:customStyle="1" w:styleId="Heading2Char">
    <w:name w:val="Heading 2 Char"/>
    <w:basedOn w:val="DefaultParagraphFont"/>
    <w:link w:val="Heading2"/>
    <w:uiPriority w:val="9"/>
    <w:rsid w:val="00BF21EE"/>
    <w:rPr>
      <w:rFonts w:ascii="Times New Roman" w:eastAsiaTheme="majorEastAsia" w:hAnsi="Times New Roman" w:cstheme="majorBidi"/>
      <w:b/>
      <w:kern w:val="0"/>
      <w:sz w:val="24"/>
      <w:szCs w:val="26"/>
      <w:lang w:val="fr-CA"/>
      <w14:ligatures w14:val="none"/>
    </w:rPr>
  </w:style>
  <w:style w:type="character" w:styleId="PlaceholderText">
    <w:name w:val="Placeholder Text"/>
    <w:basedOn w:val="DefaultParagraphFont"/>
    <w:uiPriority w:val="99"/>
    <w:semiHidden/>
    <w:rsid w:val="00BF21EE"/>
    <w:rPr>
      <w:color w:val="808080"/>
    </w:rPr>
  </w:style>
  <w:style w:type="paragraph" w:styleId="Header">
    <w:name w:val="header"/>
    <w:basedOn w:val="Normal"/>
    <w:link w:val="HeaderChar"/>
    <w:unhideWhenUsed/>
    <w:rsid w:val="00BF21EE"/>
    <w:pPr>
      <w:tabs>
        <w:tab w:val="center" w:pos="4680"/>
        <w:tab w:val="right" w:pos="9360"/>
      </w:tabs>
    </w:pPr>
    <w:rPr>
      <w:caps/>
    </w:rPr>
  </w:style>
  <w:style w:type="character" w:customStyle="1" w:styleId="HeaderChar">
    <w:name w:val="Header Char"/>
    <w:basedOn w:val="DefaultParagraphFont"/>
    <w:link w:val="Header"/>
    <w:rsid w:val="00BF21EE"/>
    <w:rPr>
      <w:rFonts w:ascii="Times New Roman" w:eastAsia="Times New Roman" w:hAnsi="Times New Roman" w:cs="Times New Roman"/>
      <w:caps/>
      <w:kern w:val="0"/>
      <w:szCs w:val="24"/>
      <w:lang w:val="fr-CA"/>
      <w14:ligatures w14:val="none"/>
    </w:rPr>
  </w:style>
  <w:style w:type="paragraph" w:styleId="Footer">
    <w:name w:val="footer"/>
    <w:basedOn w:val="Normal"/>
    <w:link w:val="FooterChar"/>
    <w:uiPriority w:val="99"/>
    <w:unhideWhenUsed/>
    <w:rsid w:val="00BF21EE"/>
    <w:pPr>
      <w:tabs>
        <w:tab w:val="center" w:pos="4680"/>
        <w:tab w:val="right" w:pos="9360"/>
      </w:tabs>
    </w:pPr>
  </w:style>
  <w:style w:type="character" w:customStyle="1" w:styleId="FooterChar">
    <w:name w:val="Footer Char"/>
    <w:basedOn w:val="DefaultParagraphFont"/>
    <w:link w:val="Footer"/>
    <w:uiPriority w:val="99"/>
    <w:rsid w:val="00BF21EE"/>
    <w:rPr>
      <w:rFonts w:ascii="Times New Roman" w:eastAsia="Times New Roman" w:hAnsi="Times New Roman" w:cs="Times New Roman"/>
      <w:kern w:val="0"/>
      <w:szCs w:val="24"/>
      <w:lang w:val="fr-CA"/>
      <w14:ligatures w14:val="none"/>
    </w:rPr>
  </w:style>
  <w:style w:type="character" w:customStyle="1" w:styleId="Heading3Char">
    <w:name w:val="Heading 3 Char"/>
    <w:basedOn w:val="DefaultParagraphFont"/>
    <w:link w:val="Heading3"/>
    <w:uiPriority w:val="9"/>
    <w:rsid w:val="00BF21EE"/>
    <w:rPr>
      <w:rFonts w:ascii="Times New Roman" w:eastAsiaTheme="majorEastAsia" w:hAnsi="Times New Roman" w:cs="Times New Roman"/>
      <w:b/>
      <w:bCs/>
      <w:kern w:val="0"/>
      <w:lang w:val="fr-CA"/>
      <w14:ligatures w14:val="none"/>
    </w:rPr>
  </w:style>
  <w:style w:type="paragraph" w:customStyle="1" w:styleId="Para2">
    <w:name w:val="Para 2"/>
    <w:qFormat/>
    <w:rsid w:val="00BF21EE"/>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BF21EE"/>
    <w:rPr>
      <w:b/>
      <w:sz w:val="28"/>
    </w:rPr>
  </w:style>
  <w:style w:type="paragraph" w:customStyle="1" w:styleId="Para3">
    <w:name w:val="Para 3"/>
    <w:basedOn w:val="Normal"/>
    <w:qFormat/>
    <w:rsid w:val="00BF21EE"/>
    <w:pPr>
      <w:tabs>
        <w:tab w:val="left" w:pos="1701"/>
      </w:tabs>
      <w:spacing w:before="120" w:after="120"/>
      <w:ind w:left="1134"/>
    </w:pPr>
  </w:style>
  <w:style w:type="character" w:customStyle="1" w:styleId="Heading4Char">
    <w:name w:val="Heading 4 Char"/>
    <w:basedOn w:val="DefaultParagraphFont"/>
    <w:link w:val="Heading4"/>
    <w:uiPriority w:val="9"/>
    <w:rsid w:val="00BF21EE"/>
    <w:rPr>
      <w:rFonts w:ascii="Times New Roman" w:eastAsiaTheme="majorEastAsia" w:hAnsi="Times New Roman" w:cs="Times New Roman"/>
      <w:b/>
      <w:bCs/>
      <w:kern w:val="0"/>
      <w:szCs w:val="24"/>
      <w:lang w:val="fr-CA"/>
      <w14:ligatures w14:val="none"/>
    </w:rPr>
  </w:style>
  <w:style w:type="character" w:customStyle="1" w:styleId="Heading5Char">
    <w:name w:val="Heading 5 Char"/>
    <w:basedOn w:val="DefaultParagraphFont"/>
    <w:link w:val="Heading5"/>
    <w:uiPriority w:val="9"/>
    <w:rsid w:val="00BF21EE"/>
    <w:rPr>
      <w:rFonts w:ascii="Times New Roman" w:eastAsiaTheme="majorEastAsia" w:hAnsi="Times New Roman" w:cs="Times New Roman"/>
      <w:i/>
      <w:iCs/>
      <w:kern w:val="0"/>
      <w:szCs w:val="24"/>
      <w:lang w:val="fr-CA"/>
      <w14:ligatures w14:val="non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sid w:val="00BF21EE"/>
    <w:rPr>
      <w:rFonts w:ascii="Times New Roman" w:eastAsia="Times New Roman" w:hAnsi="Times New Roman" w:cs="Times New Roman"/>
      <w:kern w:val="0"/>
      <w:sz w:val="20"/>
      <w:szCs w:val="20"/>
      <w:lang w:val="fr-CA"/>
      <w14:ligatures w14:val="none"/>
    </w:rPr>
  </w:style>
  <w:style w:type="paragraph" w:styleId="CommentSubject">
    <w:name w:val="annotation subject"/>
    <w:basedOn w:val="CommentText"/>
    <w:next w:val="CommentText"/>
    <w:link w:val="CommentSubjectChar"/>
    <w:uiPriority w:val="99"/>
    <w:semiHidden/>
    <w:unhideWhenUsed/>
    <w:rsid w:val="00BF21EE"/>
    <w:rPr>
      <w:b/>
      <w:bCs/>
    </w:rPr>
  </w:style>
  <w:style w:type="character" w:customStyle="1" w:styleId="CommentSubjectChar">
    <w:name w:val="Comment Subject Char"/>
    <w:basedOn w:val="CommentTextChar"/>
    <w:link w:val="CommentSubject"/>
    <w:uiPriority w:val="99"/>
    <w:semiHidden/>
    <w:rsid w:val="00BF21EE"/>
    <w:rPr>
      <w:rFonts w:ascii="Times New Roman" w:eastAsia="Times New Roman" w:hAnsi="Times New Roman" w:cs="Times New Roman"/>
      <w:b/>
      <w:bCs/>
      <w:kern w:val="0"/>
      <w:sz w:val="20"/>
      <w:szCs w:val="20"/>
      <w:lang w:val="fr-CA"/>
      <w14:ligatures w14:val="none"/>
    </w:rPr>
  </w:style>
  <w:style w:type="character" w:styleId="Hyperlink">
    <w:name w:val="Hyperlink"/>
    <w:basedOn w:val="DefaultParagraphFont"/>
    <w:uiPriority w:val="99"/>
    <w:unhideWhenUsed/>
    <w:rsid w:val="001425C1"/>
    <w:rPr>
      <w:color w:val="0563C1" w:themeColor="hyperlink"/>
      <w:u w:val="single"/>
    </w:rPr>
  </w:style>
  <w:style w:type="character" w:customStyle="1" w:styleId="UnresolvedMention1">
    <w:name w:val="Unresolved Mention1"/>
    <w:basedOn w:val="DefaultParagraphFont"/>
    <w:uiPriority w:val="99"/>
    <w:semiHidden/>
    <w:unhideWhenUsed/>
    <w:rsid w:val="001425C1"/>
    <w:rPr>
      <w:color w:val="605E5C"/>
      <w:shd w:val="clear" w:color="auto" w:fill="E1DFDD"/>
    </w:rPr>
  </w:style>
  <w:style w:type="paragraph" w:styleId="Revision">
    <w:name w:val="Revision"/>
    <w:hidden/>
    <w:uiPriority w:val="99"/>
    <w:semiHidden/>
    <w:rsid w:val="005A4A7A"/>
    <w:pPr>
      <w:spacing w:after="0" w:line="240" w:lineRule="auto"/>
    </w:pPr>
    <w:rPr>
      <w:rFonts w:ascii="Times New Roman" w:eastAsia="Times New Roman" w:hAnsi="Times New Roman" w:cs="Times New Roman"/>
      <w:kern w:val="0"/>
      <w:szCs w:val="24"/>
      <w14:ligatures w14:val="none"/>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D83EE4"/>
    <w:pPr>
      <w:ind w:left="720"/>
      <w:contextualSpacing/>
    </w:p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8F63E9"/>
    <w:rPr>
      <w:rFonts w:ascii="Times New Roman" w:eastAsia="Times New Roman" w:hAnsi="Times New Roman" w:cs="Times New Roman"/>
      <w:kern w:val="0"/>
      <w:szCs w:val="24"/>
      <w:lang w:val="fr-CA"/>
      <w14:ligatures w14:val="none"/>
    </w:rPr>
  </w:style>
  <w:style w:type="character" w:styleId="FollowedHyperlink">
    <w:name w:val="FollowedHyperlink"/>
    <w:basedOn w:val="DefaultParagraphFont"/>
    <w:uiPriority w:val="99"/>
    <w:semiHidden/>
    <w:unhideWhenUsed/>
    <w:rsid w:val="0028713F"/>
    <w:rPr>
      <w:color w:val="954F72" w:themeColor="followedHyperlink"/>
      <w:u w:val="single"/>
    </w:rPr>
  </w:style>
  <w:style w:type="numbering" w:customStyle="1" w:styleId="NoList1">
    <w:name w:val="No List1"/>
    <w:next w:val="NoList"/>
    <w:uiPriority w:val="99"/>
    <w:semiHidden/>
    <w:unhideWhenUsed/>
    <w:rsid w:val="00097750"/>
  </w:style>
  <w:style w:type="numbering" w:customStyle="1" w:styleId="Style1">
    <w:name w:val="Style1"/>
    <w:uiPriority w:val="99"/>
    <w:rsid w:val="00097750"/>
    <w:pPr>
      <w:numPr>
        <w:numId w:val="16"/>
      </w:numPr>
    </w:pPr>
  </w:style>
  <w:style w:type="paragraph" w:customStyle="1" w:styleId="Para1">
    <w:name w:val="Para1"/>
    <w:basedOn w:val="Normal"/>
    <w:link w:val="Para1Char"/>
    <w:rsid w:val="00097750"/>
    <w:pPr>
      <w:numPr>
        <w:numId w:val="17"/>
      </w:numPr>
      <w:tabs>
        <w:tab w:val="left" w:pos="1134"/>
      </w:tabs>
      <w:spacing w:before="120" w:after="120"/>
    </w:pPr>
    <w:rPr>
      <w:snapToGrid w:val="0"/>
      <w:szCs w:val="18"/>
    </w:rPr>
  </w:style>
  <w:style w:type="character" w:customStyle="1" w:styleId="Para1Char">
    <w:name w:val="Para1 Char"/>
    <w:link w:val="Para1"/>
    <w:locked/>
    <w:rsid w:val="00097750"/>
    <w:rPr>
      <w:rFonts w:ascii="Times New Roman" w:eastAsia="Times New Roman" w:hAnsi="Times New Roman" w:cs="Times New Roman"/>
      <w:snapToGrid w:val="0"/>
      <w:kern w:val="0"/>
      <w:szCs w:val="18"/>
      <w:lang w:val="fr-CA"/>
      <w14:ligatures w14:val="non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097750"/>
    <w:pPr>
      <w:spacing w:after="160" w:line="240" w:lineRule="exact"/>
    </w:pPr>
    <w:rPr>
      <w:rFonts w:asciiTheme="minorHAnsi" w:eastAsiaTheme="minorHAnsi" w:hAnsiTheme="minorHAnsi" w:cstheme="minorBidi"/>
      <w:kern w:val="2"/>
      <w:vertAlign w:val="superscript"/>
      <w14:ligatures w14:val="standardContextual"/>
    </w:rPr>
  </w:style>
  <w:style w:type="paragraph" w:customStyle="1" w:styleId="StylePara111ptKernat11pt">
    <w:name w:val="Style Para1 + 11 pt Kern at 11 pt"/>
    <w:basedOn w:val="Para1"/>
    <w:rsid w:val="00097750"/>
    <w:rPr>
      <w:kern w:val="22"/>
    </w:rPr>
  </w:style>
  <w:style w:type="paragraph" w:customStyle="1" w:styleId="Para20">
    <w:name w:val="Para2"/>
    <w:basedOn w:val="Para1"/>
    <w:rsid w:val="00097750"/>
    <w:pPr>
      <w:numPr>
        <w:numId w:val="0"/>
      </w:numPr>
      <w:autoSpaceDE w:val="0"/>
      <w:autoSpaceDN w:val="0"/>
    </w:pPr>
  </w:style>
  <w:style w:type="paragraph" w:customStyle="1" w:styleId="Heading1longmultiline">
    <w:name w:val="Heading 1 (long multiline)"/>
    <w:basedOn w:val="Heading1"/>
    <w:rsid w:val="00097750"/>
    <w:pPr>
      <w:keepLines w:val="0"/>
      <w:numPr>
        <w:numId w:val="0"/>
      </w:numPr>
      <w:tabs>
        <w:tab w:val="left" w:pos="720"/>
      </w:tabs>
      <w:ind w:left="1843" w:hanging="1134"/>
    </w:pPr>
    <w:rPr>
      <w:rFonts w:eastAsia="Times New Roman" w:cs="Times New Roman"/>
      <w:bCs w:val="0"/>
      <w:caps/>
      <w:kern w:val="0"/>
      <w:sz w:val="22"/>
      <w:szCs w:val="24"/>
      <w14:ligatures w14:val="none"/>
    </w:rPr>
  </w:style>
  <w:style w:type="character" w:styleId="EndnoteReference">
    <w:name w:val="endnote reference"/>
    <w:basedOn w:val="DefaultParagraphFont"/>
    <w:uiPriority w:val="99"/>
    <w:semiHidden/>
    <w:unhideWhenUsed/>
    <w:rsid w:val="00097750"/>
    <w:rPr>
      <w:vertAlign w:val="superscript"/>
    </w:rPr>
  </w:style>
  <w:style w:type="table" w:customStyle="1" w:styleId="TableGrid2">
    <w:name w:val="Table Grid2"/>
    <w:basedOn w:val="TableNormal"/>
    <w:next w:val="TableGrid"/>
    <w:uiPriority w:val="39"/>
    <w:rsid w:val="0009775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97750"/>
    <w:pPr>
      <w:spacing w:before="100" w:beforeAutospacing="1" w:after="100" w:afterAutospacing="1"/>
      <w:jc w:val="left"/>
    </w:pPr>
    <w:rPr>
      <w:sz w:val="24"/>
    </w:rPr>
  </w:style>
  <w:style w:type="character" w:styleId="PageNumber">
    <w:name w:val="page number"/>
    <w:basedOn w:val="DefaultParagraphFont"/>
    <w:uiPriority w:val="99"/>
    <w:semiHidden/>
    <w:unhideWhenUsed/>
    <w:rsid w:val="00097750"/>
  </w:style>
  <w:style w:type="paragraph" w:styleId="EndnoteText">
    <w:name w:val="endnote text"/>
    <w:basedOn w:val="Normal"/>
    <w:link w:val="EndnoteTextChar"/>
    <w:uiPriority w:val="99"/>
    <w:unhideWhenUsed/>
    <w:rsid w:val="00097750"/>
    <w:pPr>
      <w:jc w:val="left"/>
    </w:pPr>
    <w:rPr>
      <w:rFonts w:ascii="Arial" w:eastAsia="Arial" w:hAnsi="Arial" w:cs="Arial"/>
      <w:sz w:val="20"/>
      <w:szCs w:val="20"/>
    </w:rPr>
  </w:style>
  <w:style w:type="character" w:customStyle="1" w:styleId="EndnoteTextChar">
    <w:name w:val="Endnote Text Char"/>
    <w:basedOn w:val="DefaultParagraphFont"/>
    <w:link w:val="EndnoteText"/>
    <w:uiPriority w:val="99"/>
    <w:rsid w:val="00097750"/>
    <w:rPr>
      <w:rFonts w:ascii="Arial" w:eastAsia="Arial" w:hAnsi="Arial" w:cs="Arial"/>
      <w:kern w:val="0"/>
      <w:sz w:val="20"/>
      <w:szCs w:val="20"/>
      <w:lang w:val="fr-CA"/>
      <w14:ligatures w14:val="none"/>
    </w:rPr>
  </w:style>
  <w:style w:type="character" w:customStyle="1" w:styleId="Mention1">
    <w:name w:val="Mention1"/>
    <w:basedOn w:val="DefaultParagraphFont"/>
    <w:uiPriority w:val="99"/>
    <w:unhideWhenUsed/>
    <w:rsid w:val="00097750"/>
    <w:rPr>
      <w:color w:val="2B579A"/>
      <w:shd w:val="clear" w:color="auto" w:fill="E1DFDD"/>
    </w:rPr>
  </w:style>
  <w:style w:type="character" w:styleId="LineNumber">
    <w:name w:val="line number"/>
    <w:basedOn w:val="DefaultParagraphFont"/>
    <w:uiPriority w:val="99"/>
    <w:semiHidden/>
    <w:unhideWhenUsed/>
    <w:rsid w:val="00097750"/>
  </w:style>
  <w:style w:type="numbering" w:customStyle="1" w:styleId="CurrentList1">
    <w:name w:val="Current List1"/>
    <w:uiPriority w:val="99"/>
    <w:rsid w:val="00097750"/>
    <w:pPr>
      <w:numPr>
        <w:numId w:val="19"/>
      </w:numPr>
    </w:pPr>
  </w:style>
  <w:style w:type="numbering" w:customStyle="1" w:styleId="CurrentList2">
    <w:name w:val="Current List2"/>
    <w:uiPriority w:val="99"/>
    <w:rsid w:val="00097750"/>
    <w:pPr>
      <w:numPr>
        <w:numId w:val="20"/>
      </w:numPr>
    </w:pPr>
  </w:style>
  <w:style w:type="numbering" w:customStyle="1" w:styleId="CurrentList3">
    <w:name w:val="Current List3"/>
    <w:uiPriority w:val="99"/>
    <w:rsid w:val="00097750"/>
    <w:pPr>
      <w:numPr>
        <w:numId w:val="21"/>
      </w:numPr>
    </w:pPr>
  </w:style>
  <w:style w:type="numbering" w:customStyle="1" w:styleId="CurrentList4">
    <w:name w:val="Current List4"/>
    <w:uiPriority w:val="99"/>
    <w:rsid w:val="00097750"/>
    <w:pPr>
      <w:numPr>
        <w:numId w:val="22"/>
      </w:numPr>
    </w:pPr>
  </w:style>
  <w:style w:type="numbering" w:customStyle="1" w:styleId="CurrentList5">
    <w:name w:val="Current List5"/>
    <w:uiPriority w:val="99"/>
    <w:rsid w:val="00097750"/>
    <w:pPr>
      <w:numPr>
        <w:numId w:val="23"/>
      </w:numPr>
    </w:pPr>
  </w:style>
  <w:style w:type="numbering" w:customStyle="1" w:styleId="CurrentList6">
    <w:name w:val="Current List6"/>
    <w:uiPriority w:val="99"/>
    <w:rsid w:val="00097750"/>
    <w:pPr>
      <w:numPr>
        <w:numId w:val="28"/>
      </w:numPr>
    </w:pPr>
  </w:style>
  <w:style w:type="numbering" w:customStyle="1" w:styleId="NoList2">
    <w:name w:val="No List2"/>
    <w:next w:val="NoList"/>
    <w:uiPriority w:val="99"/>
    <w:semiHidden/>
    <w:unhideWhenUsed/>
    <w:rsid w:val="00050E9A"/>
  </w:style>
  <w:style w:type="numbering" w:customStyle="1" w:styleId="Style11">
    <w:name w:val="Style11"/>
    <w:uiPriority w:val="99"/>
    <w:rsid w:val="00050E9A"/>
  </w:style>
  <w:style w:type="table" w:customStyle="1" w:styleId="TableGrid3">
    <w:name w:val="Table Grid3"/>
    <w:basedOn w:val="TableNormal"/>
    <w:next w:val="TableGrid"/>
    <w:uiPriority w:val="39"/>
    <w:rsid w:val="00050E9A"/>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
    <w:name w:val="Current List11"/>
    <w:uiPriority w:val="99"/>
    <w:rsid w:val="00050E9A"/>
    <w:pPr>
      <w:numPr>
        <w:numId w:val="3"/>
      </w:numPr>
    </w:pPr>
  </w:style>
  <w:style w:type="numbering" w:customStyle="1" w:styleId="CurrentList21">
    <w:name w:val="Current List21"/>
    <w:uiPriority w:val="99"/>
    <w:rsid w:val="00050E9A"/>
    <w:pPr>
      <w:numPr>
        <w:numId w:val="4"/>
      </w:numPr>
    </w:pPr>
  </w:style>
  <w:style w:type="numbering" w:customStyle="1" w:styleId="CurrentList31">
    <w:name w:val="Current List31"/>
    <w:uiPriority w:val="99"/>
    <w:rsid w:val="00050E9A"/>
  </w:style>
  <w:style w:type="numbering" w:customStyle="1" w:styleId="CurrentList41">
    <w:name w:val="Current List41"/>
    <w:uiPriority w:val="99"/>
    <w:rsid w:val="00050E9A"/>
    <w:pPr>
      <w:numPr>
        <w:numId w:val="6"/>
      </w:numPr>
    </w:pPr>
  </w:style>
  <w:style w:type="numbering" w:customStyle="1" w:styleId="CurrentList51">
    <w:name w:val="Current List51"/>
    <w:uiPriority w:val="99"/>
    <w:rsid w:val="00050E9A"/>
    <w:pPr>
      <w:numPr>
        <w:numId w:val="7"/>
      </w:numPr>
    </w:pPr>
  </w:style>
  <w:style w:type="numbering" w:customStyle="1" w:styleId="CurrentList61">
    <w:name w:val="Current List61"/>
    <w:uiPriority w:val="99"/>
    <w:rsid w:val="00050E9A"/>
  </w:style>
  <w:style w:type="table" w:customStyle="1" w:styleId="TableGrid4">
    <w:name w:val="Table Grid4"/>
    <w:basedOn w:val="TableNormal"/>
    <w:next w:val="TableGrid"/>
    <w:uiPriority w:val="39"/>
    <w:rsid w:val="00BF7ACF"/>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Para1-Not-numbered">
    <w:name w:val="CBD-Para1-Not-numbered"/>
    <w:basedOn w:val="Normal"/>
    <w:qFormat/>
    <w:rsid w:val="00AF4863"/>
    <w:pPr>
      <w:tabs>
        <w:tab w:val="left" w:pos="1134"/>
      </w:tabs>
      <w:spacing w:before="120" w:after="120"/>
      <w:ind w:left="567"/>
    </w:pPr>
    <w:rPr>
      <w:snapToGrid w:val="0"/>
      <w:szCs w:val="18"/>
    </w:rPr>
  </w:style>
  <w:style w:type="paragraph" w:customStyle="1" w:styleId="CBD-heading1-not-numbered">
    <w:name w:val="CBD-heading 1-not-numbered"/>
    <w:basedOn w:val="Normal"/>
    <w:qFormat/>
    <w:rsid w:val="00CE18B9"/>
    <w:pPr>
      <w:spacing w:before="120" w:after="120"/>
      <w:ind w:left="567" w:hanging="567"/>
      <w:contextualSpacing/>
      <w:outlineLvl w:val="0"/>
    </w:pPr>
    <w:rPr>
      <w:rFonts w:eastAsiaTheme="majorEastAsia" w:cstheme="majorBidi"/>
      <w:b/>
      <w:bCs/>
      <w:kern w:val="2"/>
      <w:sz w:val="28"/>
      <w:szCs w:val="32"/>
      <w14:ligatures w14:val="standardContextual"/>
    </w:rPr>
  </w:style>
  <w:style w:type="paragraph" w:customStyle="1" w:styleId="CBD-Heading2-not-numbered">
    <w:name w:val="CBD-Heading 2-not-numbered"/>
    <w:basedOn w:val="Normal"/>
    <w:qFormat/>
    <w:rsid w:val="00B335B9"/>
    <w:pPr>
      <w:spacing w:before="120" w:after="120"/>
      <w:ind w:left="567" w:hanging="567"/>
      <w:outlineLvl w:val="1"/>
    </w:pPr>
    <w:rPr>
      <w:rFonts w:asciiTheme="majorBidi" w:eastAsiaTheme="minorHAnsi" w:hAnsiTheme="majorBidi" w:cstheme="majorBidi"/>
      <w:b/>
      <w:bCs/>
      <w:kern w:val="2"/>
      <w:sz w:val="24"/>
      <w14:ligatures w14:val="standardContextual"/>
    </w:rPr>
  </w:style>
  <w:style w:type="paragraph" w:customStyle="1" w:styleId="CBD-heading3-notnumbered">
    <w:name w:val="CBD-heading3-not numbered"/>
    <w:basedOn w:val="CBD-Heading2-not-numbered"/>
    <w:qFormat/>
    <w:rsid w:val="00770EE7"/>
    <w:pPr>
      <w:outlineLvl w:val="2"/>
    </w:pPr>
    <w:rPr>
      <w:sz w:val="22"/>
    </w:rPr>
  </w:style>
  <w:style w:type="paragraph" w:customStyle="1" w:styleId="CBD-para2-notnumbered">
    <w:name w:val="CBD-para 2-not numbered"/>
    <w:basedOn w:val="Normal"/>
    <w:qFormat/>
    <w:rsid w:val="00A07E85"/>
    <w:pPr>
      <w:tabs>
        <w:tab w:val="left" w:pos="1701"/>
      </w:tabs>
      <w:spacing w:before="120" w:after="120"/>
      <w:ind w:left="567" w:firstLine="567"/>
    </w:pPr>
    <w:rPr>
      <w:rFonts w:asciiTheme="majorBidi" w:eastAsiaTheme="minorHAnsi" w:hAnsiTheme="majorBidi" w:cstheme="majorBidi"/>
      <w:kern w:val="2"/>
      <w14:ligatures w14:val="standardContextual"/>
    </w:rPr>
  </w:style>
  <w:style w:type="character" w:customStyle="1" w:styleId="ui-provider">
    <w:name w:val="ui-provider"/>
    <w:basedOn w:val="DefaultParagraphFont"/>
    <w:rsid w:val="004249DF"/>
  </w:style>
  <w:style w:type="character" w:customStyle="1" w:styleId="cf01">
    <w:name w:val="cf01"/>
    <w:basedOn w:val="DefaultParagraphFont"/>
    <w:rsid w:val="00B03144"/>
    <w:rPr>
      <w:rFonts w:ascii="Segoe UI" w:hAnsi="Segoe UI" w:cs="Segoe UI" w:hint="default"/>
      <w:i/>
      <w:iCs/>
      <w:sz w:val="18"/>
      <w:szCs w:val="18"/>
      <w:shd w:val="clear" w:color="auto" w:fill="FFFFFF"/>
    </w:rPr>
  </w:style>
  <w:style w:type="character" w:customStyle="1" w:styleId="cf11">
    <w:name w:val="cf11"/>
    <w:basedOn w:val="DefaultParagraphFont"/>
    <w:rsid w:val="00B03144"/>
    <w:rPr>
      <w:rFonts w:ascii="Segoe UI" w:hAnsi="Segoe UI" w:cs="Segoe UI" w:hint="default"/>
      <w:i/>
      <w:iCs/>
      <w:sz w:val="18"/>
      <w:szCs w:val="18"/>
    </w:rPr>
  </w:style>
  <w:style w:type="paragraph" w:customStyle="1" w:styleId="CBD-title-recommendationdecision">
    <w:name w:val="CBD-title-recommendation/decision"/>
    <w:basedOn w:val="Title"/>
    <w:qFormat/>
    <w:rsid w:val="003B5CCA"/>
    <w:pPr>
      <w:ind w:left="630"/>
      <w:jc w:val="left"/>
    </w:pPr>
    <w:rPr>
      <w:lang w:val="en-GB"/>
    </w:rPr>
  </w:style>
  <w:style w:type="character" w:styleId="UnresolvedMention">
    <w:name w:val="Unresolved Mention"/>
    <w:basedOn w:val="DefaultParagraphFont"/>
    <w:uiPriority w:val="99"/>
    <w:semiHidden/>
    <w:unhideWhenUsed/>
    <w:rsid w:val="00AA2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5060229">
      <w:bodyDiv w:val="1"/>
      <w:marLeft w:val="0"/>
      <w:marRight w:val="0"/>
      <w:marTop w:val="0"/>
      <w:marBottom w:val="0"/>
      <w:divBdr>
        <w:top w:val="none" w:sz="0" w:space="0" w:color="auto"/>
        <w:left w:val="none" w:sz="0" w:space="0" w:color="auto"/>
        <w:bottom w:val="none" w:sz="0" w:space="0" w:color="auto"/>
        <w:right w:val="none" w:sz="0" w:space="0" w:color="auto"/>
      </w:divBdr>
    </w:div>
    <w:div w:id="1081680353">
      <w:bodyDiv w:val="1"/>
      <w:marLeft w:val="0"/>
      <w:marRight w:val="0"/>
      <w:marTop w:val="0"/>
      <w:marBottom w:val="0"/>
      <w:divBdr>
        <w:top w:val="none" w:sz="0" w:space="0" w:color="auto"/>
        <w:left w:val="none" w:sz="0" w:space="0" w:color="auto"/>
        <w:bottom w:val="none" w:sz="0" w:space="0" w:color="auto"/>
        <w:right w:val="none" w:sz="0" w:space="0" w:color="auto"/>
      </w:divBdr>
    </w:div>
    <w:div w:id="1233155299">
      <w:bodyDiv w:val="1"/>
      <w:marLeft w:val="0"/>
      <w:marRight w:val="0"/>
      <w:marTop w:val="0"/>
      <w:marBottom w:val="0"/>
      <w:divBdr>
        <w:top w:val="none" w:sz="0" w:space="0" w:color="auto"/>
        <w:left w:val="none" w:sz="0" w:space="0" w:color="auto"/>
        <w:bottom w:val="none" w:sz="0" w:space="0" w:color="auto"/>
        <w:right w:val="none" w:sz="0" w:space="0" w:color="auto"/>
      </w:divBdr>
    </w:div>
    <w:div w:id="193810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oc/decisions/cop-13/cop-13-dec-06-fr.pdf" TargetMode="External"/><Relationship Id="rId26" Type="http://schemas.openxmlformats.org/officeDocument/2006/relationships/hyperlink" Target="https://www.cbd.int/doc/decisions/cop-13/cop-13-dec-06-fr.pdf" TargetMode="External"/><Relationship Id="rId3" Type="http://schemas.openxmlformats.org/officeDocument/2006/relationships/customXml" Target="../customXml/item3.xml"/><Relationship Id="rId21" Type="http://schemas.openxmlformats.org/officeDocument/2006/relationships/hyperlink" Target="https://www.cbd.int/doc/decisions/cop-12/cop-12-dec-21-fr.pdf" TargetMode="External"/><Relationship Id="rId34" Type="http://schemas.openxmlformats.org/officeDocument/2006/relationships/hyperlink" Target="https://www.cbd.int/decision/cop/default.shtml?id=7197"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decisions/cop-15/cop-15-dec-29-fr.pdf" TargetMode="External"/><Relationship Id="rId25" Type="http://schemas.openxmlformats.org/officeDocument/2006/relationships/hyperlink" Target="https://www.cbd.int/doc/decisions/cop-12/cop-12-dec-21-fr.pdf" TargetMode="External"/><Relationship Id="rId33" Type="http://schemas.openxmlformats.org/officeDocument/2006/relationships/hyperlink" Target="https://www.cbd.int/doc/decisions/cop-15/cop-15-dec-04-fr.pdf" TargetMode="External"/><Relationship Id="rId2" Type="http://schemas.openxmlformats.org/officeDocument/2006/relationships/customXml" Target="../customXml/item2.xml"/><Relationship Id="rId16" Type="http://schemas.openxmlformats.org/officeDocument/2006/relationships/hyperlink" Target="https://www.cbd.int/doc/decisions/cop-14/cop-14-dec-04-fr.pdf" TargetMode="External"/><Relationship Id="rId20" Type="http://schemas.openxmlformats.org/officeDocument/2006/relationships/hyperlink" Target="https://www.cbd.int/doc/decisions/cop-14/cop-14-dec-04-fr.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cbd.int/doc/decisions/cop-15/cop-15-dec-29-fr.pdf"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bd.int/doc/decisions/cop-13/cop-13-dec-06-fr.pdf" TargetMode="External"/><Relationship Id="rId23" Type="http://schemas.openxmlformats.org/officeDocument/2006/relationships/hyperlink" Target="https://www.cbd.int/doc/decisions/cop-14/cop-14-dec-04-fr.pdf" TargetMode="External"/><Relationship Id="rId28" Type="http://schemas.openxmlformats.org/officeDocument/2006/relationships/hyperlink" Target="https://www.cbd.int/doc/decisions/cop-15/cop-15-dec-29-fr.pdf"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cbd.int/doc/decisions/cop-14/cop-14-dec-04-fr.pdf"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2/cop-12-dec-21-fr.pdf" TargetMode="External"/><Relationship Id="rId22" Type="http://schemas.openxmlformats.org/officeDocument/2006/relationships/hyperlink" Target="https://www.cbd.int/doc/decisions/cop-13/cop-13-dec-06-fr.pdf" TargetMode="External"/><Relationship Id="rId27" Type="http://schemas.openxmlformats.org/officeDocument/2006/relationships/hyperlink" Target="https://www.cbd.int/doc/decisions/cop-14/cop-14-dec-04-fr.pdf" TargetMode="External"/><Relationship Id="rId30" Type="http://schemas.openxmlformats.org/officeDocument/2006/relationships/header" Target="header2.xm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who.int/activities/environmental-health-impacts" TargetMode="External"/><Relationship Id="rId7" Type="http://schemas.openxmlformats.org/officeDocument/2006/relationships/hyperlink" Target="https://www.ipbes.net/document-library-catalogue/summary-policymakers-global-assessment-laid-out" TargetMode="External"/><Relationship Id="rId2" Type="http://schemas.openxmlformats.org/officeDocument/2006/relationships/hyperlink" Target="https://www.paho.org/fr" TargetMode="External"/><Relationship Id="rId1" Type="http://schemas.openxmlformats.org/officeDocument/2006/relationships/hyperlink" Target="https://documents.un.org/doc/undoc/gen/n23/029/12/pdf/n2302912.pdf?token=MNVnouNJKmigQFyXDz&amp;fe=true" TargetMode="External"/><Relationship Id="rId6" Type="http://schemas.openxmlformats.org/officeDocument/2006/relationships/hyperlink" Target="https://www.cgiar.org/research/cgiar-portfolio/environmental-health-biodiversity/" TargetMode="External"/><Relationship Id="rId5" Type="http://schemas.openxmlformats.org/officeDocument/2006/relationships/hyperlink" Target="https://www.ipcc.ch/report/ar6/wg2/" TargetMode="External"/><Relationship Id="rId4" Type="http://schemas.openxmlformats.org/officeDocument/2006/relationships/hyperlink" Target="https://www.ipcc.ch/report/ar6/wg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nela.araya\Downloads\template-sbstta-26.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6C86391E5EB44E889FF51F9905FA671"/>
        <w:category>
          <w:name w:val="General"/>
          <w:gallery w:val="placeholder"/>
        </w:category>
        <w:types>
          <w:type w:val="bbPlcHdr"/>
        </w:types>
        <w:behaviors>
          <w:behavior w:val="content"/>
        </w:behaviors>
        <w:guid w:val="{8D5203AC-DAD3-4DB0-9C1D-6FF9B6167D1E}"/>
      </w:docPartPr>
      <w:docPartBody>
        <w:p w:rsidR="00106658" w:rsidRDefault="00F14D7A">
          <w:pPr>
            <w:pStyle w:val="F6C86391E5EB44E889FF51F9905FA671"/>
          </w:pPr>
          <w:r w:rsidRPr="009B5A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E31"/>
    <w:rsid w:val="00003ACD"/>
    <w:rsid w:val="00007A89"/>
    <w:rsid w:val="00034488"/>
    <w:rsid w:val="000F3BEC"/>
    <w:rsid w:val="00106658"/>
    <w:rsid w:val="00114568"/>
    <w:rsid w:val="00115AF0"/>
    <w:rsid w:val="00152C12"/>
    <w:rsid w:val="00222166"/>
    <w:rsid w:val="00227003"/>
    <w:rsid w:val="00295ABA"/>
    <w:rsid w:val="00353B30"/>
    <w:rsid w:val="00376F37"/>
    <w:rsid w:val="003B593B"/>
    <w:rsid w:val="003F1118"/>
    <w:rsid w:val="0040763B"/>
    <w:rsid w:val="004B79C7"/>
    <w:rsid w:val="004D31C4"/>
    <w:rsid w:val="005117CC"/>
    <w:rsid w:val="00583B0E"/>
    <w:rsid w:val="00665DC0"/>
    <w:rsid w:val="007021DF"/>
    <w:rsid w:val="007214B2"/>
    <w:rsid w:val="0072596A"/>
    <w:rsid w:val="00756BA6"/>
    <w:rsid w:val="00767592"/>
    <w:rsid w:val="007C1ABB"/>
    <w:rsid w:val="0088482A"/>
    <w:rsid w:val="009E2DFC"/>
    <w:rsid w:val="00A00D82"/>
    <w:rsid w:val="00A25D48"/>
    <w:rsid w:val="00A34E31"/>
    <w:rsid w:val="00A80F0A"/>
    <w:rsid w:val="00AA7149"/>
    <w:rsid w:val="00B0161B"/>
    <w:rsid w:val="00B40309"/>
    <w:rsid w:val="00B705E2"/>
    <w:rsid w:val="00BC5A79"/>
    <w:rsid w:val="00BE5D36"/>
    <w:rsid w:val="00C441C9"/>
    <w:rsid w:val="00D01B75"/>
    <w:rsid w:val="00D17F68"/>
    <w:rsid w:val="00D2339B"/>
    <w:rsid w:val="00D4031C"/>
    <w:rsid w:val="00D51494"/>
    <w:rsid w:val="00D74609"/>
    <w:rsid w:val="00DA6436"/>
    <w:rsid w:val="00E22F63"/>
    <w:rsid w:val="00E24E0D"/>
    <w:rsid w:val="00E5616C"/>
    <w:rsid w:val="00E90350"/>
    <w:rsid w:val="00EB183D"/>
    <w:rsid w:val="00EF593A"/>
    <w:rsid w:val="00F14D7A"/>
    <w:rsid w:val="00F67686"/>
    <w:rsid w:val="00F8649B"/>
    <w:rsid w:val="00F934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7592"/>
    <w:rPr>
      <w:color w:val="808080"/>
    </w:rPr>
  </w:style>
  <w:style w:type="paragraph" w:customStyle="1" w:styleId="F6C86391E5EB44E889FF51F9905FA671">
    <w:name w:val="F6C86391E5EB44E889FF51F9905FA6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8298e0-1b7e-4ebe-8695-94439b74f0d1">
      <Terms xmlns="http://schemas.microsoft.com/office/infopath/2007/PartnerControls"/>
    </lcf76f155ced4ddcb4097134ff3c332f>
    <TaxCatchAll xmlns="985ec44e-1bab-4c0b-9df0-6ba128686f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E1749-DB65-43D3-B089-86E40CB2C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358298e0-1b7e-4ebe-8695-94439b74f0d1"/>
    <ds:schemaRef ds:uri="985ec44e-1bab-4c0b-9df0-6ba128686fc9"/>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4.xml><?xml version="1.0" encoding="utf-8"?>
<ds:datastoreItem xmlns:ds="http://schemas.openxmlformats.org/officeDocument/2006/customXml" ds:itemID="{438A0467-5CDE-4693-A526-D183712E6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template-sbstta-26.dotm</Template>
  <TotalTime>145</TotalTime>
  <Pages>32</Pages>
  <Words>12931</Words>
  <Characters>74889</Characters>
  <Application>Microsoft Office Word</Application>
  <DocSecurity>0</DocSecurity>
  <Lines>624</Lines>
  <Paragraphs>175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Biodiversité et santé</vt:lpstr>
      <vt:lpstr>Biodiversité et santé</vt:lpstr>
    </vt:vector>
  </TitlesOfParts>
  <Company/>
  <LinksUpToDate>false</LinksUpToDate>
  <CharactersWithSpaces>87645</CharactersWithSpaces>
  <SharedDoc>false</SharedDoc>
  <HLinks>
    <vt:vector size="348" baseType="variant">
      <vt:variant>
        <vt:i4>5963787</vt:i4>
      </vt:variant>
      <vt:variant>
        <vt:i4>150</vt:i4>
      </vt:variant>
      <vt:variant>
        <vt:i4>0</vt:i4>
      </vt:variant>
      <vt:variant>
        <vt:i4>5</vt:i4>
      </vt:variant>
      <vt:variant>
        <vt:lpwstr>https://documents-dds-ny.un.org/doc/UNDOC/GEN/N23/029/12/PDF/N2302912.pdf?OpenElement</vt:lpwstr>
      </vt:variant>
      <vt:variant>
        <vt:lpwstr/>
      </vt:variant>
      <vt:variant>
        <vt:i4>3932262</vt:i4>
      </vt:variant>
      <vt:variant>
        <vt:i4>147</vt:i4>
      </vt:variant>
      <vt:variant>
        <vt:i4>0</vt:i4>
      </vt:variant>
      <vt:variant>
        <vt:i4>5</vt:i4>
      </vt:variant>
      <vt:variant>
        <vt:lpwstr>https://www.cbd.int/doc/c/44f2/38b3/cf38b99f5527f600c19e3c09/sbstta-sbi-ss-02-02-en.pdf</vt:lpwstr>
      </vt:variant>
      <vt:variant>
        <vt:lpwstr/>
      </vt:variant>
      <vt:variant>
        <vt:i4>5767183</vt:i4>
      </vt:variant>
      <vt:variant>
        <vt:i4>144</vt:i4>
      </vt:variant>
      <vt:variant>
        <vt:i4>0</vt:i4>
      </vt:variant>
      <vt:variant>
        <vt:i4>5</vt:i4>
      </vt:variant>
      <vt:variant>
        <vt:lpwstr>https://www.ipbes.net/events/ipbes-ipcc-co-sponsored-workshop-biodiversity-and-climate-change</vt:lpwstr>
      </vt:variant>
      <vt:variant>
        <vt:lpwstr/>
      </vt:variant>
      <vt:variant>
        <vt:i4>8061033</vt:i4>
      </vt:variant>
      <vt:variant>
        <vt:i4>141</vt:i4>
      </vt:variant>
      <vt:variant>
        <vt:i4>0</vt:i4>
      </vt:variant>
      <vt:variant>
        <vt:i4>5</vt:i4>
      </vt:variant>
      <vt:variant>
        <vt:lpwstr>https://www.ipcc.ch/report/ar6/wg2/</vt:lpwstr>
      </vt:variant>
      <vt:variant>
        <vt:lpwstr/>
      </vt:variant>
      <vt:variant>
        <vt:i4>3014764</vt:i4>
      </vt:variant>
      <vt:variant>
        <vt:i4>138</vt:i4>
      </vt:variant>
      <vt:variant>
        <vt:i4>0</vt:i4>
      </vt:variant>
      <vt:variant>
        <vt:i4>5</vt:i4>
      </vt:variant>
      <vt:variant>
        <vt:lpwstr>https://www.who.int/tools/compendium-on-health-and-environment</vt:lpwstr>
      </vt:variant>
      <vt:variant>
        <vt:lpwstr/>
      </vt:variant>
      <vt:variant>
        <vt:i4>3014764</vt:i4>
      </vt:variant>
      <vt:variant>
        <vt:i4>135</vt:i4>
      </vt:variant>
      <vt:variant>
        <vt:i4>0</vt:i4>
      </vt:variant>
      <vt:variant>
        <vt:i4>5</vt:i4>
      </vt:variant>
      <vt:variant>
        <vt:lpwstr>https://www.who.int/tools/compendium-on-health-and-environment</vt:lpwstr>
      </vt:variant>
      <vt:variant>
        <vt:lpwstr/>
      </vt:variant>
      <vt:variant>
        <vt:i4>5898240</vt:i4>
      </vt:variant>
      <vt:variant>
        <vt:i4>132</vt:i4>
      </vt:variant>
      <vt:variant>
        <vt:i4>0</vt:i4>
      </vt:variant>
      <vt:variant>
        <vt:i4>5</vt:i4>
      </vt:variant>
      <vt:variant>
        <vt:lpwstr>https://www.cbd.int/gbo/gbo5/publication/lbo-2-summary-en.pdf</vt:lpwstr>
      </vt:variant>
      <vt:variant>
        <vt:lpwstr/>
      </vt:variant>
      <vt:variant>
        <vt:i4>7471168</vt:i4>
      </vt:variant>
      <vt:variant>
        <vt:i4>129</vt:i4>
      </vt:variant>
      <vt:variant>
        <vt:i4>0</vt:i4>
      </vt:variant>
      <vt:variant>
        <vt:i4>5</vt:i4>
      </vt:variant>
      <vt:variant>
        <vt:lpwstr>https://cdn.who.int/media/docs/default-source/traditional-medicine/who_tm_summit_meeting_report_gujarat_declaration.pdf?sfvrsn=4a816abb_1&amp;download=true</vt:lpwstr>
      </vt:variant>
      <vt:variant>
        <vt:lpwstr/>
      </vt:variant>
      <vt:variant>
        <vt:i4>3342377</vt:i4>
      </vt:variant>
      <vt:variant>
        <vt:i4>126</vt:i4>
      </vt:variant>
      <vt:variant>
        <vt:i4>0</vt:i4>
      </vt:variant>
      <vt:variant>
        <vt:i4>5</vt:i4>
      </vt:variant>
      <vt:variant>
        <vt:lpwstr>https://www.thelancet.com/journals/lancet/article/PIIS0140-6736(23)00130-7/fulltext</vt:lpwstr>
      </vt:variant>
      <vt:variant>
        <vt:lpwstr/>
      </vt:variant>
      <vt:variant>
        <vt:i4>5111896</vt:i4>
      </vt:variant>
      <vt:variant>
        <vt:i4>123</vt:i4>
      </vt:variant>
      <vt:variant>
        <vt:i4>0</vt:i4>
      </vt:variant>
      <vt:variant>
        <vt:i4>5</vt:i4>
      </vt:variant>
      <vt:variant>
        <vt:lpwstr>https://www.ipbes.net/document-library-catalogue/summary-policymakers-global-assessment-laid-out</vt:lpwstr>
      </vt:variant>
      <vt:variant>
        <vt:lpwstr/>
      </vt:variant>
      <vt:variant>
        <vt:i4>4259908</vt:i4>
      </vt:variant>
      <vt:variant>
        <vt:i4>120</vt:i4>
      </vt:variant>
      <vt:variant>
        <vt:i4>0</vt:i4>
      </vt:variant>
      <vt:variant>
        <vt:i4>5</vt:i4>
      </vt:variant>
      <vt:variant>
        <vt:lpwstr>https://wedocs.unep.org/handle/20.500.11822/27539</vt:lpwstr>
      </vt:variant>
      <vt:variant>
        <vt:lpwstr/>
      </vt:variant>
      <vt:variant>
        <vt:i4>6881378</vt:i4>
      </vt:variant>
      <vt:variant>
        <vt:i4>117</vt:i4>
      </vt:variant>
      <vt:variant>
        <vt:i4>0</vt:i4>
      </vt:variant>
      <vt:variant>
        <vt:i4>5</vt:i4>
      </vt:variant>
      <vt:variant>
        <vt:lpwstr>https://www.ipbes.net/document-library-catalogue/chapter-23-status-and-trends-natures-contributions-people</vt:lpwstr>
      </vt:variant>
      <vt:variant>
        <vt:lpwstr/>
      </vt:variant>
      <vt:variant>
        <vt:i4>983115</vt:i4>
      </vt:variant>
      <vt:variant>
        <vt:i4>114</vt:i4>
      </vt:variant>
      <vt:variant>
        <vt:i4>0</vt:i4>
      </vt:variant>
      <vt:variant>
        <vt:i4>5</vt:i4>
      </vt:variant>
      <vt:variant>
        <vt:lpwstr>https://www.ohchr.org/sites/default/files/Documents/Issues/Environment/SREnvironment/Healthy_Biosphere_A75161.pdf</vt:lpwstr>
      </vt:variant>
      <vt:variant>
        <vt:lpwstr/>
      </vt:variant>
      <vt:variant>
        <vt:i4>7929901</vt:i4>
      </vt:variant>
      <vt:variant>
        <vt:i4>111</vt:i4>
      </vt:variant>
      <vt:variant>
        <vt:i4>0</vt:i4>
      </vt:variant>
      <vt:variant>
        <vt:i4>5</vt:i4>
      </vt:variant>
      <vt:variant>
        <vt:lpwstr>https://apps.who.int/gb/bd/PDF/bd47/EN/constitution-en.pdf</vt:lpwstr>
      </vt:variant>
      <vt:variant>
        <vt:lpwstr/>
      </vt:variant>
      <vt:variant>
        <vt:i4>7274620</vt:i4>
      </vt:variant>
      <vt:variant>
        <vt:i4>108</vt:i4>
      </vt:variant>
      <vt:variant>
        <vt:i4>0</vt:i4>
      </vt:variant>
      <vt:variant>
        <vt:i4>5</vt:i4>
      </vt:variant>
      <vt:variant>
        <vt:lpwstr>https://www.cbd.int/health/SOK-biodiversity-en.pdf</vt:lpwstr>
      </vt:variant>
      <vt:variant>
        <vt:lpwstr/>
      </vt:variant>
      <vt:variant>
        <vt:i4>7864330</vt:i4>
      </vt:variant>
      <vt:variant>
        <vt:i4>105</vt:i4>
      </vt:variant>
      <vt:variant>
        <vt:i4>0</vt:i4>
      </vt:variant>
      <vt:variant>
        <vt:i4>5</vt:i4>
      </vt:variant>
      <vt:variant>
        <vt:lpwstr>https://www.who.int/europe/health-topics/environmental-health</vt:lpwstr>
      </vt:variant>
      <vt:variant>
        <vt:lpwstr>tab=tab_1</vt:lpwstr>
      </vt:variant>
      <vt:variant>
        <vt:i4>5308489</vt:i4>
      </vt:variant>
      <vt:variant>
        <vt:i4>102</vt:i4>
      </vt:variant>
      <vt:variant>
        <vt:i4>0</vt:i4>
      </vt:variant>
      <vt:variant>
        <vt:i4>5</vt:i4>
      </vt:variant>
      <vt:variant>
        <vt:lpwstr>https://www.paho.org/en/topics/environmental-determinants-health</vt:lpwstr>
      </vt:variant>
      <vt:variant>
        <vt:lpwstr/>
      </vt:variant>
      <vt:variant>
        <vt:i4>3473508</vt:i4>
      </vt:variant>
      <vt:variant>
        <vt:i4>99</vt:i4>
      </vt:variant>
      <vt:variant>
        <vt:i4>0</vt:i4>
      </vt:variant>
      <vt:variant>
        <vt:i4>5</vt:i4>
      </vt:variant>
      <vt:variant>
        <vt:lpwstr>https://www.afro.who.int/media-centre/infographics/environmental-determinants-health-africa</vt:lpwstr>
      </vt:variant>
      <vt:variant>
        <vt:lpwstr/>
      </vt:variant>
      <vt:variant>
        <vt:i4>1114114</vt:i4>
      </vt:variant>
      <vt:variant>
        <vt:i4>96</vt:i4>
      </vt:variant>
      <vt:variant>
        <vt:i4>0</vt:i4>
      </vt:variant>
      <vt:variant>
        <vt:i4>5</vt:i4>
      </vt:variant>
      <vt:variant>
        <vt:lpwstr>https://www.emro.who.int/ceha/health-and-environment/</vt:lpwstr>
      </vt:variant>
      <vt:variant>
        <vt:lpwstr/>
      </vt:variant>
      <vt:variant>
        <vt:i4>655366</vt:i4>
      </vt:variant>
      <vt:variant>
        <vt:i4>93</vt:i4>
      </vt:variant>
      <vt:variant>
        <vt:i4>0</vt:i4>
      </vt:variant>
      <vt:variant>
        <vt:i4>5</vt:i4>
      </vt:variant>
      <vt:variant>
        <vt:lpwstr>https://www.who.int/southeastasia/health-topics/environmental-health</vt:lpwstr>
      </vt:variant>
      <vt:variant>
        <vt:lpwstr/>
      </vt:variant>
      <vt:variant>
        <vt:i4>6750249</vt:i4>
      </vt:variant>
      <vt:variant>
        <vt:i4>90</vt:i4>
      </vt:variant>
      <vt:variant>
        <vt:i4>0</vt:i4>
      </vt:variant>
      <vt:variant>
        <vt:i4>5</vt:i4>
      </vt:variant>
      <vt:variant>
        <vt:lpwstr>https://www.stockholmresilience.org/research/planetary-boundaries.html</vt:lpwstr>
      </vt:variant>
      <vt:variant>
        <vt:lpwstr/>
      </vt:variant>
      <vt:variant>
        <vt:i4>3211308</vt:i4>
      </vt:variant>
      <vt:variant>
        <vt:i4>87</vt:i4>
      </vt:variant>
      <vt:variant>
        <vt:i4>0</vt:i4>
      </vt:variant>
      <vt:variant>
        <vt:i4>5</vt:i4>
      </vt:variant>
      <vt:variant>
        <vt:lpwstr>https://iris.who.int/bitstream/handle/10665/350161/9789240038349-eng.pdf?sequence=1</vt:lpwstr>
      </vt:variant>
      <vt:variant>
        <vt:lpwstr/>
      </vt:variant>
      <vt:variant>
        <vt:i4>2293856</vt:i4>
      </vt:variant>
      <vt:variant>
        <vt:i4>84</vt:i4>
      </vt:variant>
      <vt:variant>
        <vt:i4>0</vt:i4>
      </vt:variant>
      <vt:variant>
        <vt:i4>5</vt:i4>
      </vt:variant>
      <vt:variant>
        <vt:lpwstr>https://www.ipbes.net/glossary/natures-contributions-people</vt:lpwstr>
      </vt:variant>
      <vt:variant>
        <vt:lpwstr/>
      </vt:variant>
      <vt:variant>
        <vt:i4>7077938</vt:i4>
      </vt:variant>
      <vt:variant>
        <vt:i4>81</vt:i4>
      </vt:variant>
      <vt:variant>
        <vt:i4>0</vt:i4>
      </vt:variant>
      <vt:variant>
        <vt:i4>5</vt:i4>
      </vt:variant>
      <vt:variant>
        <vt:lpwstr>https://www.gybn.org/toolkits-publications</vt:lpwstr>
      </vt:variant>
      <vt:variant>
        <vt:lpwstr/>
      </vt:variant>
      <vt:variant>
        <vt:i4>196677</vt:i4>
      </vt:variant>
      <vt:variant>
        <vt:i4>78</vt:i4>
      </vt:variant>
      <vt:variant>
        <vt:i4>0</vt:i4>
      </vt:variant>
      <vt:variant>
        <vt:i4>5</vt:i4>
      </vt:variant>
      <vt:variant>
        <vt:lpwstr>https://www.cgiar.org/research/cgiar-portfolio/environmental-health-biodiversity/</vt:lpwstr>
      </vt:variant>
      <vt:variant>
        <vt:lpwstr/>
      </vt:variant>
      <vt:variant>
        <vt:i4>3407988</vt:i4>
      </vt:variant>
      <vt:variant>
        <vt:i4>75</vt:i4>
      </vt:variant>
      <vt:variant>
        <vt:i4>0</vt:i4>
      </vt:variant>
      <vt:variant>
        <vt:i4>5</vt:i4>
      </vt:variant>
      <vt:variant>
        <vt:lpwstr>https://www.cbd.int/undb/media/factsheets/undb-factsheet-ecoserv-en.pdf</vt:lpwstr>
      </vt:variant>
      <vt:variant>
        <vt:lpwstr/>
      </vt:variant>
      <vt:variant>
        <vt:i4>5963787</vt:i4>
      </vt:variant>
      <vt:variant>
        <vt:i4>72</vt:i4>
      </vt:variant>
      <vt:variant>
        <vt:i4>0</vt:i4>
      </vt:variant>
      <vt:variant>
        <vt:i4>5</vt:i4>
      </vt:variant>
      <vt:variant>
        <vt:lpwstr>https://documents-dds-ny.un.org/doc/UNDOC/GEN/N23/029/12/PDF/N2302912.pdf?OpenElement</vt:lpwstr>
      </vt:variant>
      <vt:variant>
        <vt:lpwstr/>
      </vt:variant>
      <vt:variant>
        <vt:i4>8061033</vt:i4>
      </vt:variant>
      <vt:variant>
        <vt:i4>69</vt:i4>
      </vt:variant>
      <vt:variant>
        <vt:i4>0</vt:i4>
      </vt:variant>
      <vt:variant>
        <vt:i4>5</vt:i4>
      </vt:variant>
      <vt:variant>
        <vt:lpwstr>https://www.ipcc.ch/report/ar6/wg2/</vt:lpwstr>
      </vt:variant>
      <vt:variant>
        <vt:lpwstr/>
      </vt:variant>
      <vt:variant>
        <vt:i4>1572945</vt:i4>
      </vt:variant>
      <vt:variant>
        <vt:i4>66</vt:i4>
      </vt:variant>
      <vt:variant>
        <vt:i4>0</vt:i4>
      </vt:variant>
      <vt:variant>
        <vt:i4>5</vt:i4>
      </vt:variant>
      <vt:variant>
        <vt:lpwstr>https://doc.woah.org/dyn/portal/digidoc.xhtml?statelessToken=R_7D1hk5moTsaRL9ks3giQbbM27GSeSNWBlq_zPpyQE=&amp;actionMethod=dyn%2Fportal%2Fdigidoc.xhtml%3AdownloadAttachment.openStateless</vt:lpwstr>
      </vt:variant>
      <vt:variant>
        <vt:lpwstr/>
      </vt:variant>
      <vt:variant>
        <vt:i4>7929953</vt:i4>
      </vt:variant>
      <vt:variant>
        <vt:i4>63</vt:i4>
      </vt:variant>
      <vt:variant>
        <vt:i4>0</vt:i4>
      </vt:variant>
      <vt:variant>
        <vt:i4>5</vt:i4>
      </vt:variant>
      <vt:variant>
        <vt:lpwstr>https://www.ipbes.net/the-values-assessment</vt:lpwstr>
      </vt:variant>
      <vt:variant>
        <vt:lpwstr/>
      </vt:variant>
      <vt:variant>
        <vt:i4>6291567</vt:i4>
      </vt:variant>
      <vt:variant>
        <vt:i4>60</vt:i4>
      </vt:variant>
      <vt:variant>
        <vt:i4>0</vt:i4>
      </vt:variant>
      <vt:variant>
        <vt:i4>5</vt:i4>
      </vt:variant>
      <vt:variant>
        <vt:lpwstr>https://documents.un.org/doc/undoc/gen/n23/029/12/pdf/n2302912.pdf?token=rxoYeiX3L1aqQ0HvW6&amp;fe=true</vt:lpwstr>
      </vt:variant>
      <vt:variant>
        <vt:lpwstr/>
      </vt:variant>
      <vt:variant>
        <vt:i4>7012384</vt:i4>
      </vt:variant>
      <vt:variant>
        <vt:i4>57</vt:i4>
      </vt:variant>
      <vt:variant>
        <vt:i4>0</vt:i4>
      </vt:variant>
      <vt:variant>
        <vt:i4>5</vt:i4>
      </vt:variant>
      <vt:variant>
        <vt:lpwstr>https://www.unicef.org/media/105376/file/UNICEF-climate-crisis-child-rights-crisis.pdf</vt:lpwstr>
      </vt:variant>
      <vt:variant>
        <vt:lpwstr/>
      </vt:variant>
      <vt:variant>
        <vt:i4>3538980</vt:i4>
      </vt:variant>
      <vt:variant>
        <vt:i4>54</vt:i4>
      </vt:variant>
      <vt:variant>
        <vt:i4>0</vt:i4>
      </vt:variant>
      <vt:variant>
        <vt:i4>5</vt:i4>
      </vt:variant>
      <vt:variant>
        <vt:lpwstr>https://iris.who.int/bitstream/handle/10665/374825/9789240082069-eng.pdf?sequence=1</vt:lpwstr>
      </vt:variant>
      <vt:variant>
        <vt:lpwstr/>
      </vt:variant>
      <vt:variant>
        <vt:i4>1572873</vt:i4>
      </vt:variant>
      <vt:variant>
        <vt:i4>51</vt:i4>
      </vt:variant>
      <vt:variant>
        <vt:i4>0</vt:i4>
      </vt:variant>
      <vt:variant>
        <vt:i4>5</vt:i4>
      </vt:variant>
      <vt:variant>
        <vt:lpwstr>https://www.fao.org/documents/card/en/c/cc2289en</vt:lpwstr>
      </vt:variant>
      <vt:variant>
        <vt:lpwstr/>
      </vt:variant>
      <vt:variant>
        <vt:i4>2490414</vt:i4>
      </vt:variant>
      <vt:variant>
        <vt:i4>48</vt:i4>
      </vt:variant>
      <vt:variant>
        <vt:i4>0</vt:i4>
      </vt:variant>
      <vt:variant>
        <vt:i4>5</vt:i4>
      </vt:variant>
      <vt:variant>
        <vt:lpwstr>https://iris.who.int/bitstream/handle/10665/352844/WHO-HEP-ECH-EHD-22.01-eng.pdf?sequence=1</vt:lpwstr>
      </vt:variant>
      <vt:variant>
        <vt:lpwstr/>
      </vt:variant>
      <vt:variant>
        <vt:i4>7209041</vt:i4>
      </vt:variant>
      <vt:variant>
        <vt:i4>45</vt:i4>
      </vt:variant>
      <vt:variant>
        <vt:i4>0</vt:i4>
      </vt:variant>
      <vt:variant>
        <vt:i4>5</vt:i4>
      </vt:variant>
      <vt:variant>
        <vt:lpwstr>https://www.chemicalsframework.org/sites/default/files/documents/The Global Framework on Chemicals ENG_28022024.pdf</vt:lpwstr>
      </vt:variant>
      <vt:variant>
        <vt:lpwstr/>
      </vt:variant>
      <vt:variant>
        <vt:i4>5373981</vt:i4>
      </vt:variant>
      <vt:variant>
        <vt:i4>42</vt:i4>
      </vt:variant>
      <vt:variant>
        <vt:i4>0</vt:i4>
      </vt:variant>
      <vt:variant>
        <vt:i4>5</vt:i4>
      </vt:variant>
      <vt:variant>
        <vt:lpwstr>https://www.cbd.int/doc/c/501c/4df1/369d06630c901cd02d4f99c7/sbstta-21-09-en.pdf</vt:lpwstr>
      </vt:variant>
      <vt:variant>
        <vt:lpwstr/>
      </vt:variant>
      <vt:variant>
        <vt:i4>3866717</vt:i4>
      </vt:variant>
      <vt:variant>
        <vt:i4>39</vt:i4>
      </vt:variant>
      <vt:variant>
        <vt:i4>0</vt:i4>
      </vt:variant>
      <vt:variant>
        <vt:i4>5</vt:i4>
      </vt:variant>
      <vt:variant>
        <vt:lpwstr>https://iris.who.int/bitstream/handle/10665/174012/9789241508537_eng.pdf?sequence=1</vt:lpwstr>
      </vt:variant>
      <vt:variant>
        <vt:lpwstr/>
      </vt:variant>
      <vt:variant>
        <vt:i4>917581</vt:i4>
      </vt:variant>
      <vt:variant>
        <vt:i4>33</vt:i4>
      </vt:variant>
      <vt:variant>
        <vt:i4>0</vt:i4>
      </vt:variant>
      <vt:variant>
        <vt:i4>5</vt:i4>
      </vt:variant>
      <vt:variant>
        <vt:lpwstr>https://www.cbd.int/doc/decisions/cop-13/cop-13-dec-06-en.pdf</vt:lpwstr>
      </vt:variant>
      <vt:variant>
        <vt:lpwstr/>
      </vt:variant>
      <vt:variant>
        <vt:i4>524366</vt:i4>
      </vt:variant>
      <vt:variant>
        <vt:i4>30</vt:i4>
      </vt:variant>
      <vt:variant>
        <vt:i4>0</vt:i4>
      </vt:variant>
      <vt:variant>
        <vt:i4>5</vt:i4>
      </vt:variant>
      <vt:variant>
        <vt:lpwstr>https://www.cbd.int/doc/decisions/cop-12/cop-12-dec-21-en.pdf</vt:lpwstr>
      </vt:variant>
      <vt:variant>
        <vt:lpwstr/>
      </vt:variant>
      <vt:variant>
        <vt:i4>458825</vt:i4>
      </vt:variant>
      <vt:variant>
        <vt:i4>27</vt:i4>
      </vt:variant>
      <vt:variant>
        <vt:i4>0</vt:i4>
      </vt:variant>
      <vt:variant>
        <vt:i4>5</vt:i4>
      </vt:variant>
      <vt:variant>
        <vt:lpwstr>https://www.cbd.int/doc/decisions/cop-15/cop-15-dec-29-en.pdf</vt:lpwstr>
      </vt:variant>
      <vt:variant>
        <vt:lpwstr/>
      </vt:variant>
      <vt:variant>
        <vt:i4>720970</vt:i4>
      </vt:variant>
      <vt:variant>
        <vt:i4>24</vt:i4>
      </vt:variant>
      <vt:variant>
        <vt:i4>0</vt:i4>
      </vt:variant>
      <vt:variant>
        <vt:i4>5</vt:i4>
      </vt:variant>
      <vt:variant>
        <vt:lpwstr>https://www.cbd.int/doc/decisions/cop-14/cop-14-dec-04-en.pdf</vt:lpwstr>
      </vt:variant>
      <vt:variant>
        <vt:lpwstr/>
      </vt:variant>
      <vt:variant>
        <vt:i4>720970</vt:i4>
      </vt:variant>
      <vt:variant>
        <vt:i4>21</vt:i4>
      </vt:variant>
      <vt:variant>
        <vt:i4>0</vt:i4>
      </vt:variant>
      <vt:variant>
        <vt:i4>5</vt:i4>
      </vt:variant>
      <vt:variant>
        <vt:lpwstr>https://www.cbd.int/doc/decisions/cop-14/cop-14-dec-04-en.pdf</vt:lpwstr>
      </vt:variant>
      <vt:variant>
        <vt:lpwstr/>
      </vt:variant>
      <vt:variant>
        <vt:i4>917581</vt:i4>
      </vt:variant>
      <vt:variant>
        <vt:i4>18</vt:i4>
      </vt:variant>
      <vt:variant>
        <vt:i4>0</vt:i4>
      </vt:variant>
      <vt:variant>
        <vt:i4>5</vt:i4>
      </vt:variant>
      <vt:variant>
        <vt:lpwstr>https://www.cbd.int/doc/decisions/cop-13/cop-13-dec-06-en.pdf</vt:lpwstr>
      </vt:variant>
      <vt:variant>
        <vt:lpwstr/>
      </vt:variant>
      <vt:variant>
        <vt:i4>524366</vt:i4>
      </vt:variant>
      <vt:variant>
        <vt:i4>15</vt:i4>
      </vt:variant>
      <vt:variant>
        <vt:i4>0</vt:i4>
      </vt:variant>
      <vt:variant>
        <vt:i4>5</vt:i4>
      </vt:variant>
      <vt:variant>
        <vt:lpwstr>https://www.cbd.int/doc/decisions/cop-12/cop-12-dec-21-en.pdf</vt:lpwstr>
      </vt:variant>
      <vt:variant>
        <vt:lpwstr/>
      </vt:variant>
      <vt:variant>
        <vt:i4>720972</vt:i4>
      </vt:variant>
      <vt:variant>
        <vt:i4>12</vt:i4>
      </vt:variant>
      <vt:variant>
        <vt:i4>0</vt:i4>
      </vt:variant>
      <vt:variant>
        <vt:i4>5</vt:i4>
      </vt:variant>
      <vt:variant>
        <vt:lpwstr>https://www.cbd.int/doc/decisions/cop-12/cop-12-dec-02-en.pdf</vt:lpwstr>
      </vt:variant>
      <vt:variant>
        <vt:lpwstr/>
      </vt:variant>
      <vt:variant>
        <vt:i4>720970</vt:i4>
      </vt:variant>
      <vt:variant>
        <vt:i4>9</vt:i4>
      </vt:variant>
      <vt:variant>
        <vt:i4>0</vt:i4>
      </vt:variant>
      <vt:variant>
        <vt:i4>5</vt:i4>
      </vt:variant>
      <vt:variant>
        <vt:lpwstr>https://www.cbd.int/doc/decisions/cop-14/cop-14-dec-04-en.pdf</vt:lpwstr>
      </vt:variant>
      <vt:variant>
        <vt:lpwstr/>
      </vt:variant>
      <vt:variant>
        <vt:i4>458825</vt:i4>
      </vt:variant>
      <vt:variant>
        <vt:i4>6</vt:i4>
      </vt:variant>
      <vt:variant>
        <vt:i4>0</vt:i4>
      </vt:variant>
      <vt:variant>
        <vt:i4>5</vt:i4>
      </vt:variant>
      <vt:variant>
        <vt:lpwstr>https://www.cbd.int/doc/decisions/cop-15/cop-15-dec-29-en.pdf</vt:lpwstr>
      </vt:variant>
      <vt:variant>
        <vt:lpwstr/>
      </vt:variant>
      <vt:variant>
        <vt:i4>720970</vt:i4>
      </vt:variant>
      <vt:variant>
        <vt:i4>3</vt:i4>
      </vt:variant>
      <vt:variant>
        <vt:i4>0</vt:i4>
      </vt:variant>
      <vt:variant>
        <vt:i4>5</vt:i4>
      </vt:variant>
      <vt:variant>
        <vt:lpwstr>https://www.cbd.int/doc/decisions/cop-14/cop-14-dec-04-en.pdf</vt:lpwstr>
      </vt:variant>
      <vt:variant>
        <vt:lpwstr/>
      </vt:variant>
      <vt:variant>
        <vt:i4>458825</vt:i4>
      </vt:variant>
      <vt:variant>
        <vt:i4>0</vt:i4>
      </vt:variant>
      <vt:variant>
        <vt:i4>0</vt:i4>
      </vt:variant>
      <vt:variant>
        <vt:i4>5</vt:i4>
      </vt:variant>
      <vt:variant>
        <vt:lpwstr>https://www.cbd.int/doc/decisions/cop-15/cop-15-dec-29-en.pdf</vt:lpwstr>
      </vt:variant>
      <vt:variant>
        <vt:lpwstr/>
      </vt:variant>
      <vt:variant>
        <vt:i4>196633</vt:i4>
      </vt:variant>
      <vt:variant>
        <vt:i4>24</vt:i4>
      </vt:variant>
      <vt:variant>
        <vt:i4>0</vt:i4>
      </vt:variant>
      <vt:variant>
        <vt:i4>5</vt:i4>
      </vt:variant>
      <vt:variant>
        <vt:lpwstr>https://www.jstor.org/stable/resrep39121</vt:lpwstr>
      </vt:variant>
      <vt:variant>
        <vt:lpwstr/>
      </vt:variant>
      <vt:variant>
        <vt:i4>2162750</vt:i4>
      </vt:variant>
      <vt:variant>
        <vt:i4>21</vt:i4>
      </vt:variant>
      <vt:variant>
        <vt:i4>0</vt:i4>
      </vt:variant>
      <vt:variant>
        <vt:i4>5</vt:i4>
      </vt:variant>
      <vt:variant>
        <vt:lpwstr>https://www.ipbes.net/glossary-tag/telecoupling</vt:lpwstr>
      </vt:variant>
      <vt:variant>
        <vt:lpwstr/>
      </vt:variant>
      <vt:variant>
        <vt:i4>655435</vt:i4>
      </vt:variant>
      <vt:variant>
        <vt:i4>18</vt:i4>
      </vt:variant>
      <vt:variant>
        <vt:i4>0</vt:i4>
      </vt:variant>
      <vt:variant>
        <vt:i4>5</vt:i4>
      </vt:variant>
      <vt:variant>
        <vt:lpwstr>https://www.cbd.int/doc/decisions/cop-15/cop-15-dec-04-en.pdf</vt:lpwstr>
      </vt:variant>
      <vt:variant>
        <vt:lpwstr/>
      </vt:variant>
      <vt:variant>
        <vt:i4>2359409</vt:i4>
      </vt:variant>
      <vt:variant>
        <vt:i4>15</vt:i4>
      </vt:variant>
      <vt:variant>
        <vt:i4>0</vt:i4>
      </vt:variant>
      <vt:variant>
        <vt:i4>5</vt:i4>
      </vt:variant>
      <vt:variant>
        <vt:lpwstr>https://www.paho.org/en/topics/environmental-determinants-health</vt:lpwstr>
      </vt:variant>
      <vt:variant>
        <vt:lpwstr>:~:text=As%20the%20intersection%20of%20environment,person%2C%20and%20all%20related%20behaviors.%20These%20can%20be%20both%20positive%20and%20negative,%20for%20instance,%20functional%20integrity%20and%20diversity%20of%20an%20ecosystem%20can%20be%20a%20positive%20determinant%20while%20degradation%20of%20ecosystem%20services%20is%20a%20negative%20determinant%20of%20health</vt:lpwstr>
      </vt:variant>
      <vt:variant>
        <vt:i4>3997821</vt:i4>
      </vt:variant>
      <vt:variant>
        <vt:i4>12</vt:i4>
      </vt:variant>
      <vt:variant>
        <vt:i4>0</vt:i4>
      </vt:variant>
      <vt:variant>
        <vt:i4>5</vt:i4>
      </vt:variant>
      <vt:variant>
        <vt:lpwstr>https://www.who.int/about/general-programme-of-work/fourteenth</vt:lpwstr>
      </vt:variant>
      <vt:variant>
        <vt:lpwstr/>
      </vt:variant>
      <vt:variant>
        <vt:i4>7798901</vt:i4>
      </vt:variant>
      <vt:variant>
        <vt:i4>9</vt:i4>
      </vt:variant>
      <vt:variant>
        <vt:i4>0</vt:i4>
      </vt:variant>
      <vt:variant>
        <vt:i4>5</vt:i4>
      </vt:variant>
      <vt:variant>
        <vt:lpwstr>https://documents.un.org/doc/undoc/gen/n23/029/12/pdf/n2302912.pdf?token=MNVnouNJKmigQFyXDz&amp;fe=true</vt:lpwstr>
      </vt:variant>
      <vt:variant>
        <vt:lpwstr/>
      </vt:variant>
      <vt:variant>
        <vt:i4>2883709</vt:i4>
      </vt:variant>
      <vt:variant>
        <vt:i4>6</vt:i4>
      </vt:variant>
      <vt:variant>
        <vt:i4>0</vt:i4>
      </vt:variant>
      <vt:variant>
        <vt:i4>5</vt:i4>
      </vt:variant>
      <vt:variant>
        <vt:lpwstr>https://unfccc.int/documents/636595</vt:lpwstr>
      </vt:variant>
      <vt:variant>
        <vt:lpwstr/>
      </vt:variant>
      <vt:variant>
        <vt:i4>6619184</vt:i4>
      </vt:variant>
      <vt:variant>
        <vt:i4>0</vt:i4>
      </vt:variant>
      <vt:variant>
        <vt:i4>0</vt:i4>
      </vt:variant>
      <vt:variant>
        <vt:i4>5</vt:i4>
      </vt:variant>
      <vt:variant>
        <vt:lpwstr>https://www.cbd.int/notifications/2024-002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26/9.	Biodiversité et santé</dc:title>
  <dc:subject>CBD/SBSTTA/25/--</dc:subject>
  <dc:creator>Secretariat of the Convention on Biological Diversity</dc:creator>
  <cp:keywords>Subsidiary Body on Scientific, Technical and Technological Advice</cp:keywords>
  <dc:description/>
  <cp:lastModifiedBy>Lisa Pedicelli</cp:lastModifiedBy>
  <cp:revision>23</cp:revision>
  <cp:lastPrinted>2024-03-13T21:16:00Z</cp:lastPrinted>
  <dcterms:created xsi:type="dcterms:W3CDTF">2024-07-01T08:25:00Z</dcterms:created>
  <dcterms:modified xsi:type="dcterms:W3CDTF">2024-07-12T16:19:00Z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ies>
</file>