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E66716" w14:paraId="19D0A01B" w14:textId="77777777" w:rsidTr="001065E9">
        <w:trPr>
          <w:trHeight w:val="850"/>
        </w:trPr>
        <w:tc>
          <w:tcPr>
            <w:tcW w:w="975" w:type="dxa"/>
            <w:vAlign w:val="bottom"/>
          </w:tcPr>
          <w:p w14:paraId="39FCC235" w14:textId="77777777" w:rsidR="005012FC" w:rsidRPr="00E66716" w:rsidRDefault="005012FC" w:rsidP="005012FC">
            <w:pPr>
              <w:pStyle w:val="AASmallLogo"/>
              <w:rPr>
                <w:lang w:val="fr-FR"/>
              </w:rPr>
            </w:pPr>
            <w:r w:rsidRPr="00E66716">
              <w:rPr>
                <w:noProof/>
                <w:lang w:val="fr-CA" w:eastAsia="fr-CA"/>
                <w14:ligatures w14:val="standardContextual"/>
              </w:rPr>
              <w:drawing>
                <wp:inline distT="0" distB="0" distL="0" distR="0" wp14:anchorId="205B3D7F" wp14:editId="24D9F47F">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66716">
              <w:rPr>
                <w:lang w:val="fr-FR"/>
              </w:rPr>
              <w:t xml:space="preserve"> </w:t>
            </w:r>
          </w:p>
          <w:p w14:paraId="30B34133" w14:textId="77777777" w:rsidR="001065E9" w:rsidRPr="00E66716" w:rsidRDefault="001065E9" w:rsidP="005012FC">
            <w:pPr>
              <w:pStyle w:val="AASmallLogo"/>
              <w:rPr>
                <w:lang w:val="fr-FR"/>
              </w:rPr>
            </w:pPr>
          </w:p>
        </w:tc>
        <w:tc>
          <w:tcPr>
            <w:tcW w:w="1434" w:type="dxa"/>
            <w:noWrap/>
            <w:vAlign w:val="bottom"/>
          </w:tcPr>
          <w:p w14:paraId="67D9021D" w14:textId="40519888" w:rsidR="005012FC" w:rsidRPr="00E66716" w:rsidRDefault="00927212" w:rsidP="005012FC">
            <w:pPr>
              <w:pStyle w:val="AASmallLogo"/>
              <w:rPr>
                <w:lang w:val="fr-FR"/>
              </w:rPr>
            </w:pPr>
            <w:r w:rsidRPr="00E66716">
              <w:rPr>
                <w:noProof/>
                <w:lang w:val="fr-CA" w:eastAsia="fr-CA"/>
                <w14:ligatures w14:val="standardContextual"/>
              </w:rPr>
              <w:drawing>
                <wp:inline distT="0" distB="0" distL="0" distR="0" wp14:anchorId="155567DC" wp14:editId="087E1D38">
                  <wp:extent cx="590550" cy="3619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5012FC" w:rsidRPr="00E66716">
              <w:rPr>
                <w:lang w:val="fr-FR"/>
              </w:rPr>
              <w:t xml:space="preserve"> </w:t>
            </w:r>
          </w:p>
          <w:p w14:paraId="0B330268" w14:textId="77777777" w:rsidR="001065E9" w:rsidRPr="00E66716" w:rsidRDefault="001065E9" w:rsidP="005012FC">
            <w:pPr>
              <w:pStyle w:val="AASmallLogo"/>
              <w:rPr>
                <w:lang w:val="fr-FR"/>
              </w:rPr>
            </w:pPr>
          </w:p>
        </w:tc>
        <w:tc>
          <w:tcPr>
            <w:tcW w:w="8073" w:type="dxa"/>
            <w:vAlign w:val="bottom"/>
          </w:tcPr>
          <w:p w14:paraId="3EF00A87" w14:textId="32C9059F" w:rsidR="001065E9" w:rsidRPr="00E66716" w:rsidRDefault="009C0BBB" w:rsidP="00DF78C4">
            <w:pPr>
              <w:pStyle w:val="ABSymbol"/>
              <w:rPr>
                <w:lang w:val="fr-FR"/>
              </w:rPr>
            </w:pPr>
            <w:r w:rsidRPr="00E66716">
              <w:rPr>
                <w:sz w:val="40"/>
                <w:lang w:val="fr-FR"/>
              </w:rPr>
              <w:t>CBD</w:t>
            </w:r>
            <w:r w:rsidR="005012FC" w:rsidRPr="00E66716">
              <w:rPr>
                <w:lang w:val="fr-FR"/>
              </w:rPr>
              <w:t>/</w:t>
            </w:r>
            <w:r w:rsidRPr="00E66716">
              <w:rPr>
                <w:lang w:val="fr-FR"/>
              </w:rPr>
              <w:t>SBSTTA</w:t>
            </w:r>
            <w:r w:rsidR="005012FC" w:rsidRPr="00E66716">
              <w:rPr>
                <w:lang w:val="fr-FR"/>
              </w:rPr>
              <w:t>/</w:t>
            </w:r>
            <w:r w:rsidR="0027613F">
              <w:rPr>
                <w:lang w:val="fr-FR"/>
              </w:rPr>
              <w:t>REC/</w:t>
            </w:r>
            <w:r w:rsidRPr="00E66716">
              <w:rPr>
                <w:lang w:val="fr-FR"/>
              </w:rPr>
              <w:t>27</w:t>
            </w:r>
            <w:r w:rsidR="000B1DE9" w:rsidRPr="00E66716">
              <w:rPr>
                <w:lang w:val="fr-FR"/>
              </w:rPr>
              <w:t>/</w:t>
            </w:r>
            <w:r w:rsidR="0027613F">
              <w:rPr>
                <w:lang w:val="fr-FR"/>
              </w:rPr>
              <w:t>6</w:t>
            </w:r>
          </w:p>
        </w:tc>
      </w:tr>
    </w:tbl>
    <w:p w14:paraId="739AF516" w14:textId="77777777" w:rsidR="009F67EB" w:rsidRPr="00E66716" w:rsidRDefault="009F67EB" w:rsidP="001065E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E16E29" w14:paraId="72E5C0A7" w14:textId="77777777" w:rsidTr="001065E9">
        <w:trPr>
          <w:trHeight w:val="1814"/>
        </w:trPr>
        <w:tc>
          <w:tcPr>
            <w:tcW w:w="7370" w:type="dxa"/>
          </w:tcPr>
          <w:p w14:paraId="1AB93F8F" w14:textId="15D54853" w:rsidR="005012FC" w:rsidRPr="00E66716" w:rsidRDefault="00927212" w:rsidP="005012FC">
            <w:pPr>
              <w:pStyle w:val="ACLargeLogo"/>
              <w:rPr>
                <w:lang w:val="fr-FR"/>
              </w:rPr>
            </w:pPr>
            <w:r w:rsidRPr="00E66716">
              <w:rPr>
                <w:noProof/>
                <w:lang w:val="fr-CA" w:eastAsia="fr-CA"/>
                <w14:ligatures w14:val="standardContextual"/>
              </w:rPr>
              <w:drawing>
                <wp:inline distT="0" distB="0" distL="0" distR="0" wp14:anchorId="32444F9A" wp14:editId="01AE8A4F">
                  <wp:extent cx="2857500" cy="1076325"/>
                  <wp:effectExtent l="0" t="0" r="0" b="9525"/>
                  <wp:docPr id="1" name="Image 1" descr="CBD_logo_fr-CMYK-black [Converted]"/>
                  <wp:cNvGraphicFramePr/>
                  <a:graphic xmlns:a="http://schemas.openxmlformats.org/drawingml/2006/main">
                    <a:graphicData uri="http://schemas.openxmlformats.org/drawingml/2006/picture">
                      <pic:pic xmlns:pic="http://schemas.openxmlformats.org/drawingml/2006/picture">
                        <pic:nvPicPr>
                          <pic:cNvPr id="1" name="Image 1" descr="CBD_logo_fr-CMYK-black [Converted]"/>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5012FC" w:rsidRPr="00E66716">
              <w:rPr>
                <w:lang w:val="fr-FR"/>
              </w:rPr>
              <w:t xml:space="preserve"> </w:t>
            </w:r>
          </w:p>
          <w:p w14:paraId="4FC82073" w14:textId="77777777" w:rsidR="001065E9" w:rsidRPr="00E66716" w:rsidRDefault="001065E9" w:rsidP="005012FC">
            <w:pPr>
              <w:pStyle w:val="ACLargeLogo"/>
              <w:rPr>
                <w:lang w:val="fr-FR"/>
              </w:rPr>
            </w:pPr>
          </w:p>
        </w:tc>
        <w:tc>
          <w:tcPr>
            <w:tcW w:w="3112" w:type="dxa"/>
          </w:tcPr>
          <w:p w14:paraId="4B91AAE7" w14:textId="0AB3C80A" w:rsidR="005012FC" w:rsidRPr="00E66716" w:rsidRDefault="00D73486" w:rsidP="005012FC">
            <w:pPr>
              <w:pStyle w:val="AEDistrNormal"/>
              <w:rPr>
                <w:lang w:val="fr-FR"/>
              </w:rPr>
            </w:pPr>
            <w:r w:rsidRPr="00E66716">
              <w:rPr>
                <w:lang w:val="fr-FR"/>
              </w:rPr>
              <w:t>Distr</w:t>
            </w:r>
            <w:r w:rsidR="004901C2" w:rsidRPr="00E66716">
              <w:rPr>
                <w:lang w:val="fr-FR"/>
              </w:rPr>
              <w:t>.</w:t>
            </w:r>
            <w:r w:rsidR="00E16E29">
              <w:rPr>
                <w:lang w:val="fr-FR"/>
              </w:rPr>
              <w:t xml:space="preserve"> : </w:t>
            </w:r>
            <w:r w:rsidR="0027613F">
              <w:rPr>
                <w:lang w:val="fr-FR"/>
              </w:rPr>
              <w:t>Générale</w:t>
            </w:r>
          </w:p>
          <w:p w14:paraId="2E563291" w14:textId="280DF61D" w:rsidR="005012FC" w:rsidRPr="00E66716" w:rsidRDefault="00A772FC" w:rsidP="005012FC">
            <w:pPr>
              <w:pStyle w:val="AEDistrNormal"/>
              <w:rPr>
                <w:lang w:val="fr-FR"/>
              </w:rPr>
            </w:pPr>
            <w:r w:rsidRPr="00E66716">
              <w:rPr>
                <w:lang w:val="fr-FR"/>
              </w:rPr>
              <w:t>24 octobre </w:t>
            </w:r>
            <w:r w:rsidR="003B3B5F" w:rsidRPr="00E66716">
              <w:rPr>
                <w:lang w:val="fr-FR"/>
              </w:rPr>
              <w:t>2025</w:t>
            </w:r>
          </w:p>
          <w:p w14:paraId="3BDEA590" w14:textId="44358FC5" w:rsidR="005012FC" w:rsidRPr="00E66716" w:rsidRDefault="004901C2" w:rsidP="005012FC">
            <w:pPr>
              <w:pStyle w:val="AEDistrNormal"/>
              <w:rPr>
                <w:lang w:val="fr-FR"/>
              </w:rPr>
            </w:pPr>
            <w:r w:rsidRPr="00E66716">
              <w:rPr>
                <w:lang w:val="fr-FR"/>
              </w:rPr>
              <w:t>Français</w:t>
            </w:r>
          </w:p>
          <w:p w14:paraId="67826AB0" w14:textId="080B919D" w:rsidR="005012FC" w:rsidRPr="00E66716" w:rsidRDefault="005012FC" w:rsidP="005012FC">
            <w:pPr>
              <w:pStyle w:val="AEDistrNormal"/>
              <w:rPr>
                <w:lang w:val="fr-FR"/>
              </w:rPr>
            </w:pPr>
            <w:r w:rsidRPr="00E66716">
              <w:rPr>
                <w:lang w:val="fr-FR"/>
              </w:rPr>
              <w:t>Original</w:t>
            </w:r>
            <w:r w:rsidR="00612A1F">
              <w:rPr>
                <w:lang w:val="fr-FR"/>
              </w:rPr>
              <w:t> </w:t>
            </w:r>
            <w:r w:rsidRPr="00E66716">
              <w:rPr>
                <w:lang w:val="fr-FR"/>
              </w:rPr>
              <w:t xml:space="preserve">: </w:t>
            </w:r>
            <w:r w:rsidR="00553AF4">
              <w:rPr>
                <w:lang w:val="fr-FR"/>
              </w:rPr>
              <w:t>a</w:t>
            </w:r>
            <w:r w:rsidR="004901C2" w:rsidRPr="00E66716">
              <w:rPr>
                <w:lang w:val="fr-FR"/>
              </w:rPr>
              <w:t>nglais</w:t>
            </w:r>
            <w:r w:rsidRPr="00E66716">
              <w:rPr>
                <w:lang w:val="fr-FR"/>
              </w:rPr>
              <w:t xml:space="preserve"> </w:t>
            </w:r>
          </w:p>
          <w:p w14:paraId="1143D8ED" w14:textId="77777777" w:rsidR="001065E9" w:rsidRPr="00E66716" w:rsidRDefault="001065E9" w:rsidP="005012FC">
            <w:pPr>
              <w:pStyle w:val="AEDistrNormal6pt"/>
              <w:rPr>
                <w:lang w:val="fr-FR"/>
              </w:rPr>
            </w:pPr>
          </w:p>
        </w:tc>
      </w:tr>
    </w:tbl>
    <w:p w14:paraId="731CCE96" w14:textId="77777777" w:rsidR="001065E9" w:rsidRPr="00E66716" w:rsidRDefault="001065E9" w:rsidP="001065E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E16E29" w14:paraId="4509BBFD" w14:textId="77777777" w:rsidTr="001065E9">
        <w:trPr>
          <w:trHeight w:val="57"/>
        </w:trPr>
        <w:tc>
          <w:tcPr>
            <w:tcW w:w="6094" w:type="dxa"/>
          </w:tcPr>
          <w:p w14:paraId="632E1CA1" w14:textId="77777777" w:rsidR="00927212" w:rsidRPr="00E66716" w:rsidRDefault="00927212" w:rsidP="00927212">
            <w:pPr>
              <w:pStyle w:val="Cornernotation"/>
              <w:ind w:right="933"/>
              <w:rPr>
                <w:bCs/>
                <w:lang w:val="fr-FR"/>
              </w:rPr>
            </w:pPr>
            <w:r w:rsidRPr="00E66716">
              <w:rPr>
                <w:bCs/>
                <w:lang w:val="fr-FR"/>
              </w:rPr>
              <w:t>Organe subsidiaire chargé de fournir des avis scientifiques, techniques et technologiques</w:t>
            </w:r>
          </w:p>
          <w:p w14:paraId="7B0D34EF" w14:textId="77777777" w:rsidR="00927212" w:rsidRPr="00E66716" w:rsidRDefault="00927212" w:rsidP="00927212">
            <w:pPr>
              <w:pStyle w:val="Cornernotation"/>
              <w:rPr>
                <w:b w:val="0"/>
                <w:bCs/>
                <w:sz w:val="22"/>
                <w:szCs w:val="22"/>
                <w:lang w:val="fr-FR"/>
              </w:rPr>
            </w:pPr>
            <w:r w:rsidRPr="00E66716">
              <w:rPr>
                <w:bCs/>
                <w:sz w:val="22"/>
                <w:szCs w:val="22"/>
                <w:lang w:val="fr-FR"/>
              </w:rPr>
              <w:t xml:space="preserve">Vingt-septième réunion </w:t>
            </w:r>
            <w:r w:rsidRPr="00E66716">
              <w:rPr>
                <w:b w:val="0"/>
                <w:lang w:val="fr-FR"/>
              </w:rPr>
              <w:t xml:space="preserve"> </w:t>
            </w:r>
          </w:p>
          <w:p w14:paraId="44B4BCF8" w14:textId="18E77051" w:rsidR="00927212" w:rsidRPr="00E66716" w:rsidRDefault="00927212" w:rsidP="00927212">
            <w:pPr>
              <w:pStyle w:val="Cornernotation-Item"/>
              <w:rPr>
                <w:b w:val="0"/>
                <w:bCs w:val="0"/>
                <w:lang w:val="fr-FR"/>
              </w:rPr>
            </w:pPr>
            <w:r w:rsidRPr="00E66716">
              <w:rPr>
                <w:b w:val="0"/>
                <w:bCs w:val="0"/>
                <w:lang w:val="fr-FR"/>
              </w:rPr>
              <w:t>Panama, 20-24 octobre</w:t>
            </w:r>
            <w:r w:rsidR="00612A1F">
              <w:rPr>
                <w:b w:val="0"/>
                <w:bCs w:val="0"/>
                <w:lang w:val="fr-FR"/>
              </w:rPr>
              <w:t> </w:t>
            </w:r>
            <w:r w:rsidRPr="00E66716">
              <w:rPr>
                <w:b w:val="0"/>
                <w:bCs w:val="0"/>
                <w:lang w:val="fr-FR"/>
              </w:rPr>
              <w:t>2025</w:t>
            </w:r>
          </w:p>
          <w:p w14:paraId="64C25194" w14:textId="176D0868" w:rsidR="00927212" w:rsidRPr="00E66716" w:rsidRDefault="00927212" w:rsidP="00927212">
            <w:pPr>
              <w:pStyle w:val="AFCorNNormal"/>
              <w:rPr>
                <w:lang w:val="fr-FR"/>
              </w:rPr>
            </w:pPr>
            <w:r w:rsidRPr="00E66716">
              <w:rPr>
                <w:lang w:val="fr-FR"/>
              </w:rPr>
              <w:t>Point 6</w:t>
            </w:r>
            <w:r w:rsidR="00612A1F">
              <w:rPr>
                <w:lang w:val="fr-FR"/>
              </w:rPr>
              <w:t> </w:t>
            </w:r>
            <w:r w:rsidR="00D73486" w:rsidRPr="00E66716">
              <w:rPr>
                <w:lang w:val="fr-FR"/>
              </w:rPr>
              <w:t xml:space="preserve">c) </w:t>
            </w:r>
            <w:r w:rsidRPr="00E66716">
              <w:rPr>
                <w:lang w:val="fr-FR"/>
              </w:rPr>
              <w:t>de l’ordre du jour</w:t>
            </w:r>
          </w:p>
          <w:p w14:paraId="0D50BFC3" w14:textId="29A45ABB" w:rsidR="001065E9" w:rsidRPr="00E66716" w:rsidRDefault="00927212" w:rsidP="00927212">
            <w:pPr>
              <w:pStyle w:val="AFCorNBold"/>
              <w:spacing w:after="120"/>
              <w:rPr>
                <w:lang w:val="fr-FR"/>
              </w:rPr>
            </w:pPr>
            <w:r w:rsidRPr="00E66716">
              <w:rPr>
                <w:lang w:val="fr-FR"/>
              </w:rPr>
              <w:t xml:space="preserve">Besoins scientifiques et techniques en vue d’appuyer la mise en œuvre du Cadre mondial de la biodiversité de Kunming-Montréal : </w:t>
            </w:r>
            <w:r w:rsidR="00390558">
              <w:rPr>
                <w:lang w:val="fr-FR"/>
              </w:rPr>
              <w:t>d</w:t>
            </w:r>
            <w:r w:rsidR="00976234" w:rsidRPr="00E66716">
              <w:rPr>
                <w:lang w:val="fr-FR"/>
              </w:rPr>
              <w:t>omaines dans lesquels des travaux plus poussés pourraient être menés</w:t>
            </w:r>
          </w:p>
        </w:tc>
        <w:tc>
          <w:tcPr>
            <w:tcW w:w="4388" w:type="dxa"/>
          </w:tcPr>
          <w:p w14:paraId="6DD9511D" w14:textId="77777777" w:rsidR="001065E9" w:rsidRPr="00E66716" w:rsidRDefault="001065E9" w:rsidP="001065E9">
            <w:pPr>
              <w:pStyle w:val="CBDNormal"/>
              <w:jc w:val="left"/>
              <w:rPr>
                <w:lang w:val="fr-FR"/>
              </w:rPr>
            </w:pPr>
          </w:p>
        </w:tc>
      </w:tr>
    </w:tbl>
    <w:p w14:paraId="217DAA36" w14:textId="7410DE40" w:rsidR="001065E9" w:rsidRPr="00E66716" w:rsidRDefault="00B01BF0" w:rsidP="00C25933">
      <w:pPr>
        <w:pStyle w:val="CBDTitle"/>
        <w:rPr>
          <w:lang w:val="fr-FR"/>
        </w:rPr>
      </w:pPr>
      <w:sdt>
        <w:sdtPr>
          <w:rPr>
            <w:bCs/>
            <w:lang w:val="fr-FR"/>
          </w:rPr>
          <w:alias w:val="Title"/>
          <w:tag w:val=""/>
          <w:id w:val="-591865594"/>
          <w:placeholder>
            <w:docPart w:val="B4C7BA9DDEA44A0A9C303EC0E6B031B0"/>
          </w:placeholder>
          <w:dataBinding w:prefixMappings="xmlns:ns0='http://purl.org/dc/elements/1.1/' xmlns:ns1='http://schemas.openxmlformats.org/package/2006/metadata/core-properties' " w:xpath="/ns1:coreProperties[1]/ns0:title[1]" w:storeItemID="{6C3C8BC8-F283-45AE-878A-BAB7291924A1}"/>
          <w:text/>
        </w:sdtPr>
        <w:sdtEndPr/>
        <w:sdtContent>
          <w:r w:rsidR="007B43F7">
            <w:rPr>
              <w:bCs/>
              <w:lang w:val="fr-FR"/>
            </w:rPr>
            <w:t>Recommandation adoptée par l’Organe subsidiaire chargé de fournir des avis scientifiques, techniques et technologiques le 24 octobre 2025</w:t>
          </w:r>
        </w:sdtContent>
      </w:sdt>
      <w:r w:rsidR="00C25933" w:rsidRPr="00E66716">
        <w:rPr>
          <w:b w:val="0"/>
          <w:bCs/>
          <w:sz w:val="22"/>
          <w:lang w:val="fr-FR"/>
        </w:rPr>
        <w:t xml:space="preserve"> </w:t>
      </w:r>
    </w:p>
    <w:p w14:paraId="75436406" w14:textId="47477337" w:rsidR="00C25933" w:rsidRPr="00E66716" w:rsidRDefault="007B43F7" w:rsidP="000D6E57">
      <w:pPr>
        <w:pStyle w:val="CBDSubTitle"/>
        <w:rPr>
          <w:lang w:val="fr-FR"/>
        </w:rPr>
      </w:pPr>
      <w:r>
        <w:rPr>
          <w:lang w:val="fr-FR"/>
        </w:rPr>
        <w:t>27/6.</w:t>
      </w:r>
      <w:r>
        <w:rPr>
          <w:lang w:val="fr-FR"/>
        </w:rPr>
        <w:tab/>
      </w:r>
      <w:r w:rsidRPr="007B43F7">
        <w:rPr>
          <w:lang w:val="fr-FR"/>
        </w:rPr>
        <w:t>Domaines dans lesquels des travaux plus poussés pourraient être menés dans le contexte du Cadre mondial de la biodiversité de Kunming-Montréal</w:t>
      </w:r>
    </w:p>
    <w:p w14:paraId="2D8B06ED" w14:textId="52D5C56C" w:rsidR="001947C7" w:rsidRPr="00B1707D" w:rsidRDefault="001947C7" w:rsidP="00DB1D41">
      <w:pPr>
        <w:pStyle w:val="CBDNormalNoNumber"/>
        <w:tabs>
          <w:tab w:val="clear" w:pos="1134"/>
        </w:tabs>
        <w:ind w:left="540" w:firstLine="594"/>
        <w:jc w:val="left"/>
        <w:rPr>
          <w:bCs/>
          <w:i/>
          <w:szCs w:val="20"/>
          <w:lang w:val="fr-FR"/>
        </w:rPr>
      </w:pPr>
      <w:r w:rsidRPr="00B1707D">
        <w:rPr>
          <w:bCs/>
          <w:i/>
          <w:szCs w:val="20"/>
          <w:lang w:val="fr-FR"/>
        </w:rPr>
        <w:t xml:space="preserve">L’Organe subsidiaire chargé de fournir des avis scientifiques, techniques et technologiques  </w:t>
      </w:r>
    </w:p>
    <w:p w14:paraId="0E15BE74" w14:textId="31A6BA95" w:rsidR="002B7380" w:rsidRPr="002B7380" w:rsidRDefault="001E0F1E" w:rsidP="007E298E">
      <w:pPr>
        <w:pStyle w:val="ListParagraph"/>
        <w:numPr>
          <w:ilvl w:val="0"/>
          <w:numId w:val="5"/>
        </w:numPr>
        <w:tabs>
          <w:tab w:val="left" w:pos="2835"/>
          <w:tab w:val="left" w:pos="3402"/>
          <w:tab w:val="left" w:pos="3969"/>
        </w:tabs>
        <w:spacing w:before="120" w:after="120"/>
        <w:ind w:left="567" w:firstLine="567"/>
        <w:contextualSpacing w:val="0"/>
        <w:rPr>
          <w:lang w:val="fr-FR"/>
        </w:rPr>
      </w:pPr>
      <w:r w:rsidRPr="002B7380">
        <w:rPr>
          <w:i/>
          <w:iCs/>
          <w:lang w:val="fr-FR"/>
        </w:rPr>
        <w:t>Prie</w:t>
      </w:r>
      <w:r w:rsidR="00BD7DEC" w:rsidRPr="002B7380">
        <w:rPr>
          <w:i/>
          <w:iCs/>
          <w:lang w:val="fr-FR"/>
        </w:rPr>
        <w:t xml:space="preserve"> </w:t>
      </w:r>
      <w:r w:rsidRPr="002B7380">
        <w:rPr>
          <w:lang w:val="fr-FR"/>
        </w:rPr>
        <w:t>la Secrétaire exécutive</w:t>
      </w:r>
      <w:r w:rsidR="00783483">
        <w:rPr>
          <w:lang w:val="fr-FR"/>
        </w:rPr>
        <w:t xml:space="preserve"> de</w:t>
      </w:r>
      <w:r w:rsidR="00B401D9">
        <w:rPr>
          <w:lang w:val="fr-FR"/>
        </w:rPr>
        <w:t> :</w:t>
      </w:r>
    </w:p>
    <w:p w14:paraId="5A02E5BA" w14:textId="66DBC447" w:rsidR="00E66716" w:rsidRPr="0051722D" w:rsidRDefault="00783483" w:rsidP="00DB1D41">
      <w:pPr>
        <w:pStyle w:val="ListParagraph"/>
        <w:numPr>
          <w:ilvl w:val="0"/>
          <w:numId w:val="6"/>
        </w:numPr>
        <w:tabs>
          <w:tab w:val="left" w:pos="2835"/>
          <w:tab w:val="left" w:pos="3402"/>
          <w:tab w:val="left" w:pos="3969"/>
        </w:tabs>
        <w:spacing w:before="120" w:after="120"/>
        <w:ind w:left="567" w:firstLine="594"/>
        <w:rPr>
          <w:lang w:val="fr-FR"/>
        </w:rPr>
      </w:pPr>
      <w:r>
        <w:rPr>
          <w:lang w:val="fr-FR"/>
        </w:rPr>
        <w:t>I</w:t>
      </w:r>
      <w:r w:rsidR="001E0F1E" w:rsidRPr="0051722D">
        <w:rPr>
          <w:lang w:val="fr-FR"/>
        </w:rPr>
        <w:t xml:space="preserve">nviter le Groupe d’experts </w:t>
      </w:r>
      <w:r w:rsidR="00975470" w:rsidRPr="0051722D">
        <w:rPr>
          <w:lang w:val="fr-FR"/>
        </w:rPr>
        <w:t>intergouvernemental scientifique et politique sur les produits chimiques, les déchets et la pollution, la Plateforme intergouvernementale scientifique et politique sur la biodiversité et les services écosystémiques, le Cadre mondial relatif aux produits chimiques</w:t>
      </w:r>
      <w:r w:rsidR="00BD7DEC" w:rsidRPr="0051722D">
        <w:rPr>
          <w:lang w:val="fr-FR"/>
        </w:rPr>
        <w:t xml:space="preserve">  pour une planète sans produits chimiques ni déchets nocifs, le secrétariat de</w:t>
      </w:r>
      <w:r w:rsidR="00975470" w:rsidRPr="0051722D">
        <w:rPr>
          <w:lang w:val="fr-FR"/>
        </w:rPr>
        <w:t xml:space="preserve"> la Convention de Bâle sur le contrôle des mouvements transfrontières de déchets dangereux et de leur élimination</w:t>
      </w:r>
      <w:r w:rsidR="00A672D5">
        <w:rPr>
          <w:rStyle w:val="FootnoteReference"/>
        </w:rPr>
        <w:footnoteReference w:id="1"/>
      </w:r>
      <w:r w:rsidR="004A3F73" w:rsidRPr="0051722D">
        <w:rPr>
          <w:lang w:val="fr-FR"/>
        </w:rPr>
        <w:t>,</w:t>
      </w:r>
      <w:r w:rsidR="00E66716" w:rsidRPr="0051722D">
        <w:rPr>
          <w:lang w:val="fr-FR"/>
        </w:rPr>
        <w:t xml:space="preserve"> </w:t>
      </w:r>
      <w:r w:rsidR="00975470" w:rsidRPr="0051722D">
        <w:rPr>
          <w:lang w:val="fr-FR"/>
        </w:rPr>
        <w:t>la Convention de Rotterdam sur la procédure de consentement préalable en connaissance de cause applicable à certains produits chimiques et pesticides dangereux qui font l’objet d’un commerce international</w:t>
      </w:r>
      <w:r w:rsidR="004A3F73">
        <w:rPr>
          <w:rStyle w:val="FootnoteReference"/>
        </w:rPr>
        <w:footnoteReference w:id="2"/>
      </w:r>
      <w:r w:rsidR="00975470" w:rsidRPr="0051722D">
        <w:rPr>
          <w:lang w:val="fr-FR"/>
        </w:rPr>
        <w:t xml:space="preserve"> et la Convention de Stockholm sur les polluants organiques persistants,</w:t>
      </w:r>
      <w:r w:rsidR="004A3F73">
        <w:rPr>
          <w:rStyle w:val="FootnoteReference"/>
        </w:rPr>
        <w:footnoteReference w:id="3"/>
      </w:r>
      <w:r w:rsidR="00975470" w:rsidRPr="0051722D">
        <w:rPr>
          <w:lang w:val="fr-FR"/>
        </w:rPr>
        <w:t xml:space="preserve"> </w:t>
      </w:r>
      <w:r w:rsidR="00BD7DEC" w:rsidRPr="0051722D">
        <w:rPr>
          <w:lang w:val="fr-FR"/>
        </w:rPr>
        <w:t xml:space="preserve">le secrétariat de </w:t>
      </w:r>
      <w:r w:rsidR="00975470" w:rsidRPr="0051722D">
        <w:rPr>
          <w:lang w:val="fr-FR"/>
        </w:rPr>
        <w:t>la Convention de Minamata sur le mercure</w:t>
      </w:r>
      <w:r w:rsidR="00A672D5">
        <w:rPr>
          <w:rStyle w:val="FootnoteReference"/>
        </w:rPr>
        <w:footnoteReference w:id="4"/>
      </w:r>
      <w:r w:rsidR="00975470" w:rsidRPr="0051722D">
        <w:rPr>
          <w:lang w:val="fr-FR"/>
        </w:rPr>
        <w:t xml:space="preserve">, l’Organisation </w:t>
      </w:r>
      <w:r w:rsidR="00FA7B44" w:rsidRPr="0051722D">
        <w:rPr>
          <w:lang w:val="fr-FR"/>
        </w:rPr>
        <w:t xml:space="preserve">des Nations Unies </w:t>
      </w:r>
      <w:r w:rsidR="00975470" w:rsidRPr="0051722D">
        <w:rPr>
          <w:lang w:val="fr-FR"/>
        </w:rPr>
        <w:t xml:space="preserve">pour l’alimentation et l’agriculture, l’Organisation maritime </w:t>
      </w:r>
      <w:r w:rsidR="00975470" w:rsidRPr="0051722D">
        <w:rPr>
          <w:rFonts w:eastAsia="Times New Roman"/>
          <w:lang w:val="fr-FR"/>
        </w:rPr>
        <w:t xml:space="preserve">internationale, </w:t>
      </w:r>
      <w:r w:rsidR="00FA7B44" w:rsidRPr="0051722D">
        <w:rPr>
          <w:rFonts w:eastAsia="Times New Roman"/>
          <w:lang w:val="fr-FR"/>
        </w:rPr>
        <w:t xml:space="preserve">l’Organisation maritime internationale, </w:t>
      </w:r>
      <w:r w:rsidR="00975470" w:rsidRPr="0051722D">
        <w:rPr>
          <w:rFonts w:eastAsia="Times New Roman"/>
          <w:lang w:val="fr-FR"/>
        </w:rPr>
        <w:t>l’Autorité internationale des fonds marins</w:t>
      </w:r>
      <w:r w:rsidR="00975470" w:rsidRPr="0051722D">
        <w:rPr>
          <w:lang w:val="fr-FR"/>
        </w:rPr>
        <w:t xml:space="preserve"> et les secrétariats des conventions et plans d’action sur les mers régionales à</w:t>
      </w:r>
      <w:r w:rsidR="00A672D5">
        <w:rPr>
          <w:lang w:val="fr-FR"/>
        </w:rPr>
        <w:t xml:space="preserve"> </w:t>
      </w:r>
      <w:r w:rsidR="0051722D">
        <w:rPr>
          <w:lang w:val="fr-FR"/>
        </w:rPr>
        <w:t>f</w:t>
      </w:r>
      <w:r w:rsidR="00975470" w:rsidRPr="0051722D">
        <w:rPr>
          <w:lang w:val="fr-FR"/>
        </w:rPr>
        <w:t>ournir des informations relatives à leurs activités sur l’interaction entre les produits chimiques et les déchets,</w:t>
      </w:r>
      <w:r w:rsidR="00026AF9" w:rsidRPr="0051722D">
        <w:rPr>
          <w:lang w:val="fr-FR"/>
        </w:rPr>
        <w:t xml:space="preserve"> y compris les déchets plastiques, d’une part et la biodiversité et les services écosystémiques d’autre part, conformément à la cible</w:t>
      </w:r>
      <w:r w:rsidR="00DB6820">
        <w:rPr>
          <w:lang w:val="fr-FR"/>
        </w:rPr>
        <w:t> </w:t>
      </w:r>
      <w:r w:rsidR="00026AF9" w:rsidRPr="0051722D">
        <w:rPr>
          <w:lang w:val="fr-FR"/>
        </w:rPr>
        <w:t>7 du Cadre</w:t>
      </w:r>
      <w:r w:rsidR="00FA7B44" w:rsidRPr="0051722D">
        <w:rPr>
          <w:lang w:val="fr-FR"/>
        </w:rPr>
        <w:t> </w:t>
      </w:r>
      <w:r w:rsidR="0051722D">
        <w:rPr>
          <w:lang w:val="fr-FR"/>
        </w:rPr>
        <w:t>mondial de la biodiversité de Kunming-Montréal</w:t>
      </w:r>
      <w:r w:rsidR="00097327">
        <w:rPr>
          <w:rStyle w:val="FootnoteReference"/>
        </w:rPr>
        <w:footnoteReference w:id="5"/>
      </w:r>
      <w:r w:rsidR="0051722D">
        <w:rPr>
          <w:lang w:val="fr-FR"/>
        </w:rPr>
        <w:t> </w:t>
      </w:r>
      <w:r w:rsidR="00FA7B44" w:rsidRPr="0051722D">
        <w:rPr>
          <w:lang w:val="fr-FR"/>
        </w:rPr>
        <w:t>;</w:t>
      </w:r>
    </w:p>
    <w:p w14:paraId="3C33E7CA" w14:textId="2CF93E95" w:rsidR="00E66716" w:rsidRPr="00E66716" w:rsidRDefault="00E66716" w:rsidP="00E66716">
      <w:pPr>
        <w:tabs>
          <w:tab w:val="left" w:pos="2835"/>
          <w:tab w:val="left" w:pos="3402"/>
          <w:tab w:val="left" w:pos="3969"/>
        </w:tabs>
        <w:spacing w:before="120" w:after="120"/>
        <w:ind w:left="567" w:firstLine="567"/>
        <w:rPr>
          <w:lang w:val="fr-FR"/>
        </w:rPr>
      </w:pPr>
      <w:r w:rsidRPr="00E66716">
        <w:rPr>
          <w:lang w:val="fr-FR"/>
        </w:rPr>
        <w:lastRenderedPageBreak/>
        <w:t>b)</w:t>
      </w:r>
      <w:r w:rsidRPr="00E66716">
        <w:rPr>
          <w:lang w:val="fr-FR"/>
        </w:rPr>
        <w:tab/>
      </w:r>
      <w:r w:rsidR="00650169">
        <w:rPr>
          <w:lang w:val="fr-FR"/>
        </w:rPr>
        <w:t>M</w:t>
      </w:r>
      <w:r w:rsidR="00026AF9">
        <w:rPr>
          <w:lang w:val="fr-FR"/>
        </w:rPr>
        <w:t>ettre les informations reçues à disposition de l’Organe subsidiaire chargé de fournir des avis scientifiques, techniques et technologiques à sa vingt-huitième réunion ou de la Conférence des Parties à sa dix-septième réunion ;]</w:t>
      </w:r>
    </w:p>
    <w:p w14:paraId="66506687" w14:textId="287770B4" w:rsidR="00E66716" w:rsidRPr="00650169" w:rsidRDefault="0002020D" w:rsidP="00650169">
      <w:pPr>
        <w:pStyle w:val="CBDNormalNoNumber"/>
        <w:spacing w:before="120"/>
        <w:ind w:firstLine="567"/>
        <w:jc w:val="left"/>
        <w:rPr>
          <w:szCs w:val="20"/>
          <w:lang w:val="fr-FR"/>
        </w:rPr>
      </w:pPr>
      <w:r>
        <w:rPr>
          <w:szCs w:val="20"/>
          <w:lang w:val="fr-FR"/>
        </w:rPr>
        <w:t>2</w:t>
      </w:r>
      <w:r w:rsidR="00650169" w:rsidRPr="00650169">
        <w:rPr>
          <w:szCs w:val="20"/>
          <w:lang w:val="fr-FR"/>
        </w:rPr>
        <w:t>.</w:t>
      </w:r>
      <w:r w:rsidR="00650169" w:rsidRPr="00650169">
        <w:rPr>
          <w:szCs w:val="20"/>
          <w:lang w:val="fr-FR"/>
        </w:rPr>
        <w:tab/>
      </w:r>
      <w:r w:rsidR="00650169" w:rsidRPr="00650169">
        <w:rPr>
          <w:i/>
          <w:iCs/>
          <w:szCs w:val="20"/>
          <w:lang w:val="fr-FR"/>
        </w:rPr>
        <w:t xml:space="preserve">Recommande </w:t>
      </w:r>
      <w:r w:rsidR="00650169" w:rsidRPr="00650169">
        <w:rPr>
          <w:szCs w:val="20"/>
          <w:lang w:val="fr-FR"/>
        </w:rPr>
        <w:t>que, à sa dix-septième réunion, la Conférence des Parties adopte une décision sur le modèle suivant</w:t>
      </w:r>
      <w:r w:rsidR="00650169">
        <w:rPr>
          <w:szCs w:val="20"/>
          <w:lang w:val="fr-FR"/>
        </w:rPr>
        <w:t> :</w:t>
      </w:r>
    </w:p>
    <w:p w14:paraId="207C5C4D" w14:textId="5DEDB8BB" w:rsidR="0039351B" w:rsidRDefault="0039351B" w:rsidP="00E97DCA">
      <w:pPr>
        <w:pStyle w:val="CBDNormalNoNumber"/>
        <w:ind w:left="1134"/>
        <w:jc w:val="left"/>
        <w:rPr>
          <w:b/>
          <w:bCs/>
          <w:sz w:val="24"/>
          <w:lang w:val="fr-FR"/>
        </w:rPr>
      </w:pPr>
      <w:r>
        <w:rPr>
          <w:b/>
          <w:bCs/>
          <w:sz w:val="24"/>
          <w:lang w:val="fr-FR"/>
        </w:rPr>
        <w:t>[</w:t>
      </w:r>
    </w:p>
    <w:p w14:paraId="61A8EE9F" w14:textId="0D736F2A" w:rsidR="00F51847" w:rsidRPr="00E66716" w:rsidRDefault="00E468BE" w:rsidP="00E97DCA">
      <w:pPr>
        <w:pStyle w:val="CBDNormalNoNumber"/>
        <w:ind w:left="1134"/>
        <w:jc w:val="left"/>
        <w:rPr>
          <w:b/>
          <w:bCs/>
          <w:sz w:val="28"/>
          <w:szCs w:val="24"/>
          <w:lang w:val="fr-FR"/>
        </w:rPr>
      </w:pPr>
      <w:r w:rsidRPr="00E66716">
        <w:rPr>
          <w:b/>
          <w:bCs/>
          <w:sz w:val="24"/>
          <w:lang w:val="fr-FR"/>
        </w:rPr>
        <w:t xml:space="preserve">Domaines dans lesquels des travaux plus poussés pourraient être menés dans le contexte du Cadre mondial de la biodiversité de Kunming-Montréal </w:t>
      </w:r>
    </w:p>
    <w:p w14:paraId="2C669B29" w14:textId="19C2552A" w:rsidR="00757587" w:rsidRPr="00E66716" w:rsidRDefault="00757587" w:rsidP="000D6E57">
      <w:pPr>
        <w:pStyle w:val="CBDNormalNoNumber"/>
        <w:ind w:left="1134"/>
        <w:rPr>
          <w:b/>
          <w:bCs/>
          <w:lang w:val="fr-FR"/>
        </w:rPr>
      </w:pPr>
      <w:r w:rsidRPr="00E66716">
        <w:rPr>
          <w:b/>
          <w:bCs/>
          <w:lang w:val="fr-FR"/>
        </w:rPr>
        <w:t>A</w:t>
      </w:r>
      <w:r w:rsidR="00BF2D23" w:rsidRPr="00E66716">
        <w:rPr>
          <w:b/>
          <w:bCs/>
          <w:lang w:val="fr-FR"/>
        </w:rPr>
        <w:br/>
      </w:r>
      <w:r w:rsidR="00E468BE" w:rsidRPr="00E66716">
        <w:rPr>
          <w:b/>
          <w:bCs/>
          <w:lang w:val="fr-FR"/>
        </w:rPr>
        <w:t xml:space="preserve">Aménagement du territoire </w:t>
      </w:r>
      <w:r w:rsidR="005539EF" w:rsidRPr="00E66716">
        <w:rPr>
          <w:b/>
          <w:bCs/>
          <w:lang w:val="fr-FR"/>
        </w:rPr>
        <w:t>tenant compte de la biodiversité</w:t>
      </w:r>
    </w:p>
    <w:p w14:paraId="40CB0F87" w14:textId="7C036306" w:rsidR="00C25933" w:rsidRPr="00E66716" w:rsidDel="0015022C" w:rsidRDefault="005539EF" w:rsidP="000D6E57">
      <w:pPr>
        <w:pStyle w:val="CBDNormalNoNumber"/>
        <w:tabs>
          <w:tab w:val="clear" w:pos="567"/>
        </w:tabs>
        <w:ind w:left="1134" w:firstLine="567"/>
        <w:rPr>
          <w:i/>
          <w:iCs/>
          <w:lang w:val="fr-FR"/>
        </w:rPr>
      </w:pPr>
      <w:r w:rsidRPr="00E66716">
        <w:rPr>
          <w:i/>
          <w:iCs/>
          <w:lang w:val="fr-FR"/>
        </w:rPr>
        <w:t>La Conférence des Parties</w:t>
      </w:r>
      <w:r w:rsidR="00C25933" w:rsidRPr="00E66716" w:rsidDel="0015022C">
        <w:rPr>
          <w:lang w:val="fr-FR"/>
        </w:rPr>
        <w:t>,</w:t>
      </w:r>
    </w:p>
    <w:p w14:paraId="56E0FAF9" w14:textId="250471C9" w:rsidR="00C25933" w:rsidRPr="00E66716" w:rsidRDefault="005539EF" w:rsidP="000D6E57">
      <w:pPr>
        <w:pStyle w:val="CBDNormalNoNumber"/>
        <w:tabs>
          <w:tab w:val="clear" w:pos="567"/>
        </w:tabs>
        <w:ind w:left="1134" w:firstLine="567"/>
        <w:rPr>
          <w:lang w:val="fr-FR"/>
        </w:rPr>
      </w:pPr>
      <w:r w:rsidRPr="00E66716">
        <w:rPr>
          <w:i/>
          <w:iCs/>
          <w:lang w:val="fr-FR"/>
        </w:rPr>
        <w:t xml:space="preserve">Prenant note </w:t>
      </w:r>
      <w:r w:rsidRPr="00E66716">
        <w:rPr>
          <w:iCs/>
          <w:lang w:val="fr-FR"/>
        </w:rPr>
        <w:t>de l’évaluation méthodologique de l’aménagement du territoire tenant compte de la biodiversité et de la connectivité écologique de la Plateforme intergouvernementale scientifique et politique sur la biodiversité et les services écosystémiques</w:t>
      </w:r>
      <w:r w:rsidR="00095036" w:rsidRPr="00E66716">
        <w:rPr>
          <w:lang w:val="fr-FR"/>
        </w:rPr>
        <w:t>,</w:t>
      </w:r>
      <w:r w:rsidR="00C25933" w:rsidRPr="00E66716">
        <w:rPr>
          <w:lang w:val="fr-FR"/>
        </w:rPr>
        <w:t xml:space="preserve"> </w:t>
      </w:r>
    </w:p>
    <w:p w14:paraId="47FF7086" w14:textId="37B7133B" w:rsidR="00C25933" w:rsidRPr="00E66716" w:rsidRDefault="004E7922" w:rsidP="00390558">
      <w:pPr>
        <w:pStyle w:val="CBDNormalNoNumber"/>
        <w:tabs>
          <w:tab w:val="clear" w:pos="567"/>
        </w:tabs>
        <w:ind w:left="1134" w:firstLine="567"/>
        <w:rPr>
          <w:lang w:val="fr-FR"/>
        </w:rPr>
      </w:pPr>
      <w:r w:rsidRPr="00E66716">
        <w:rPr>
          <w:i/>
          <w:iCs/>
          <w:lang w:val="fr-FR"/>
        </w:rPr>
        <w:t xml:space="preserve">Reconnaissant </w:t>
      </w:r>
      <w:r w:rsidRPr="00E66716">
        <w:rPr>
          <w:iCs/>
          <w:lang w:val="fr-FR"/>
        </w:rPr>
        <w:t>que l’aménagement d</w:t>
      </w:r>
      <w:r w:rsidR="005A0CDF" w:rsidRPr="00E66716">
        <w:rPr>
          <w:iCs/>
          <w:lang w:val="fr-FR"/>
        </w:rPr>
        <w:t>u territoire marin a été abordé</w:t>
      </w:r>
      <w:r w:rsidRPr="00E66716">
        <w:rPr>
          <w:iCs/>
          <w:lang w:val="fr-FR"/>
        </w:rPr>
        <w:t xml:space="preserve"> de manière adéquate dans des décisions antérieures, en particulier la décision</w:t>
      </w:r>
      <w:r w:rsidR="00612A1F">
        <w:rPr>
          <w:lang w:val="fr-FR"/>
        </w:rPr>
        <w:t> </w:t>
      </w:r>
      <w:hyperlink r:id="rId14" w:history="1">
        <w:r w:rsidR="00C25933" w:rsidRPr="00E66716">
          <w:rPr>
            <w:rStyle w:val="Hyperlink"/>
            <w:lang w:val="fr-FR"/>
          </w:rPr>
          <w:t>XIII/9</w:t>
        </w:r>
      </w:hyperlink>
      <w:r w:rsidR="00602379" w:rsidRPr="00E66716">
        <w:rPr>
          <w:lang w:val="fr-FR"/>
        </w:rPr>
        <w:t xml:space="preserve"> </w:t>
      </w:r>
      <w:r w:rsidRPr="00E66716">
        <w:rPr>
          <w:lang w:val="fr-FR"/>
        </w:rPr>
        <w:t>du 17</w:t>
      </w:r>
      <w:r w:rsidR="00612A1F">
        <w:rPr>
          <w:lang w:val="fr-FR"/>
        </w:rPr>
        <w:t> </w:t>
      </w:r>
      <w:r w:rsidRPr="00E66716">
        <w:rPr>
          <w:lang w:val="fr-FR"/>
        </w:rPr>
        <w:t>décembre</w:t>
      </w:r>
      <w:r w:rsidR="00612A1F">
        <w:rPr>
          <w:lang w:val="fr-FR"/>
        </w:rPr>
        <w:t> </w:t>
      </w:r>
      <w:r w:rsidRPr="00E66716">
        <w:rPr>
          <w:lang w:val="fr-FR"/>
        </w:rPr>
        <w:t>2016, et qu’il a fait l’objet d’activités de renforcement des capacités sur la biodiversité marine et côtière, y compris au titre de l’Initiative pour un océan durable</w:t>
      </w:r>
      <w:r w:rsidR="004D37DC" w:rsidRPr="00E66716">
        <w:rPr>
          <w:lang w:val="fr-FR"/>
        </w:rPr>
        <w:t>,</w:t>
      </w:r>
      <w:r w:rsidR="00390558">
        <w:rPr>
          <w:lang w:val="fr-FR"/>
        </w:rPr>
        <w:t xml:space="preserve"> e</w:t>
      </w:r>
      <w:r w:rsidR="00026AF9">
        <w:rPr>
          <w:lang w:val="fr-FR"/>
        </w:rPr>
        <w:t>t qu’il existe</w:t>
      </w:r>
      <w:r w:rsidRPr="00E66716">
        <w:rPr>
          <w:i/>
          <w:iCs/>
          <w:lang w:val="fr-FR"/>
        </w:rPr>
        <w:t xml:space="preserve"> </w:t>
      </w:r>
      <w:r w:rsidR="00026AF9">
        <w:rPr>
          <w:lang w:val="fr-FR"/>
        </w:rPr>
        <w:t xml:space="preserve">des </w:t>
      </w:r>
      <w:r w:rsidR="00A42C65" w:rsidRPr="00E66716">
        <w:rPr>
          <w:iCs/>
          <w:lang w:val="fr-FR"/>
        </w:rPr>
        <w:t>expérience</w:t>
      </w:r>
      <w:r w:rsidR="00026AF9">
        <w:rPr>
          <w:iCs/>
          <w:lang w:val="fr-FR"/>
        </w:rPr>
        <w:t>s</w:t>
      </w:r>
      <w:r w:rsidR="00A42C65" w:rsidRPr="00E66716">
        <w:rPr>
          <w:iCs/>
          <w:lang w:val="fr-FR"/>
        </w:rPr>
        <w:t xml:space="preserve"> et de</w:t>
      </w:r>
      <w:r w:rsidR="00026AF9">
        <w:rPr>
          <w:iCs/>
          <w:lang w:val="fr-FR"/>
        </w:rPr>
        <w:t>s</w:t>
      </w:r>
      <w:r w:rsidR="00A42C65" w:rsidRPr="00E66716">
        <w:rPr>
          <w:iCs/>
          <w:lang w:val="fr-FR"/>
        </w:rPr>
        <w:t xml:space="preserve"> orientation</w:t>
      </w:r>
      <w:r w:rsidR="00026AF9">
        <w:rPr>
          <w:iCs/>
          <w:lang w:val="fr-FR"/>
        </w:rPr>
        <w:t>s</w:t>
      </w:r>
      <w:r w:rsidR="00A42C65" w:rsidRPr="00E66716">
        <w:rPr>
          <w:iCs/>
          <w:lang w:val="fr-FR"/>
        </w:rPr>
        <w:t xml:space="preserve"> </w:t>
      </w:r>
      <w:r w:rsidR="00026AF9">
        <w:rPr>
          <w:iCs/>
          <w:lang w:val="fr-FR"/>
        </w:rPr>
        <w:t>en lien avec</w:t>
      </w:r>
      <w:r w:rsidR="00A42C65" w:rsidRPr="00E66716">
        <w:rPr>
          <w:iCs/>
          <w:lang w:val="fr-FR"/>
        </w:rPr>
        <w:t xml:space="preserve"> l’aménagement du territoire marin à différentes échelles, y compris au titre de la Commission </w:t>
      </w:r>
      <w:r w:rsidR="002B4225" w:rsidRPr="00E66716">
        <w:rPr>
          <w:iCs/>
          <w:lang w:val="fr-FR"/>
        </w:rPr>
        <w:t>océanographi</w:t>
      </w:r>
      <w:r w:rsidR="00A42C65" w:rsidRPr="00E66716">
        <w:rPr>
          <w:iCs/>
          <w:lang w:val="fr-FR"/>
        </w:rPr>
        <w:t>que intergouvernementale de l’Organisation des Nations Unies pour l’éducation, la science et la culture</w:t>
      </w:r>
      <w:r w:rsidR="00DB4695" w:rsidRPr="00E66716">
        <w:rPr>
          <w:lang w:val="fr-FR"/>
        </w:rPr>
        <w:t>,</w:t>
      </w:r>
    </w:p>
    <w:p w14:paraId="2D8CB154" w14:textId="6E091D52" w:rsidR="00C25933" w:rsidRPr="00E66716" w:rsidRDefault="00026AF9" w:rsidP="000D6E57">
      <w:pPr>
        <w:pStyle w:val="CBDNormalNoNumber"/>
        <w:keepNext/>
        <w:tabs>
          <w:tab w:val="clear" w:pos="567"/>
        </w:tabs>
        <w:ind w:left="1134" w:firstLine="567"/>
        <w:rPr>
          <w:lang w:val="fr-FR"/>
        </w:rPr>
      </w:pPr>
      <w:r>
        <w:rPr>
          <w:lang w:val="fr-FR"/>
        </w:rPr>
        <w:t>[</w:t>
      </w:r>
      <w:r w:rsidR="0096699F" w:rsidRPr="00E66716">
        <w:rPr>
          <w:lang w:val="fr-FR"/>
        </w:rPr>
        <w:t>1.</w:t>
      </w:r>
      <w:r w:rsidR="0096699F" w:rsidRPr="00E66716">
        <w:rPr>
          <w:i/>
          <w:iCs/>
          <w:lang w:val="fr-FR"/>
        </w:rPr>
        <w:tab/>
      </w:r>
      <w:r w:rsidR="00A42C65" w:rsidRPr="00E66716">
        <w:rPr>
          <w:i/>
          <w:iCs/>
          <w:lang w:val="fr-FR"/>
        </w:rPr>
        <w:t xml:space="preserve">Prie </w:t>
      </w:r>
      <w:r w:rsidR="00A42C65" w:rsidRPr="00E66716">
        <w:rPr>
          <w:iCs/>
          <w:lang w:val="fr-FR"/>
        </w:rPr>
        <w:t xml:space="preserve">la Secrétaire exécutive, </w:t>
      </w:r>
      <w:r w:rsidR="005F1DB5">
        <w:rPr>
          <w:iCs/>
          <w:lang w:val="fr-FR"/>
        </w:rPr>
        <w:t xml:space="preserve">sous réserve de </w:t>
      </w:r>
      <w:r w:rsidR="00A42C65" w:rsidRPr="00E66716">
        <w:rPr>
          <w:iCs/>
          <w:lang w:val="fr-FR"/>
        </w:rPr>
        <w:t>la disponibilité des ressources</w:t>
      </w:r>
      <w:r w:rsidR="00612A1F">
        <w:rPr>
          <w:iCs/>
          <w:lang w:val="fr-FR"/>
        </w:rPr>
        <w:t> </w:t>
      </w:r>
      <w:r w:rsidR="00C25933" w:rsidRPr="00E66716">
        <w:rPr>
          <w:lang w:val="fr-FR"/>
        </w:rPr>
        <w:t>:</w:t>
      </w:r>
    </w:p>
    <w:p w14:paraId="097BA588" w14:textId="2AD24EE8" w:rsidR="00C25933" w:rsidRPr="00E66716" w:rsidRDefault="00C25933" w:rsidP="000D6E57">
      <w:pPr>
        <w:pStyle w:val="CBDNormalNoNumber"/>
        <w:tabs>
          <w:tab w:val="clear" w:pos="567"/>
        </w:tabs>
        <w:ind w:left="1134" w:firstLine="567"/>
        <w:rPr>
          <w:lang w:val="fr-FR"/>
        </w:rPr>
      </w:pPr>
      <w:r w:rsidRPr="00E66716">
        <w:rPr>
          <w:lang w:val="fr-FR"/>
        </w:rPr>
        <w:t>a)</w:t>
      </w:r>
      <w:r w:rsidRPr="00E66716">
        <w:rPr>
          <w:lang w:val="fr-FR"/>
        </w:rPr>
        <w:tab/>
      </w:r>
      <w:r w:rsidR="005C2A49" w:rsidRPr="00E66716">
        <w:rPr>
          <w:lang w:val="fr-FR"/>
        </w:rPr>
        <w:t xml:space="preserve">De préparer un rapport sur les expériences </w:t>
      </w:r>
      <w:r w:rsidR="00650169">
        <w:rPr>
          <w:lang w:val="fr-FR"/>
        </w:rPr>
        <w:t>en matière</w:t>
      </w:r>
      <w:r w:rsidR="005C2A49" w:rsidRPr="00E66716">
        <w:rPr>
          <w:lang w:val="fr-FR"/>
        </w:rPr>
        <w:t xml:space="preserve"> </w:t>
      </w:r>
      <w:r w:rsidR="00650169">
        <w:rPr>
          <w:lang w:val="fr-FR"/>
        </w:rPr>
        <w:t>d’</w:t>
      </w:r>
      <w:r w:rsidR="005C2A49" w:rsidRPr="00E66716">
        <w:rPr>
          <w:lang w:val="fr-FR"/>
        </w:rPr>
        <w:t>aménagement du territoire</w:t>
      </w:r>
      <w:r w:rsidR="00590314">
        <w:rPr>
          <w:lang w:val="fr-FR"/>
        </w:rPr>
        <w:t xml:space="preserve"> participatif, intégré et</w:t>
      </w:r>
      <w:r w:rsidR="005C2A49" w:rsidRPr="00E66716">
        <w:rPr>
          <w:lang w:val="fr-FR"/>
        </w:rPr>
        <w:t xml:space="preserve"> tenant compte de la biodiversité</w:t>
      </w:r>
      <w:r w:rsidR="00590314">
        <w:rPr>
          <w:lang w:val="fr-FR"/>
        </w:rPr>
        <w:t xml:space="preserve"> qui met</w:t>
      </w:r>
      <w:r w:rsidR="00435D9F">
        <w:rPr>
          <w:lang w:val="fr-FR"/>
        </w:rPr>
        <w:t>te</w:t>
      </w:r>
      <w:r w:rsidR="00590314">
        <w:rPr>
          <w:lang w:val="fr-FR"/>
        </w:rPr>
        <w:t xml:space="preserve"> l’accent sur </w:t>
      </w:r>
      <w:r w:rsidR="00FC0FBC">
        <w:rPr>
          <w:lang w:val="fr-FR"/>
        </w:rPr>
        <w:t>écosystèmes</w:t>
      </w:r>
      <w:r w:rsidR="00590314">
        <w:rPr>
          <w:lang w:val="fr-FR"/>
        </w:rPr>
        <w:t xml:space="preserve"> d’eau douce,</w:t>
      </w:r>
      <w:r w:rsidR="005C2A49" w:rsidRPr="00E66716">
        <w:rPr>
          <w:lang w:val="fr-FR"/>
        </w:rPr>
        <w:t xml:space="preserve"> en </w:t>
      </w:r>
      <w:r w:rsidR="008F7136" w:rsidRPr="00E66716">
        <w:rPr>
          <w:lang w:val="fr-FR"/>
        </w:rPr>
        <w:t>s’appuyant</w:t>
      </w:r>
      <w:r w:rsidR="005C2A49" w:rsidRPr="00E66716">
        <w:rPr>
          <w:lang w:val="fr-FR"/>
        </w:rPr>
        <w:t xml:space="preserve"> sur les contributions à l’examen mondial d</w:t>
      </w:r>
      <w:r w:rsidR="00590314">
        <w:rPr>
          <w:lang w:val="fr-FR"/>
        </w:rPr>
        <w:t xml:space="preserve">es progrès </w:t>
      </w:r>
      <w:r w:rsidR="005C2A49" w:rsidRPr="00E66716">
        <w:rPr>
          <w:lang w:val="fr-FR"/>
        </w:rPr>
        <w:t>collectif</w:t>
      </w:r>
      <w:r w:rsidR="00590314">
        <w:rPr>
          <w:lang w:val="fr-FR"/>
        </w:rPr>
        <w:t>s</w:t>
      </w:r>
      <w:r w:rsidR="005C2A49" w:rsidRPr="00E66716">
        <w:rPr>
          <w:lang w:val="fr-FR"/>
        </w:rPr>
        <w:t xml:space="preserve"> </w:t>
      </w:r>
      <w:r w:rsidR="00590314">
        <w:rPr>
          <w:lang w:val="fr-FR"/>
        </w:rPr>
        <w:t xml:space="preserve">en matière </w:t>
      </w:r>
      <w:r w:rsidR="005C2A49" w:rsidRPr="00E66716">
        <w:rPr>
          <w:lang w:val="fr-FR"/>
        </w:rPr>
        <w:t>de mise en œuvre du Cadre mondial de la biodiversité de Kunming-Montréal</w:t>
      </w:r>
      <w:r w:rsidR="001A0F5C" w:rsidRPr="00E66716">
        <w:rPr>
          <w:rStyle w:val="FootnoteReference"/>
          <w:lang w:val="fr-FR"/>
        </w:rPr>
        <w:footnoteReference w:id="6"/>
      </w:r>
      <w:r w:rsidR="00E25409">
        <w:rPr>
          <w:lang w:val="fr-FR"/>
        </w:rPr>
        <w:t>,</w:t>
      </w:r>
      <w:r w:rsidR="00590314">
        <w:rPr>
          <w:lang w:val="fr-FR"/>
        </w:rPr>
        <w:t>[</w:t>
      </w:r>
      <w:r w:rsidR="00732C07">
        <w:rPr>
          <w:lang w:val="fr-FR"/>
        </w:rPr>
        <w:t xml:space="preserve"> </w:t>
      </w:r>
      <w:r w:rsidR="00590314">
        <w:rPr>
          <w:lang w:val="fr-FR"/>
        </w:rPr>
        <w:t>la décision</w:t>
      </w:r>
      <w:r w:rsidR="00612A1F">
        <w:rPr>
          <w:lang w:val="fr-FR"/>
        </w:rPr>
        <w:t> </w:t>
      </w:r>
      <w:r w:rsidR="00590314">
        <w:rPr>
          <w:lang w:val="fr-FR"/>
        </w:rPr>
        <w:t>17/</w:t>
      </w:r>
      <w:r w:rsidR="00557895">
        <w:rPr>
          <w:lang w:val="fr-FR"/>
        </w:rPr>
        <w:t>--</w:t>
      </w:r>
      <w:r w:rsidR="00590314">
        <w:rPr>
          <w:lang w:val="fr-FR"/>
        </w:rPr>
        <w:t xml:space="preserve"> sur les </w:t>
      </w:r>
      <w:r w:rsidR="00FC0FBC">
        <w:rPr>
          <w:lang w:val="fr-FR"/>
        </w:rPr>
        <w:t>l</w:t>
      </w:r>
      <w:r w:rsidR="00590314">
        <w:rPr>
          <w:lang w:val="fr-FR"/>
        </w:rPr>
        <w:t xml:space="preserve">ignes directrices </w:t>
      </w:r>
      <w:r w:rsidR="00FE0504">
        <w:rPr>
          <w:lang w:val="fr-FR"/>
        </w:rPr>
        <w:t xml:space="preserve">facultatives </w:t>
      </w:r>
      <w:r w:rsidR="00590314">
        <w:rPr>
          <w:lang w:val="fr-FR"/>
        </w:rPr>
        <w:t>pour l’inclusion et la prise en considération des terres traditionnelles et l’utilisation des ressources dans les processus d’aménagement des territoires et les évaluations d’impact environnemental</w:t>
      </w:r>
      <w:r w:rsidR="00FE0504">
        <w:rPr>
          <w:lang w:val="fr-FR"/>
        </w:rPr>
        <w:t>,</w:t>
      </w:r>
      <w:r w:rsidR="00590314">
        <w:rPr>
          <w:lang w:val="fr-FR"/>
        </w:rPr>
        <w:t xml:space="preserve">] les informations provenant des Parties, y compris leurs rapports nationaux, </w:t>
      </w:r>
      <w:r w:rsidR="00FE0504">
        <w:rPr>
          <w:lang w:val="fr-FR"/>
        </w:rPr>
        <w:t>et</w:t>
      </w:r>
      <w:r w:rsidR="00590314">
        <w:rPr>
          <w:lang w:val="fr-FR"/>
        </w:rPr>
        <w:t xml:space="preserve"> </w:t>
      </w:r>
      <w:r w:rsidR="00590314" w:rsidRPr="00E66716">
        <w:rPr>
          <w:lang w:val="fr-FR"/>
        </w:rPr>
        <w:t>l’évaluation méthodologique de l’aménagement du territoire tenant compte de la biodiversité et de la connectivité écologique de la Plateforme intergouvernementale scientifique et politique sur la biodiversité et les services écosystémiques</w:t>
      </w:r>
      <w:r w:rsidR="00590314">
        <w:rPr>
          <w:lang w:val="fr-FR"/>
        </w:rPr>
        <w:t> ;</w:t>
      </w:r>
    </w:p>
    <w:p w14:paraId="678A06DB" w14:textId="7B5806B9" w:rsidR="00C25933" w:rsidRPr="00E66716" w:rsidRDefault="00C25933" w:rsidP="000D6E57">
      <w:pPr>
        <w:pStyle w:val="CBDNormalNoNumber"/>
        <w:tabs>
          <w:tab w:val="clear" w:pos="567"/>
        </w:tabs>
        <w:ind w:left="1134" w:firstLine="567"/>
        <w:rPr>
          <w:lang w:val="fr-FR"/>
        </w:rPr>
      </w:pPr>
      <w:r w:rsidRPr="00E66716">
        <w:rPr>
          <w:lang w:val="fr-FR"/>
        </w:rPr>
        <w:t>b)</w:t>
      </w:r>
      <w:r w:rsidRPr="00E66716">
        <w:rPr>
          <w:lang w:val="fr-FR"/>
        </w:rPr>
        <w:tab/>
      </w:r>
      <w:r w:rsidR="0058578C">
        <w:rPr>
          <w:lang w:val="fr-FR"/>
        </w:rPr>
        <w:t xml:space="preserve">D’organiser, en se fondant sur les résultats du rapport </w:t>
      </w:r>
      <w:r w:rsidR="002B4225" w:rsidRPr="00E66716">
        <w:rPr>
          <w:lang w:val="fr-FR"/>
        </w:rPr>
        <w:t xml:space="preserve">mentionné ci-dessus, </w:t>
      </w:r>
      <w:r w:rsidR="0058578C">
        <w:rPr>
          <w:lang w:val="fr-FR"/>
        </w:rPr>
        <w:t>un atelier d’experts afin de promouvoir une compréhension commune de l’aménagement du territoire participatif, intégré et tenant compte de la biodiversité et de ses approches, dans le cadre de la mise en œuvre du Cadre</w:t>
      </w:r>
      <w:r w:rsidR="006F31B3">
        <w:rPr>
          <w:lang w:val="fr-FR"/>
        </w:rPr>
        <w:t>,</w:t>
      </w:r>
      <w:r w:rsidR="0058578C">
        <w:rPr>
          <w:lang w:val="fr-FR"/>
        </w:rPr>
        <w:t xml:space="preserve"> et d’élaborer </w:t>
      </w:r>
      <w:r w:rsidR="002B4225" w:rsidRPr="00E66716">
        <w:rPr>
          <w:lang w:val="fr-FR"/>
        </w:rPr>
        <w:t>une proposition pour d</w:t>
      </w:r>
      <w:r w:rsidR="0058578C">
        <w:rPr>
          <w:lang w:val="fr-FR"/>
        </w:rPr>
        <w:t>’éventuels</w:t>
      </w:r>
      <w:r w:rsidR="002B4225" w:rsidRPr="00E66716">
        <w:rPr>
          <w:lang w:val="fr-FR"/>
        </w:rPr>
        <w:t xml:space="preserve"> futurs travaux plus poussés sur</w:t>
      </w:r>
      <w:r w:rsidR="00E34142">
        <w:rPr>
          <w:lang w:val="fr-FR"/>
        </w:rPr>
        <w:t xml:space="preserve"> </w:t>
      </w:r>
      <w:r w:rsidR="00521DED">
        <w:rPr>
          <w:lang w:val="fr-FR"/>
        </w:rPr>
        <w:t>ce type de planification</w:t>
      </w:r>
      <w:r w:rsidR="002B4225" w:rsidRPr="00E66716">
        <w:rPr>
          <w:lang w:val="fr-FR"/>
        </w:rPr>
        <w:t>, pour examen par l’Organe subsidiaire chargé de fournir des avis scientifiques, techniques et technologiques lors d’une réunion qui précédera la dix-huitième réunion de la Conférence des Parties</w:t>
      </w:r>
      <w:r w:rsidRPr="00E66716">
        <w:rPr>
          <w:lang w:val="fr-FR"/>
        </w:rPr>
        <w:t>.</w:t>
      </w:r>
      <w:r w:rsidR="0058578C">
        <w:rPr>
          <w:lang w:val="fr-FR"/>
        </w:rPr>
        <w:t>]</w:t>
      </w:r>
    </w:p>
    <w:p w14:paraId="3535DF18" w14:textId="0B3DB57A" w:rsidR="00C25933" w:rsidRPr="00E66716" w:rsidRDefault="007E3E8B" w:rsidP="000D6E57">
      <w:pPr>
        <w:pStyle w:val="CBDNormalNoNumber"/>
        <w:ind w:left="1134"/>
        <w:rPr>
          <w:b/>
          <w:bCs/>
          <w:lang w:val="fr-FR"/>
        </w:rPr>
      </w:pPr>
      <w:r>
        <w:rPr>
          <w:b/>
          <w:bCs/>
          <w:lang w:val="fr-FR"/>
        </w:rPr>
        <w:t>[</w:t>
      </w:r>
      <w:r w:rsidR="00BF2D23" w:rsidRPr="00E66716">
        <w:rPr>
          <w:b/>
          <w:bCs/>
          <w:lang w:val="fr-FR"/>
        </w:rPr>
        <w:t>B</w:t>
      </w:r>
      <w:r w:rsidR="00BF2D23" w:rsidRPr="00E66716">
        <w:rPr>
          <w:b/>
          <w:bCs/>
          <w:lang w:val="fr-FR"/>
        </w:rPr>
        <w:br/>
      </w:r>
      <w:r w:rsidR="00C25933" w:rsidRPr="00E66716">
        <w:rPr>
          <w:b/>
          <w:bCs/>
          <w:lang w:val="fr-FR"/>
        </w:rPr>
        <w:t xml:space="preserve">Pollution </w:t>
      </w:r>
      <w:r w:rsidR="002B4225" w:rsidRPr="00E66716">
        <w:rPr>
          <w:b/>
          <w:bCs/>
          <w:lang w:val="fr-FR"/>
        </w:rPr>
        <w:t>et biodiversité</w:t>
      </w:r>
    </w:p>
    <w:p w14:paraId="05814550" w14:textId="138C5AF1" w:rsidR="00BF2D23" w:rsidRPr="00E66716" w:rsidDel="0015022C" w:rsidRDefault="00233827" w:rsidP="00BF2D23">
      <w:pPr>
        <w:pStyle w:val="CBDNormalNoNumber"/>
        <w:tabs>
          <w:tab w:val="clear" w:pos="567"/>
        </w:tabs>
        <w:ind w:left="1134" w:firstLine="567"/>
        <w:rPr>
          <w:i/>
          <w:iCs/>
          <w:lang w:val="fr-FR"/>
        </w:rPr>
      </w:pPr>
      <w:r w:rsidRPr="00E66716">
        <w:rPr>
          <w:i/>
          <w:iCs/>
          <w:lang w:val="fr-FR"/>
        </w:rPr>
        <w:t>La Conférence des Parties</w:t>
      </w:r>
      <w:r w:rsidR="00BF2D23" w:rsidRPr="00E66716" w:rsidDel="0015022C">
        <w:rPr>
          <w:lang w:val="fr-FR"/>
        </w:rPr>
        <w:t>,</w:t>
      </w:r>
    </w:p>
    <w:p w14:paraId="6EBC65E5" w14:textId="33C6256C" w:rsidR="00C25933" w:rsidRDefault="00233827" w:rsidP="000D6E57">
      <w:pPr>
        <w:pStyle w:val="CBDNormalNoNumber"/>
        <w:tabs>
          <w:tab w:val="clear" w:pos="567"/>
        </w:tabs>
        <w:ind w:left="1134" w:firstLine="567"/>
        <w:rPr>
          <w:lang w:val="fr-FR"/>
        </w:rPr>
      </w:pPr>
      <w:r w:rsidRPr="00E66716">
        <w:rPr>
          <w:i/>
          <w:iCs/>
          <w:lang w:val="fr-FR"/>
        </w:rPr>
        <w:lastRenderedPageBreak/>
        <w:t xml:space="preserve">Rappelant </w:t>
      </w:r>
      <w:r w:rsidRPr="00E66716">
        <w:rPr>
          <w:iCs/>
          <w:lang w:val="fr-FR"/>
        </w:rPr>
        <w:t>les décisions</w:t>
      </w:r>
      <w:r w:rsidR="005203E3">
        <w:rPr>
          <w:lang w:val="fr-FR"/>
        </w:rPr>
        <w:t xml:space="preserve"> </w:t>
      </w:r>
      <w:hyperlink r:id="rId15" w:history="1">
        <w:r w:rsidR="00C25933" w:rsidRPr="00E66716">
          <w:rPr>
            <w:rStyle w:val="Hyperlink"/>
            <w:lang w:val="fr-FR"/>
          </w:rPr>
          <w:t>16/12</w:t>
        </w:r>
      </w:hyperlink>
      <w:r w:rsidR="00DD27E9" w:rsidRPr="00E66716">
        <w:rPr>
          <w:lang w:val="fr-FR"/>
        </w:rPr>
        <w:t xml:space="preserve"> </w:t>
      </w:r>
      <w:r w:rsidRPr="00E66716">
        <w:rPr>
          <w:lang w:val="fr-FR"/>
        </w:rPr>
        <w:t>du 1</w:t>
      </w:r>
      <w:r w:rsidRPr="00E66716">
        <w:rPr>
          <w:vertAlign w:val="superscript"/>
          <w:lang w:val="fr-FR"/>
        </w:rPr>
        <w:t>er</w:t>
      </w:r>
      <w:r w:rsidR="00612A1F">
        <w:rPr>
          <w:lang w:val="fr-FR"/>
        </w:rPr>
        <w:t> </w:t>
      </w:r>
      <w:r w:rsidRPr="00E66716">
        <w:rPr>
          <w:lang w:val="fr-FR"/>
        </w:rPr>
        <w:t>novembre</w:t>
      </w:r>
      <w:r w:rsidR="00612A1F">
        <w:rPr>
          <w:lang w:val="fr-FR"/>
        </w:rPr>
        <w:t> </w:t>
      </w:r>
      <w:r w:rsidRPr="00E66716">
        <w:rPr>
          <w:lang w:val="fr-FR"/>
        </w:rPr>
        <w:t>2024 et</w:t>
      </w:r>
      <w:r w:rsidR="008C50AA" w:rsidRPr="00E66716">
        <w:rPr>
          <w:lang w:val="fr-FR"/>
        </w:rPr>
        <w:t xml:space="preserve"> </w:t>
      </w:r>
      <w:hyperlink r:id="rId16" w:history="1">
        <w:r w:rsidR="00C25933" w:rsidRPr="00E66716">
          <w:rPr>
            <w:rStyle w:val="Hyperlink"/>
            <w:lang w:val="fr-FR"/>
          </w:rPr>
          <w:t>16/31</w:t>
        </w:r>
      </w:hyperlink>
      <w:r w:rsidR="004B1B7D" w:rsidRPr="00E66716">
        <w:rPr>
          <w:lang w:val="fr-FR"/>
        </w:rPr>
        <w:t xml:space="preserve"> </w:t>
      </w:r>
      <w:r w:rsidRPr="00E66716">
        <w:rPr>
          <w:lang w:val="fr-FR"/>
        </w:rPr>
        <w:t>et</w:t>
      </w:r>
      <w:r w:rsidR="00C25933" w:rsidRPr="00E66716">
        <w:rPr>
          <w:lang w:val="fr-FR"/>
        </w:rPr>
        <w:t xml:space="preserve"> </w:t>
      </w:r>
      <w:hyperlink r:id="rId17" w:history="1">
        <w:r w:rsidR="00C25933" w:rsidRPr="00E66716">
          <w:rPr>
            <w:rStyle w:val="Hyperlink"/>
            <w:lang w:val="fr-FR"/>
          </w:rPr>
          <w:t>16/35</w:t>
        </w:r>
      </w:hyperlink>
      <w:r w:rsidR="00C8294E" w:rsidRPr="00E66716">
        <w:rPr>
          <w:lang w:val="fr-FR"/>
        </w:rPr>
        <w:t xml:space="preserve"> </w:t>
      </w:r>
      <w:r w:rsidRPr="00E66716">
        <w:rPr>
          <w:lang w:val="fr-FR"/>
        </w:rPr>
        <w:t>du 27</w:t>
      </w:r>
      <w:r w:rsidR="00612A1F">
        <w:rPr>
          <w:lang w:val="fr-FR"/>
        </w:rPr>
        <w:t> </w:t>
      </w:r>
      <w:r w:rsidRPr="00E66716">
        <w:rPr>
          <w:lang w:val="fr-FR"/>
        </w:rPr>
        <w:t>février</w:t>
      </w:r>
      <w:r w:rsidR="00612A1F">
        <w:rPr>
          <w:lang w:val="fr-FR"/>
        </w:rPr>
        <w:t> </w:t>
      </w:r>
      <w:r w:rsidRPr="00E66716">
        <w:rPr>
          <w:lang w:val="fr-FR"/>
        </w:rPr>
        <w:t>2025</w:t>
      </w:r>
      <w:r w:rsidR="00C25933" w:rsidRPr="00E66716">
        <w:rPr>
          <w:lang w:val="fr-FR"/>
        </w:rPr>
        <w:t xml:space="preserve">, </w:t>
      </w:r>
    </w:p>
    <w:p w14:paraId="19277F92" w14:textId="22E1E17A" w:rsidR="007E3E8B" w:rsidRPr="00E66716" w:rsidRDefault="007E3E8B" w:rsidP="00395744">
      <w:pPr>
        <w:pStyle w:val="CBDNormalNoNumber"/>
        <w:tabs>
          <w:tab w:val="clear" w:pos="567"/>
        </w:tabs>
        <w:spacing w:before="240"/>
        <w:ind w:left="1134" w:hanging="567"/>
        <w:rPr>
          <w:lang w:val="fr-FR"/>
        </w:rPr>
      </w:pPr>
      <w:r w:rsidRPr="007E3E8B">
        <w:rPr>
          <w:lang w:val="fr-FR"/>
        </w:rPr>
        <w:t>OPTION</w:t>
      </w:r>
      <w:r w:rsidR="00612A1F">
        <w:rPr>
          <w:lang w:val="fr-FR"/>
        </w:rPr>
        <w:t> </w:t>
      </w:r>
      <w:r w:rsidRPr="007E3E8B">
        <w:rPr>
          <w:lang w:val="fr-FR"/>
        </w:rPr>
        <w:t>1</w:t>
      </w:r>
    </w:p>
    <w:p w14:paraId="4C9DFBA6" w14:textId="649145E2" w:rsidR="00C25933" w:rsidRPr="00E66716" w:rsidRDefault="00233827" w:rsidP="000D6E57">
      <w:pPr>
        <w:pStyle w:val="CBDNormalNoNumber"/>
        <w:tabs>
          <w:tab w:val="clear" w:pos="567"/>
        </w:tabs>
        <w:ind w:left="1134" w:firstLine="567"/>
        <w:rPr>
          <w:lang w:val="fr-FR"/>
        </w:rPr>
      </w:pPr>
      <w:r w:rsidRPr="00E66716">
        <w:rPr>
          <w:i/>
          <w:iCs/>
          <w:lang w:val="fr-FR"/>
        </w:rPr>
        <w:t xml:space="preserve">Reconnaissant </w:t>
      </w:r>
      <w:r w:rsidRPr="00E66716">
        <w:rPr>
          <w:iCs/>
          <w:lang w:val="fr-FR"/>
        </w:rPr>
        <w:t xml:space="preserve">que la pollution est un des principaux moteurs de </w:t>
      </w:r>
      <w:r w:rsidR="005A5668">
        <w:rPr>
          <w:iCs/>
          <w:lang w:val="fr-FR"/>
        </w:rPr>
        <w:t xml:space="preserve">la perte </w:t>
      </w:r>
      <w:r w:rsidRPr="00E66716">
        <w:rPr>
          <w:iCs/>
          <w:lang w:val="fr-FR"/>
        </w:rPr>
        <w:t>de diversité biologique</w:t>
      </w:r>
      <w:r w:rsidR="00C25933" w:rsidRPr="00E66716">
        <w:rPr>
          <w:lang w:val="fr-FR"/>
        </w:rPr>
        <w:t>,</w:t>
      </w:r>
    </w:p>
    <w:p w14:paraId="63CBFA13" w14:textId="056994FB" w:rsidR="00C25933" w:rsidRPr="00E66716" w:rsidRDefault="00390558" w:rsidP="000D6E57">
      <w:pPr>
        <w:pStyle w:val="CBDNormalNoNumber"/>
        <w:tabs>
          <w:tab w:val="clear" w:pos="567"/>
        </w:tabs>
        <w:ind w:left="1134" w:firstLine="567"/>
        <w:rPr>
          <w:lang w:val="fr-FR"/>
        </w:rPr>
      </w:pPr>
      <w:r>
        <w:rPr>
          <w:lang w:val="fr-FR"/>
        </w:rPr>
        <w:t>[</w:t>
      </w:r>
      <w:r w:rsidR="007E3E8B">
        <w:rPr>
          <w:lang w:val="fr-FR"/>
        </w:rPr>
        <w:t>1</w:t>
      </w:r>
      <w:r w:rsidR="00C25933" w:rsidRPr="00E66716">
        <w:rPr>
          <w:lang w:val="fr-FR"/>
        </w:rPr>
        <w:t>.</w:t>
      </w:r>
      <w:r w:rsidR="00C25933" w:rsidRPr="00E66716">
        <w:rPr>
          <w:lang w:val="fr-FR"/>
        </w:rPr>
        <w:tab/>
      </w:r>
      <w:r w:rsidR="00233827" w:rsidRPr="00E66716">
        <w:rPr>
          <w:i/>
          <w:iCs/>
          <w:lang w:val="fr-FR"/>
        </w:rPr>
        <w:t xml:space="preserve">Décide </w:t>
      </w:r>
      <w:r w:rsidR="00233827" w:rsidRPr="00E66716">
        <w:rPr>
          <w:iCs/>
          <w:lang w:val="fr-FR"/>
        </w:rPr>
        <w:t>de créer, selon la disponibilité des ressources, un groupe spécial d’experts techniques sur la pollution et la biodiversité</w:t>
      </w:r>
      <w:r w:rsidR="00706F52" w:rsidRPr="00E66716">
        <w:rPr>
          <w:iCs/>
          <w:lang w:val="fr-FR"/>
        </w:rPr>
        <w:t xml:space="preserve"> </w:t>
      </w:r>
      <w:r w:rsidR="006450A7" w:rsidRPr="00E66716">
        <w:rPr>
          <w:iCs/>
          <w:lang w:val="fr-FR"/>
        </w:rPr>
        <w:t>pour</w:t>
      </w:r>
      <w:r w:rsidR="00706F52" w:rsidRPr="00E66716">
        <w:rPr>
          <w:iCs/>
          <w:lang w:val="fr-FR"/>
        </w:rPr>
        <w:t xml:space="preserve"> </w:t>
      </w:r>
      <w:r w:rsidR="001A7B7A" w:rsidRPr="00E66716">
        <w:rPr>
          <w:iCs/>
          <w:lang w:val="fr-FR"/>
        </w:rPr>
        <w:t>un mandat d’une</w:t>
      </w:r>
      <w:r w:rsidR="00706F52" w:rsidRPr="00E66716">
        <w:rPr>
          <w:iCs/>
          <w:lang w:val="fr-FR"/>
        </w:rPr>
        <w:t xml:space="preserve"> durée limitée </w:t>
      </w:r>
      <w:r w:rsidR="006450A7" w:rsidRPr="00E66716">
        <w:rPr>
          <w:iCs/>
          <w:lang w:val="fr-FR"/>
        </w:rPr>
        <w:t>qui</w:t>
      </w:r>
      <w:r w:rsidR="003616DF" w:rsidRPr="00E66716">
        <w:rPr>
          <w:iCs/>
          <w:lang w:val="fr-FR"/>
        </w:rPr>
        <w:t xml:space="preserve"> prendra fin à</w:t>
      </w:r>
      <w:r w:rsidR="00706F52" w:rsidRPr="00E66716">
        <w:rPr>
          <w:iCs/>
          <w:lang w:val="fr-FR"/>
        </w:rPr>
        <w:t xml:space="preserve"> la dix-huitième réunion de la Conférence des Parties, chargé d’élaborer une orientation sur les moyens d’aborder les impacts de la pollution sur la biodiversité, conformément au mandat proposé en annexe </w:t>
      </w:r>
      <w:r w:rsidR="00C25933" w:rsidRPr="00E66716">
        <w:rPr>
          <w:lang w:val="fr-FR"/>
        </w:rPr>
        <w:t>;</w:t>
      </w:r>
    </w:p>
    <w:p w14:paraId="2345A4E3" w14:textId="6F1A4CD8" w:rsidR="00C25933" w:rsidRPr="00E66716" w:rsidRDefault="007E3E8B" w:rsidP="000D6E57">
      <w:pPr>
        <w:pStyle w:val="CBDNormalNoNumber"/>
        <w:tabs>
          <w:tab w:val="clear" w:pos="567"/>
        </w:tabs>
        <w:ind w:left="1134" w:firstLine="567"/>
        <w:rPr>
          <w:lang w:val="fr-FR"/>
        </w:rPr>
      </w:pPr>
      <w:r>
        <w:rPr>
          <w:lang w:val="fr-FR"/>
        </w:rPr>
        <w:t>2</w:t>
      </w:r>
      <w:r w:rsidR="00C25933" w:rsidRPr="00E66716">
        <w:rPr>
          <w:lang w:val="fr-FR"/>
        </w:rPr>
        <w:t>.</w:t>
      </w:r>
      <w:r w:rsidR="00C25933" w:rsidRPr="00E66716">
        <w:rPr>
          <w:lang w:val="fr-FR"/>
        </w:rPr>
        <w:tab/>
      </w:r>
      <w:r w:rsidR="000D6C88" w:rsidRPr="00E66716">
        <w:rPr>
          <w:i/>
          <w:iCs/>
          <w:lang w:val="fr-FR"/>
        </w:rPr>
        <w:t xml:space="preserve">Invite </w:t>
      </w:r>
      <w:r w:rsidR="000D6C88" w:rsidRPr="00E66716">
        <w:rPr>
          <w:iCs/>
          <w:lang w:val="fr-FR"/>
        </w:rPr>
        <w:t>les Parties, les peuples autochtones et communautés locales et les organisations pertinentes à remettre au Secrétariat de la Convention sur la diversité biologique</w:t>
      </w:r>
      <w:r w:rsidR="004059F2" w:rsidRPr="00E66716">
        <w:rPr>
          <w:rStyle w:val="FootnoteReference"/>
          <w:lang w:val="fr-FR"/>
        </w:rPr>
        <w:footnoteReference w:id="7"/>
      </w:r>
      <w:r w:rsidR="00043BD8" w:rsidRPr="00E66716">
        <w:rPr>
          <w:lang w:val="fr-FR"/>
        </w:rPr>
        <w:t xml:space="preserve"> </w:t>
      </w:r>
      <w:r w:rsidR="000D6C88" w:rsidRPr="00E66716">
        <w:rPr>
          <w:iCs/>
          <w:lang w:val="fr-FR"/>
        </w:rPr>
        <w:t>de l’information scientifique et technique sur </w:t>
      </w:r>
      <w:r w:rsidR="00C25933" w:rsidRPr="00E66716">
        <w:rPr>
          <w:lang w:val="fr-FR"/>
        </w:rPr>
        <w:t xml:space="preserve">: </w:t>
      </w:r>
    </w:p>
    <w:p w14:paraId="41D36737" w14:textId="45C3F236" w:rsidR="00C25933" w:rsidRPr="00E66716" w:rsidRDefault="00C25933" w:rsidP="000D6E57">
      <w:pPr>
        <w:pStyle w:val="CBDNormalNoNumber"/>
        <w:tabs>
          <w:tab w:val="clear" w:pos="567"/>
        </w:tabs>
        <w:ind w:left="1134" w:firstLine="567"/>
        <w:rPr>
          <w:lang w:val="fr-FR"/>
        </w:rPr>
      </w:pPr>
      <w:r w:rsidRPr="00E66716">
        <w:rPr>
          <w:lang w:val="fr-FR"/>
        </w:rPr>
        <w:t>a</w:t>
      </w:r>
      <w:r w:rsidR="001A4F31" w:rsidRPr="00E66716">
        <w:rPr>
          <w:lang w:val="fr-FR"/>
        </w:rPr>
        <w:t>)</w:t>
      </w:r>
      <w:r w:rsidRPr="00E66716">
        <w:rPr>
          <w:lang w:val="fr-FR"/>
        </w:rPr>
        <w:tab/>
      </w:r>
      <w:r w:rsidR="000D6C88" w:rsidRPr="00E66716">
        <w:rPr>
          <w:lang w:val="fr-FR"/>
        </w:rPr>
        <w:t xml:space="preserve">Les impacts de la pollution sur la biodiversité de différents biomes, dont les types et les sources de pollution prioritaires </w:t>
      </w:r>
      <w:r w:rsidR="006450A7" w:rsidRPr="00E66716">
        <w:rPr>
          <w:lang w:val="fr-FR"/>
        </w:rPr>
        <w:t>propres à</w:t>
      </w:r>
      <w:r w:rsidR="000D6C88" w:rsidRPr="00E66716">
        <w:rPr>
          <w:lang w:val="fr-FR"/>
        </w:rPr>
        <w:t xml:space="preserve"> différents biomes et espèces</w:t>
      </w:r>
      <w:r w:rsidR="00612A1F">
        <w:rPr>
          <w:lang w:val="fr-FR"/>
        </w:rPr>
        <w:t> </w:t>
      </w:r>
      <w:r w:rsidRPr="00E66716">
        <w:rPr>
          <w:lang w:val="fr-FR"/>
        </w:rPr>
        <w:t>;</w:t>
      </w:r>
    </w:p>
    <w:p w14:paraId="662B7F25" w14:textId="08115C1E" w:rsidR="00C25933" w:rsidRPr="00E66716" w:rsidRDefault="00C25933" w:rsidP="000D6E57">
      <w:pPr>
        <w:pStyle w:val="CBDNormalNoNumber"/>
        <w:tabs>
          <w:tab w:val="clear" w:pos="567"/>
        </w:tabs>
        <w:ind w:left="1134" w:firstLine="567"/>
        <w:rPr>
          <w:lang w:val="fr-FR"/>
        </w:rPr>
      </w:pPr>
      <w:r w:rsidRPr="00E66716">
        <w:rPr>
          <w:lang w:val="fr-FR"/>
        </w:rPr>
        <w:t>b</w:t>
      </w:r>
      <w:r w:rsidR="001A4F31" w:rsidRPr="00E66716">
        <w:rPr>
          <w:lang w:val="fr-FR"/>
        </w:rPr>
        <w:t>)</w:t>
      </w:r>
      <w:r w:rsidRPr="00E66716">
        <w:rPr>
          <w:lang w:val="fr-FR"/>
        </w:rPr>
        <w:tab/>
      </w:r>
      <w:bookmarkStart w:id="0" w:name="_Hlk212193388"/>
      <w:r w:rsidR="00E31489" w:rsidRPr="00E66716">
        <w:rPr>
          <w:lang w:val="fr-FR"/>
        </w:rPr>
        <w:t>Les facteurs prioritaires de la biodiversité à intégrer dans les mesures de prévention, de contrôle et d’atténuation de la pollution pour les principaux secteurs, sources, et parties prenantes </w:t>
      </w:r>
      <w:r w:rsidR="001A4F31" w:rsidRPr="00E66716">
        <w:rPr>
          <w:lang w:val="fr-FR"/>
        </w:rPr>
        <w:t>;</w:t>
      </w:r>
      <w:r w:rsidRPr="00E66716">
        <w:rPr>
          <w:lang w:val="fr-FR"/>
        </w:rPr>
        <w:t xml:space="preserve"> </w:t>
      </w:r>
    </w:p>
    <w:bookmarkEnd w:id="0"/>
    <w:p w14:paraId="2DB9AA4D" w14:textId="774C0DF7" w:rsidR="00C25933" w:rsidRPr="00E66716" w:rsidRDefault="00C25933" w:rsidP="000D6E57">
      <w:pPr>
        <w:pStyle w:val="CBDNormalNoNumber"/>
        <w:tabs>
          <w:tab w:val="clear" w:pos="567"/>
        </w:tabs>
        <w:ind w:left="1134" w:firstLine="567"/>
        <w:rPr>
          <w:lang w:val="fr-FR"/>
        </w:rPr>
      </w:pPr>
      <w:r w:rsidRPr="00E66716">
        <w:rPr>
          <w:lang w:val="fr-FR"/>
        </w:rPr>
        <w:t>c</w:t>
      </w:r>
      <w:r w:rsidR="001A4F31" w:rsidRPr="00E66716">
        <w:rPr>
          <w:lang w:val="fr-FR"/>
        </w:rPr>
        <w:t>)</w:t>
      </w:r>
      <w:r w:rsidRPr="00E66716">
        <w:rPr>
          <w:lang w:val="fr-FR"/>
        </w:rPr>
        <w:tab/>
      </w:r>
      <w:bookmarkStart w:id="1" w:name="_Hlk212193411"/>
      <w:r w:rsidR="00E31489" w:rsidRPr="00E66716">
        <w:rPr>
          <w:lang w:val="fr-FR"/>
        </w:rPr>
        <w:t>Le rôle de la biodiversité et des services écosystémiques dans l’atténuation de la pollution (solutions fondées sur la nature et/ou approches fondées sur les écosystèmes), y compris l’orientation pour des secteurs et des sources de pollution particuliers </w:t>
      </w:r>
      <w:r w:rsidR="00190711" w:rsidRPr="00E66716">
        <w:rPr>
          <w:lang w:val="fr-FR"/>
        </w:rPr>
        <w:t>;</w:t>
      </w:r>
    </w:p>
    <w:bookmarkEnd w:id="1"/>
    <w:p w14:paraId="46C7091D" w14:textId="5F7971BC" w:rsidR="00C25933" w:rsidRPr="00E66716" w:rsidRDefault="007E3E8B" w:rsidP="000D6E57">
      <w:pPr>
        <w:pStyle w:val="CBDNormalNoNumber"/>
        <w:tabs>
          <w:tab w:val="clear" w:pos="567"/>
        </w:tabs>
        <w:ind w:left="1134" w:firstLine="567"/>
        <w:rPr>
          <w:lang w:val="fr-FR"/>
        </w:rPr>
      </w:pPr>
      <w:r>
        <w:rPr>
          <w:lang w:val="fr-FR"/>
        </w:rPr>
        <w:t>3</w:t>
      </w:r>
      <w:r w:rsidR="00C25933" w:rsidRPr="00E66716">
        <w:rPr>
          <w:lang w:val="fr-FR"/>
        </w:rPr>
        <w:t>.</w:t>
      </w:r>
      <w:r w:rsidR="00C25933" w:rsidRPr="00E66716">
        <w:rPr>
          <w:lang w:val="fr-FR"/>
        </w:rPr>
        <w:tab/>
      </w:r>
      <w:r w:rsidR="00E31489" w:rsidRPr="00E66716">
        <w:rPr>
          <w:i/>
          <w:iCs/>
          <w:lang w:val="fr-FR"/>
        </w:rPr>
        <w:t>Prie</w:t>
      </w:r>
      <w:r w:rsidR="00E31489" w:rsidRPr="00E66716">
        <w:rPr>
          <w:iCs/>
          <w:lang w:val="fr-FR"/>
        </w:rPr>
        <w:t xml:space="preserve"> la Secrétaire exécutive </w:t>
      </w:r>
      <w:r w:rsidR="00216630" w:rsidRPr="00E66716">
        <w:rPr>
          <w:iCs/>
          <w:lang w:val="fr-FR"/>
        </w:rPr>
        <w:t>de mettre l’information scientifique et technique proposée en réponse au paragraphe</w:t>
      </w:r>
      <w:r w:rsidR="00612A1F">
        <w:rPr>
          <w:iCs/>
          <w:lang w:val="fr-FR"/>
        </w:rPr>
        <w:t> </w:t>
      </w:r>
      <w:r w:rsidR="00311C08">
        <w:rPr>
          <w:iCs/>
          <w:lang w:val="fr-FR"/>
        </w:rPr>
        <w:t>2</w:t>
      </w:r>
      <w:r w:rsidR="00216630" w:rsidRPr="00E66716">
        <w:rPr>
          <w:iCs/>
          <w:lang w:val="fr-FR"/>
        </w:rPr>
        <w:t xml:space="preserve"> ci-dessus </w:t>
      </w:r>
      <w:r w:rsidR="006450A7" w:rsidRPr="00E66716">
        <w:rPr>
          <w:iCs/>
          <w:lang w:val="fr-FR"/>
        </w:rPr>
        <w:t>à la disposition du</w:t>
      </w:r>
      <w:r w:rsidR="00216630" w:rsidRPr="00E66716">
        <w:rPr>
          <w:iCs/>
          <w:lang w:val="fr-FR"/>
        </w:rPr>
        <w:t xml:space="preserve"> Groupe spécial d’experts techniques sur la pollution et la biodiversité </w:t>
      </w:r>
      <w:r w:rsidR="00AF5568" w:rsidRPr="00E66716">
        <w:rPr>
          <w:lang w:val="fr-FR"/>
        </w:rPr>
        <w:t>;</w:t>
      </w:r>
    </w:p>
    <w:p w14:paraId="5CB57FC4" w14:textId="01BA858E" w:rsidR="00C25933" w:rsidRPr="00E66716" w:rsidRDefault="007E3E8B" w:rsidP="000D6E57">
      <w:pPr>
        <w:pStyle w:val="CBDNormalNoNumber"/>
        <w:tabs>
          <w:tab w:val="clear" w:pos="567"/>
        </w:tabs>
        <w:ind w:left="1134" w:firstLine="567"/>
        <w:rPr>
          <w:lang w:val="fr-FR"/>
        </w:rPr>
      </w:pPr>
      <w:r>
        <w:rPr>
          <w:lang w:val="fr-FR"/>
        </w:rPr>
        <w:t>4</w:t>
      </w:r>
      <w:r w:rsidR="00C25933" w:rsidRPr="00E66716">
        <w:rPr>
          <w:lang w:val="fr-FR"/>
        </w:rPr>
        <w:t>.</w:t>
      </w:r>
      <w:r w:rsidR="00C25933" w:rsidRPr="00E66716">
        <w:rPr>
          <w:lang w:val="fr-FR"/>
        </w:rPr>
        <w:tab/>
      </w:r>
      <w:r w:rsidR="00216630" w:rsidRPr="00E66716">
        <w:rPr>
          <w:i/>
          <w:iCs/>
          <w:lang w:val="fr-FR"/>
        </w:rPr>
        <w:t xml:space="preserve">Prie </w:t>
      </w:r>
      <w:r w:rsidR="00216630" w:rsidRPr="00E66716">
        <w:rPr>
          <w:iCs/>
          <w:lang w:val="fr-FR"/>
        </w:rPr>
        <w:t xml:space="preserve">l’Organe subsidiaire chargé de fournir des avis scientifiques, techniques et technologiques d’examiner les conclusions des travaux du </w:t>
      </w:r>
      <w:r w:rsidR="00216630" w:rsidRPr="00E66716">
        <w:rPr>
          <w:rFonts w:eastAsia="Times New Roman"/>
          <w:iCs/>
          <w:lang w:val="fr-FR"/>
        </w:rPr>
        <w:t>Groupe</w:t>
      </w:r>
      <w:r w:rsidR="00216630" w:rsidRPr="00E66716">
        <w:rPr>
          <w:iCs/>
          <w:lang w:val="fr-FR"/>
        </w:rPr>
        <w:t xml:space="preserve"> spécial d’experts techniques sur la pollution et la biodiversité et de présenter ses recommandations pour examen par la Conférence des Parties à sa dix-huitième réunion </w:t>
      </w:r>
      <w:r w:rsidR="00C25933" w:rsidRPr="00E66716">
        <w:rPr>
          <w:lang w:val="fr-FR"/>
        </w:rPr>
        <w:t>;</w:t>
      </w:r>
    </w:p>
    <w:p w14:paraId="39F36110" w14:textId="1C9A483A" w:rsidR="00C25933" w:rsidRPr="00E66716" w:rsidRDefault="007E3E8B" w:rsidP="000D6E57">
      <w:pPr>
        <w:pStyle w:val="CBDNormalNoNumber"/>
        <w:tabs>
          <w:tab w:val="clear" w:pos="567"/>
        </w:tabs>
        <w:ind w:left="1134" w:firstLine="567"/>
        <w:rPr>
          <w:lang w:val="fr-FR"/>
        </w:rPr>
      </w:pPr>
      <w:r>
        <w:rPr>
          <w:lang w:val="fr-FR"/>
        </w:rPr>
        <w:t>5</w:t>
      </w:r>
      <w:r w:rsidR="00C25933" w:rsidRPr="00E66716">
        <w:rPr>
          <w:lang w:val="fr-FR"/>
        </w:rPr>
        <w:t>.</w:t>
      </w:r>
      <w:r w:rsidR="00C25933" w:rsidRPr="00E66716">
        <w:rPr>
          <w:lang w:val="fr-FR"/>
        </w:rPr>
        <w:tab/>
      </w:r>
      <w:r w:rsidR="00216630" w:rsidRPr="00E66716">
        <w:rPr>
          <w:i/>
          <w:iCs/>
          <w:lang w:val="fr-FR"/>
        </w:rPr>
        <w:t>Invite</w:t>
      </w:r>
      <w:r w:rsidR="00216630" w:rsidRPr="00E66716">
        <w:rPr>
          <w:iCs/>
          <w:lang w:val="fr-FR"/>
        </w:rPr>
        <w:t xml:space="preserve"> le Secrétariat de la Convention de Bâle </w:t>
      </w:r>
      <w:r w:rsidR="00FD38A9" w:rsidRPr="00E66716">
        <w:rPr>
          <w:lang w:val="fr-FR"/>
        </w:rPr>
        <w:t>sur le contrôle des mouvements transfrontières de déchets dangereux et de leur élimination</w:t>
      </w:r>
      <w:r w:rsidR="006E18CB" w:rsidRPr="00E66716">
        <w:rPr>
          <w:rStyle w:val="FootnoteReference"/>
          <w:lang w:val="fr-FR"/>
        </w:rPr>
        <w:footnoteReference w:id="8"/>
      </w:r>
      <w:r w:rsidR="0064497E">
        <w:rPr>
          <w:lang w:val="fr-FR"/>
        </w:rPr>
        <w:t>,</w:t>
      </w:r>
      <w:r w:rsidR="00C25933" w:rsidRPr="00E66716">
        <w:rPr>
          <w:lang w:val="fr-FR"/>
        </w:rPr>
        <w:t xml:space="preserve"> </w:t>
      </w:r>
      <w:r w:rsidR="00FD38A9" w:rsidRPr="00E66716">
        <w:rPr>
          <w:lang w:val="fr-FR"/>
        </w:rPr>
        <w:t>la Convention de Rotterdam sur la procédure de consentement préalable en connaissance de cause applicable à certains produits chimiques et pesticides dangereux qui font l’objet d’un commerce international</w:t>
      </w:r>
      <w:r w:rsidR="005230BD" w:rsidRPr="00E66716">
        <w:rPr>
          <w:rStyle w:val="FootnoteReference"/>
          <w:lang w:val="fr-FR"/>
        </w:rPr>
        <w:footnoteReference w:id="9"/>
      </w:r>
      <w:r w:rsidR="00C25933" w:rsidRPr="00E66716">
        <w:rPr>
          <w:lang w:val="fr-FR"/>
        </w:rPr>
        <w:t xml:space="preserve"> </w:t>
      </w:r>
      <w:r w:rsidR="00FD38A9" w:rsidRPr="00E66716">
        <w:rPr>
          <w:lang w:val="fr-FR"/>
        </w:rPr>
        <w:t>et</w:t>
      </w:r>
      <w:r w:rsidR="00890B4F" w:rsidRPr="00E66716">
        <w:rPr>
          <w:lang w:val="fr-FR"/>
        </w:rPr>
        <w:t xml:space="preserve"> </w:t>
      </w:r>
      <w:r w:rsidR="00FD38A9" w:rsidRPr="00E66716">
        <w:rPr>
          <w:lang w:val="fr-FR"/>
        </w:rPr>
        <w:t>la Convention de Stockholm sur les polluants organiques persistants</w:t>
      </w:r>
      <w:r w:rsidR="00365561" w:rsidRPr="00E66716">
        <w:rPr>
          <w:rStyle w:val="FootnoteReference"/>
          <w:lang w:val="fr-FR"/>
        </w:rPr>
        <w:footnoteReference w:id="10"/>
      </w:r>
      <w:r w:rsidR="0064497E">
        <w:rPr>
          <w:lang w:val="fr-FR"/>
        </w:rPr>
        <w:t>,</w:t>
      </w:r>
      <w:r w:rsidR="00C25933" w:rsidRPr="00E66716">
        <w:rPr>
          <w:lang w:val="fr-FR"/>
        </w:rPr>
        <w:t xml:space="preserve"> </w:t>
      </w:r>
      <w:r w:rsidR="00473A11" w:rsidRPr="00E66716">
        <w:rPr>
          <w:lang w:val="fr-FR"/>
        </w:rPr>
        <w:t>l</w:t>
      </w:r>
      <w:r w:rsidR="00C1011D" w:rsidRPr="00E66716">
        <w:rPr>
          <w:lang w:val="fr-FR"/>
        </w:rPr>
        <w:t>e</w:t>
      </w:r>
      <w:r w:rsidR="00CB3C35" w:rsidRPr="00E66716">
        <w:rPr>
          <w:lang w:val="fr-FR"/>
        </w:rPr>
        <w:t xml:space="preserve"> </w:t>
      </w:r>
      <w:r w:rsidR="003A2610" w:rsidRPr="00E66716">
        <w:rPr>
          <w:lang w:val="fr-FR"/>
        </w:rPr>
        <w:t>Secré</w:t>
      </w:r>
      <w:r w:rsidR="00D94654" w:rsidRPr="00E66716">
        <w:rPr>
          <w:lang w:val="fr-FR"/>
        </w:rPr>
        <w:t xml:space="preserve">tariat </w:t>
      </w:r>
      <w:r w:rsidR="00FD38A9" w:rsidRPr="00E66716">
        <w:rPr>
          <w:lang w:val="fr-FR"/>
        </w:rPr>
        <w:t>de la Convention de Minamata sur le mercure</w:t>
      </w:r>
      <w:r w:rsidR="00FD38A9" w:rsidRPr="00E66716">
        <w:rPr>
          <w:rStyle w:val="FootnoteReference"/>
          <w:lang w:val="fr-FR"/>
        </w:rPr>
        <w:footnoteReference w:id="11"/>
      </w:r>
      <w:r w:rsidR="0064497E">
        <w:rPr>
          <w:lang w:val="fr-FR"/>
        </w:rPr>
        <w:t>,</w:t>
      </w:r>
      <w:r w:rsidR="00FD38A9" w:rsidRPr="00E66716">
        <w:rPr>
          <w:lang w:val="fr-FR"/>
        </w:rPr>
        <w:t xml:space="preserve"> l’Organisation maritime </w:t>
      </w:r>
      <w:r w:rsidR="00FD38A9" w:rsidRPr="00E66716">
        <w:rPr>
          <w:rFonts w:eastAsia="Times New Roman"/>
          <w:lang w:val="fr-FR"/>
        </w:rPr>
        <w:t>internationale</w:t>
      </w:r>
      <w:r w:rsidR="00FD38A9" w:rsidRPr="00E66716">
        <w:rPr>
          <w:lang w:val="fr-FR"/>
        </w:rPr>
        <w:t xml:space="preserve"> et les secrétariats des conventions et plans d’action sur les mers régionales </w:t>
      </w:r>
      <w:r w:rsidR="003A2610" w:rsidRPr="00E66716">
        <w:rPr>
          <w:lang w:val="fr-FR"/>
        </w:rPr>
        <w:t>de concentrer leur attention sur l’interaction entre les produits chimiques et les déchets, y compris les déchets plastique</w:t>
      </w:r>
      <w:r w:rsidR="00C1011D" w:rsidRPr="00E66716">
        <w:rPr>
          <w:lang w:val="fr-FR"/>
        </w:rPr>
        <w:t>s</w:t>
      </w:r>
      <w:r w:rsidR="003A2610" w:rsidRPr="00E66716">
        <w:rPr>
          <w:lang w:val="fr-FR"/>
        </w:rPr>
        <w:t>, et la biodiversité et les services écosystémiques</w:t>
      </w:r>
      <w:r>
        <w:rPr>
          <w:lang w:val="fr-FR"/>
        </w:rPr>
        <w:t>.]</w:t>
      </w:r>
    </w:p>
    <w:p w14:paraId="53B55356" w14:textId="17667D7C" w:rsidR="0096610E" w:rsidRPr="00E66716" w:rsidRDefault="007E3E8B" w:rsidP="000D6E57">
      <w:pPr>
        <w:pStyle w:val="CBDDesicionAnnex"/>
        <w:ind w:left="1134"/>
        <w:rPr>
          <w:rFonts w:cs="Times New Roman"/>
          <w:lang w:val="fr-FR"/>
        </w:rPr>
      </w:pPr>
      <w:r>
        <w:rPr>
          <w:rFonts w:cs="Times New Roman"/>
          <w:lang w:val="fr-FR"/>
        </w:rPr>
        <w:lastRenderedPageBreak/>
        <w:t>[</w:t>
      </w:r>
      <w:r w:rsidR="0096610E" w:rsidRPr="00E66716">
        <w:rPr>
          <w:rFonts w:cs="Times New Roman"/>
          <w:lang w:val="fr-FR"/>
        </w:rPr>
        <w:t>Annex</w:t>
      </w:r>
      <w:r w:rsidR="00BB1CA2" w:rsidRPr="00E66716">
        <w:rPr>
          <w:rFonts w:cs="Times New Roman"/>
          <w:lang w:val="fr-FR"/>
        </w:rPr>
        <w:t>e</w:t>
      </w:r>
    </w:p>
    <w:p w14:paraId="4AB52472" w14:textId="4479A7C2" w:rsidR="0096610E" w:rsidRPr="00E66716" w:rsidRDefault="00BB1CA2" w:rsidP="007F3200">
      <w:pPr>
        <w:pStyle w:val="CBDDesicionAnnex"/>
        <w:spacing w:before="120"/>
        <w:ind w:left="1134"/>
        <w:rPr>
          <w:rFonts w:cs="Times New Roman"/>
          <w:lang w:val="fr-FR"/>
        </w:rPr>
      </w:pPr>
      <w:r w:rsidRPr="00E66716">
        <w:rPr>
          <w:rFonts w:cs="Times New Roman"/>
          <w:lang w:val="fr-FR"/>
        </w:rPr>
        <w:t>Mandat du Groupe spécial d’expert</w:t>
      </w:r>
      <w:r w:rsidR="00473A11" w:rsidRPr="00E66716">
        <w:rPr>
          <w:rFonts w:cs="Times New Roman"/>
          <w:lang w:val="fr-FR"/>
        </w:rPr>
        <w:t>s</w:t>
      </w:r>
      <w:r w:rsidRPr="00E66716">
        <w:rPr>
          <w:rFonts w:cs="Times New Roman"/>
          <w:lang w:val="fr-FR"/>
        </w:rPr>
        <w:t xml:space="preserve"> techniques sur la pollution et la biodiversité</w:t>
      </w:r>
    </w:p>
    <w:p w14:paraId="22440EA5" w14:textId="19CA00B3" w:rsidR="0096610E" w:rsidRPr="00E66716" w:rsidRDefault="0096610E" w:rsidP="000D6E57">
      <w:pPr>
        <w:pStyle w:val="CBDNormalNoNumber"/>
        <w:keepNext/>
        <w:keepLines/>
        <w:spacing w:before="240"/>
        <w:ind w:left="1134"/>
        <w:rPr>
          <w:lang w:val="fr-FR"/>
        </w:rPr>
      </w:pPr>
      <w:r w:rsidRPr="00E66716">
        <w:rPr>
          <w:lang w:val="fr-FR"/>
        </w:rPr>
        <w:t>1.</w:t>
      </w:r>
      <w:r w:rsidRPr="00E66716">
        <w:rPr>
          <w:lang w:val="fr-FR"/>
        </w:rPr>
        <w:tab/>
      </w:r>
      <w:r w:rsidR="00BB1CA2" w:rsidRPr="00E66716">
        <w:rPr>
          <w:lang w:val="fr-FR"/>
        </w:rPr>
        <w:t>Le Groupe spécial d’experts techniques sur la pollution et la biodiversité</w:t>
      </w:r>
      <w:r w:rsidR="007E3E8B">
        <w:rPr>
          <w:lang w:val="fr-FR"/>
        </w:rPr>
        <w:t>, guidé par les communications des Parties, des peuples autochtones et communautés locales ainsi que des organisations compétentes,</w:t>
      </w:r>
      <w:r w:rsidR="00BB1CA2" w:rsidRPr="00E66716">
        <w:rPr>
          <w:lang w:val="fr-FR"/>
        </w:rPr>
        <w:t xml:space="preserve"> fournira des avis techniques à l’Organe subsidiaire chargé de fournir des avis scientifiques, techniques et technologiques concernant</w:t>
      </w:r>
      <w:r w:rsidR="00612A1F">
        <w:rPr>
          <w:lang w:val="fr-FR"/>
        </w:rPr>
        <w:t> </w:t>
      </w:r>
      <w:r w:rsidRPr="00E66716">
        <w:rPr>
          <w:lang w:val="fr-FR"/>
        </w:rPr>
        <w:t>:</w:t>
      </w:r>
    </w:p>
    <w:p w14:paraId="27F292A1" w14:textId="41645139" w:rsidR="0096610E" w:rsidRPr="00E66716" w:rsidRDefault="0096610E" w:rsidP="00390558">
      <w:pPr>
        <w:pStyle w:val="CBDNormalNoNumber"/>
        <w:spacing w:before="120"/>
        <w:ind w:left="1134" w:firstLine="567"/>
        <w:rPr>
          <w:lang w:val="fr-FR"/>
        </w:rPr>
      </w:pPr>
      <w:r w:rsidRPr="00E66716">
        <w:rPr>
          <w:lang w:val="fr-FR"/>
        </w:rPr>
        <w:t>a)</w:t>
      </w:r>
      <w:r w:rsidRPr="00E66716">
        <w:rPr>
          <w:lang w:val="fr-FR"/>
        </w:rPr>
        <w:tab/>
      </w:r>
      <w:r w:rsidR="00BB1CA2" w:rsidRPr="00E66716">
        <w:rPr>
          <w:lang w:val="fr-FR"/>
        </w:rPr>
        <w:t xml:space="preserve">Les </w:t>
      </w:r>
      <w:r w:rsidR="00910748">
        <w:rPr>
          <w:lang w:val="fr-FR"/>
        </w:rPr>
        <w:t>incidences</w:t>
      </w:r>
      <w:r w:rsidR="00BB1CA2" w:rsidRPr="00E66716">
        <w:rPr>
          <w:lang w:val="fr-FR"/>
        </w:rPr>
        <w:t xml:space="preserve"> de la pollution sur la biodiversité dans différents biomes, notamment les </w:t>
      </w:r>
      <w:r w:rsidR="00AE5925" w:rsidRPr="00E66716">
        <w:rPr>
          <w:lang w:val="fr-FR"/>
        </w:rPr>
        <w:t>types et les sources de pollution représentant une préoccupation prioritaire</w:t>
      </w:r>
      <w:r w:rsidR="007E3E8B">
        <w:rPr>
          <w:lang w:val="fr-FR"/>
        </w:rPr>
        <w:t>, conformément à la cible 7 du Cadre mondial de la biodiversité de Kunming-Montréal,</w:t>
      </w:r>
      <w:r w:rsidR="00DD4079" w:rsidRPr="001F58D1">
        <w:rPr>
          <w:rStyle w:val="FootnoteReference"/>
        </w:rPr>
        <w:footnoteReference w:id="12"/>
      </w:r>
      <w:r w:rsidR="00AE5925" w:rsidRPr="00E66716">
        <w:rPr>
          <w:lang w:val="fr-FR"/>
        </w:rPr>
        <w:t xml:space="preserve"> pour les différents biomes et espèces ;</w:t>
      </w:r>
      <w:r w:rsidRPr="00E66716">
        <w:rPr>
          <w:lang w:val="fr-FR"/>
        </w:rPr>
        <w:t xml:space="preserve"> </w:t>
      </w:r>
    </w:p>
    <w:p w14:paraId="1FEFF74B" w14:textId="5F97FF1D" w:rsidR="0096610E" w:rsidRPr="00E66716" w:rsidRDefault="0096610E" w:rsidP="00390558">
      <w:pPr>
        <w:pStyle w:val="CBDNormalNoNumber"/>
        <w:spacing w:before="120"/>
        <w:ind w:left="1134" w:firstLine="567"/>
        <w:rPr>
          <w:lang w:val="fr-FR"/>
        </w:rPr>
      </w:pPr>
      <w:r w:rsidRPr="00E66716">
        <w:rPr>
          <w:lang w:val="fr-FR"/>
        </w:rPr>
        <w:t>b)</w:t>
      </w:r>
      <w:r w:rsidRPr="00E66716">
        <w:rPr>
          <w:lang w:val="fr-FR"/>
        </w:rPr>
        <w:tab/>
      </w:r>
      <w:r w:rsidR="00AE5925" w:rsidRPr="00E66716">
        <w:rPr>
          <w:lang w:val="fr-FR"/>
        </w:rPr>
        <w:t>Les facteurs prioritaires de la biodiversité</w:t>
      </w:r>
      <w:r w:rsidR="004908AB" w:rsidRPr="00E66716">
        <w:rPr>
          <w:lang w:val="fr-FR"/>
        </w:rPr>
        <w:t xml:space="preserve"> à intégrer aux mesures de prévention, contrôle et atténuation de la pollution pour les secteurs, sources et parties prenantes prioritaires ; et le rôle que jouent la biodiversité et les systèmes écosystémiques dans l’atténuation de la pollution (solutions fondées sur la nature et/ou approches fondées sur les écosystèmes), comprenant l’orientation pour des services et des sources de pollution particuliers </w:t>
      </w:r>
      <w:r w:rsidRPr="00E66716">
        <w:rPr>
          <w:lang w:val="fr-FR"/>
        </w:rPr>
        <w:t xml:space="preserve">; </w:t>
      </w:r>
    </w:p>
    <w:p w14:paraId="53EEB2B0" w14:textId="569CF8E3" w:rsidR="0096610E" w:rsidRPr="00E66716" w:rsidRDefault="0096610E" w:rsidP="00390558">
      <w:pPr>
        <w:pStyle w:val="CBDNormalNoNumber"/>
        <w:spacing w:before="120"/>
        <w:ind w:left="1134" w:firstLine="567"/>
        <w:rPr>
          <w:lang w:val="fr-FR"/>
        </w:rPr>
      </w:pPr>
      <w:r w:rsidRPr="00E66716">
        <w:rPr>
          <w:lang w:val="fr-FR"/>
        </w:rPr>
        <w:t>c)</w:t>
      </w:r>
      <w:r w:rsidRPr="00E66716">
        <w:rPr>
          <w:lang w:val="fr-FR"/>
        </w:rPr>
        <w:tab/>
      </w:r>
      <w:r w:rsidR="00FB16E9" w:rsidRPr="00E66716">
        <w:rPr>
          <w:lang w:val="fr-FR"/>
        </w:rPr>
        <w:t xml:space="preserve">La gestion des données et de l’information, notamment en ce qui a trait à l’information sur </w:t>
      </w:r>
      <w:r w:rsidR="006F31B3">
        <w:rPr>
          <w:lang w:val="fr-FR"/>
        </w:rPr>
        <w:t xml:space="preserve">le contrôle </w:t>
      </w:r>
      <w:r w:rsidR="00CD7C77">
        <w:rPr>
          <w:lang w:val="fr-FR"/>
        </w:rPr>
        <w:t xml:space="preserve">de la toxicité et </w:t>
      </w:r>
      <w:r w:rsidR="00FB16E9" w:rsidRPr="00E66716">
        <w:rPr>
          <w:lang w:val="fr-FR"/>
        </w:rPr>
        <w:t>la réduction des risques de polluants connus représentant une préoccupation prioritaire pour la biodiversité </w:t>
      </w:r>
      <w:r w:rsidRPr="00E66716">
        <w:rPr>
          <w:lang w:val="fr-FR"/>
        </w:rPr>
        <w:t xml:space="preserve">; </w:t>
      </w:r>
    </w:p>
    <w:p w14:paraId="0749FDDB" w14:textId="616B4A83" w:rsidR="0096610E" w:rsidRPr="00E66716" w:rsidRDefault="0096610E" w:rsidP="00390558">
      <w:pPr>
        <w:pStyle w:val="CBDNormalNoNumber"/>
        <w:spacing w:before="120"/>
        <w:ind w:left="1134" w:firstLine="567"/>
        <w:rPr>
          <w:lang w:val="fr-FR"/>
        </w:rPr>
      </w:pPr>
      <w:r w:rsidRPr="00E66716">
        <w:rPr>
          <w:lang w:val="fr-FR"/>
        </w:rPr>
        <w:t>d)</w:t>
      </w:r>
      <w:r w:rsidRPr="00E66716">
        <w:rPr>
          <w:lang w:val="fr-FR"/>
        </w:rPr>
        <w:tab/>
      </w:r>
      <w:r w:rsidR="00FB16E9" w:rsidRPr="00E66716">
        <w:rPr>
          <w:lang w:val="fr-FR"/>
        </w:rPr>
        <w:t xml:space="preserve">Les facteurs de la biodiversité devant entrer en ligne de compte dans les systèmes nationaux intégrés sur l’environnement et </w:t>
      </w:r>
      <w:r w:rsidR="000F29A5" w:rsidRPr="00E66716">
        <w:rPr>
          <w:lang w:val="fr-FR"/>
        </w:rPr>
        <w:t>l’harmonisation</w:t>
      </w:r>
      <w:r w:rsidR="00FB16E9" w:rsidRPr="00E66716">
        <w:rPr>
          <w:lang w:val="fr-FR"/>
        </w:rPr>
        <w:t xml:space="preserve"> des données sur le</w:t>
      </w:r>
      <w:r w:rsidR="000F29A5" w:rsidRPr="00E66716">
        <w:rPr>
          <w:lang w:val="fr-FR"/>
        </w:rPr>
        <w:t>s mesures de</w:t>
      </w:r>
      <w:r w:rsidR="00FB16E9" w:rsidRPr="00E66716">
        <w:rPr>
          <w:lang w:val="fr-FR"/>
        </w:rPr>
        <w:t xml:space="preserve"> contrôle de la pollution </w:t>
      </w:r>
      <w:r w:rsidR="00FA6925">
        <w:rPr>
          <w:lang w:val="fr-FR"/>
        </w:rPr>
        <w:t>aux cibles du Cadre</w:t>
      </w:r>
      <w:r w:rsidR="00A40156">
        <w:rPr>
          <w:lang w:val="fr-FR"/>
        </w:rPr>
        <w:t>.</w:t>
      </w:r>
    </w:p>
    <w:p w14:paraId="3C9C6DF6" w14:textId="5BF46DBB" w:rsidR="0096610E" w:rsidRPr="00E66716" w:rsidRDefault="0096610E" w:rsidP="000D6E57">
      <w:pPr>
        <w:pStyle w:val="CBDNormalNoNumber"/>
        <w:spacing w:before="240"/>
        <w:ind w:left="1134"/>
        <w:rPr>
          <w:lang w:val="fr-FR"/>
        </w:rPr>
      </w:pPr>
      <w:r w:rsidRPr="00E66716">
        <w:rPr>
          <w:lang w:val="fr-FR"/>
        </w:rPr>
        <w:t>2.</w:t>
      </w:r>
      <w:r w:rsidRPr="00E66716">
        <w:rPr>
          <w:lang w:val="fr-FR"/>
        </w:rPr>
        <w:tab/>
      </w:r>
      <w:r w:rsidR="000F29A5" w:rsidRPr="00E66716">
        <w:rPr>
          <w:lang w:val="fr-FR"/>
        </w:rPr>
        <w:t xml:space="preserve">Le Groupe spécial d’experts techniques sera formé de 30 experts techniques désignés par les Parties, dont des experts </w:t>
      </w:r>
      <w:r w:rsidR="00473A11" w:rsidRPr="00E66716">
        <w:rPr>
          <w:lang w:val="fr-FR"/>
        </w:rPr>
        <w:t>en</w:t>
      </w:r>
      <w:r w:rsidR="000F29A5" w:rsidRPr="00E66716">
        <w:rPr>
          <w:lang w:val="fr-FR"/>
        </w:rPr>
        <w:t xml:space="preserve"> biodiversité et </w:t>
      </w:r>
      <w:r w:rsidR="00473A11" w:rsidRPr="00E66716">
        <w:rPr>
          <w:lang w:val="fr-FR"/>
        </w:rPr>
        <w:t>en</w:t>
      </w:r>
      <w:r w:rsidR="000F29A5" w:rsidRPr="00E66716">
        <w:rPr>
          <w:lang w:val="fr-FR"/>
        </w:rPr>
        <w:t xml:space="preserve"> pollution, </w:t>
      </w:r>
      <w:r w:rsidR="002C2E5A">
        <w:rPr>
          <w:lang w:val="fr-FR"/>
        </w:rPr>
        <w:t xml:space="preserve">toutes les régions étant équitablement représentées, </w:t>
      </w:r>
      <w:r w:rsidR="000F29A5" w:rsidRPr="00E66716">
        <w:rPr>
          <w:lang w:val="fr-FR"/>
        </w:rPr>
        <w:t>et jusqu’à cinq représentants désignés par des organisations d’observation et autres organisations pertinentes</w:t>
      </w:r>
      <w:r w:rsidRPr="00E66716">
        <w:rPr>
          <w:lang w:val="fr-FR"/>
        </w:rPr>
        <w:t xml:space="preserve">. </w:t>
      </w:r>
    </w:p>
    <w:p w14:paraId="58334112" w14:textId="45E986B3" w:rsidR="0096610E" w:rsidRPr="00E66716" w:rsidRDefault="0096610E" w:rsidP="000D6E57">
      <w:pPr>
        <w:pStyle w:val="CBDNormalNoNumber"/>
        <w:spacing w:before="240"/>
        <w:ind w:left="1134"/>
        <w:rPr>
          <w:lang w:val="fr-FR"/>
        </w:rPr>
      </w:pPr>
      <w:r w:rsidRPr="00E66716">
        <w:rPr>
          <w:lang w:val="fr-FR"/>
        </w:rPr>
        <w:t>3.</w:t>
      </w:r>
      <w:r w:rsidRPr="00E66716">
        <w:rPr>
          <w:lang w:val="fr-FR"/>
        </w:rPr>
        <w:tab/>
      </w:r>
      <w:r w:rsidR="000F29A5" w:rsidRPr="00E66716">
        <w:rPr>
          <w:lang w:val="fr-FR"/>
        </w:rPr>
        <w:t>Le Groupe spécial d’experts techniques nommera deux coprésidents parmi les experts désignés</w:t>
      </w:r>
      <w:r w:rsidRPr="00E66716">
        <w:rPr>
          <w:lang w:val="fr-FR"/>
        </w:rPr>
        <w:t>.</w:t>
      </w:r>
    </w:p>
    <w:p w14:paraId="55511992" w14:textId="506C1038" w:rsidR="0096610E" w:rsidRPr="00E66716" w:rsidRDefault="0096610E" w:rsidP="000D6E57">
      <w:pPr>
        <w:pStyle w:val="CBDNormalNoNumber"/>
        <w:spacing w:before="240"/>
        <w:ind w:left="1134"/>
        <w:rPr>
          <w:lang w:val="fr-FR"/>
        </w:rPr>
      </w:pPr>
      <w:r w:rsidRPr="00E66716">
        <w:rPr>
          <w:lang w:val="fr-FR"/>
        </w:rPr>
        <w:t>4.</w:t>
      </w:r>
      <w:r w:rsidRPr="00E66716">
        <w:rPr>
          <w:lang w:val="fr-FR"/>
        </w:rPr>
        <w:tab/>
      </w:r>
      <w:r w:rsidR="000F29A5" w:rsidRPr="00E66716">
        <w:rPr>
          <w:lang w:val="fr-FR"/>
        </w:rPr>
        <w:t>Le président de l’Organe subsidiaire chargé de fournir des avis scientifiques, techniques et technologiques sera invité</w:t>
      </w:r>
      <w:r w:rsidR="004C1A06" w:rsidRPr="00E66716">
        <w:rPr>
          <w:lang w:val="fr-FR"/>
        </w:rPr>
        <w:t xml:space="preserve"> à participer de droit aux réunions du Groupe spécial d’experts techniques</w:t>
      </w:r>
      <w:r w:rsidRPr="00E66716">
        <w:rPr>
          <w:lang w:val="fr-FR"/>
        </w:rPr>
        <w:t>.</w:t>
      </w:r>
    </w:p>
    <w:p w14:paraId="234EEBAE" w14:textId="30CBD72B" w:rsidR="0096610E" w:rsidRPr="00E66716" w:rsidRDefault="0096610E" w:rsidP="000D6E57">
      <w:pPr>
        <w:pStyle w:val="CBDNormalNoNumber"/>
        <w:spacing w:before="240"/>
        <w:ind w:left="1134"/>
        <w:rPr>
          <w:lang w:val="fr-FR"/>
        </w:rPr>
      </w:pPr>
      <w:r w:rsidRPr="00E66716">
        <w:rPr>
          <w:lang w:val="fr-FR"/>
        </w:rPr>
        <w:t>5.</w:t>
      </w:r>
      <w:r w:rsidRPr="00E66716">
        <w:rPr>
          <w:lang w:val="fr-FR"/>
        </w:rPr>
        <w:tab/>
      </w:r>
      <w:r w:rsidR="004C1A06" w:rsidRPr="00E66716">
        <w:rPr>
          <w:lang w:val="fr-FR"/>
        </w:rPr>
        <w:t>Le Groupe spécial d’experts techniques réalisera ses travaux préliminaires par voie éle</w:t>
      </w:r>
      <w:r w:rsidR="001524BA" w:rsidRPr="00E66716">
        <w:rPr>
          <w:lang w:val="fr-FR"/>
        </w:rPr>
        <w:t xml:space="preserve">ctronique ; il se réunira aussi en </w:t>
      </w:r>
      <w:r w:rsidR="004C1A06" w:rsidRPr="00E66716">
        <w:rPr>
          <w:lang w:val="fr-FR"/>
        </w:rPr>
        <w:t xml:space="preserve">personne au moins deux fois pendant la période intersessions, si les </w:t>
      </w:r>
      <w:r w:rsidR="004C1A06" w:rsidRPr="00E66716">
        <w:rPr>
          <w:rFonts w:eastAsia="Times New Roman"/>
          <w:lang w:val="fr-FR"/>
        </w:rPr>
        <w:t>ressources</w:t>
      </w:r>
      <w:r w:rsidR="004C1A06" w:rsidRPr="00E66716">
        <w:rPr>
          <w:lang w:val="fr-FR"/>
        </w:rPr>
        <w:t xml:space="preserve"> le permettent</w:t>
      </w:r>
      <w:r w:rsidRPr="00E66716">
        <w:rPr>
          <w:lang w:val="fr-FR"/>
        </w:rPr>
        <w:t>.</w:t>
      </w:r>
    </w:p>
    <w:p w14:paraId="6F3F3519" w14:textId="6C165B07" w:rsidR="006F31B3" w:rsidRDefault="0096610E" w:rsidP="00FA6925">
      <w:pPr>
        <w:pStyle w:val="CBDNormalNoNumber"/>
        <w:spacing w:before="240"/>
        <w:ind w:left="1134"/>
        <w:rPr>
          <w:lang w:val="fr-FR"/>
        </w:rPr>
      </w:pPr>
      <w:r w:rsidRPr="00E66716">
        <w:rPr>
          <w:lang w:val="fr-FR"/>
        </w:rPr>
        <w:t>6.</w:t>
      </w:r>
      <w:r w:rsidRPr="00E66716">
        <w:rPr>
          <w:lang w:val="fr-FR"/>
        </w:rPr>
        <w:tab/>
      </w:r>
      <w:r w:rsidR="004C1A06" w:rsidRPr="00E66716">
        <w:rPr>
          <w:lang w:val="fr-FR"/>
        </w:rPr>
        <w:t>Le Groupe spécial d’experts tec</w:t>
      </w:r>
      <w:r w:rsidR="001524BA" w:rsidRPr="00E66716">
        <w:rPr>
          <w:lang w:val="fr-FR"/>
        </w:rPr>
        <w:t>hniques devra être constitué et entreprendre</w:t>
      </w:r>
      <w:r w:rsidR="004C1A06" w:rsidRPr="00E66716">
        <w:rPr>
          <w:lang w:val="fr-FR"/>
        </w:rPr>
        <w:t xml:space="preserve"> ses travaux immédiatement après la dix-septième réunion de la Conférence des Parties et remettre un rapport sur ses travaux à l’Organe subsidiaire chargé de fournir des avis scientifiques, techniques et technologiques </w:t>
      </w:r>
      <w:r w:rsidR="001524BA" w:rsidRPr="00E66716">
        <w:rPr>
          <w:lang w:val="fr-FR"/>
        </w:rPr>
        <w:t xml:space="preserve">lors d’une </w:t>
      </w:r>
      <w:r w:rsidR="004C1A06" w:rsidRPr="00E66716">
        <w:rPr>
          <w:lang w:val="fr-FR"/>
        </w:rPr>
        <w:t>réunion précédant la dix-huitième réunion de la Conférence des Parties</w:t>
      </w:r>
      <w:r w:rsidRPr="00E66716">
        <w:rPr>
          <w:lang w:val="fr-FR"/>
        </w:rPr>
        <w:t>.</w:t>
      </w:r>
      <w:r w:rsidR="002C2E5A">
        <w:rPr>
          <w:lang w:val="fr-FR"/>
        </w:rPr>
        <w:t>]</w:t>
      </w:r>
    </w:p>
    <w:p w14:paraId="19FCF711" w14:textId="6F56AB79" w:rsidR="002C2E5A" w:rsidRPr="002C2E5A" w:rsidRDefault="002C2E5A" w:rsidP="006F31B3">
      <w:pPr>
        <w:pStyle w:val="CBDNormalNoNumber"/>
        <w:spacing w:before="240"/>
        <w:ind w:left="1134"/>
        <w:rPr>
          <w:lang w:val="fr-FR"/>
        </w:rPr>
      </w:pPr>
      <w:r w:rsidRPr="002C2E5A">
        <w:rPr>
          <w:lang w:val="fr-FR"/>
        </w:rPr>
        <w:t>OPTION</w:t>
      </w:r>
      <w:r w:rsidR="00612A1F">
        <w:rPr>
          <w:lang w:val="fr-FR"/>
        </w:rPr>
        <w:t> </w:t>
      </w:r>
      <w:r w:rsidRPr="002C2E5A">
        <w:rPr>
          <w:lang w:val="fr-FR"/>
        </w:rPr>
        <w:t xml:space="preserve">2 </w:t>
      </w:r>
    </w:p>
    <w:p w14:paraId="189F0405" w14:textId="0E186DE5" w:rsidR="002C2E5A" w:rsidRPr="002C2E5A" w:rsidRDefault="002C2E5A" w:rsidP="00DD28CF">
      <w:pPr>
        <w:pStyle w:val="CBDNormalNoNumber"/>
        <w:tabs>
          <w:tab w:val="clear" w:pos="567"/>
        </w:tabs>
        <w:ind w:left="1134" w:firstLine="567"/>
        <w:rPr>
          <w:lang w:val="fr-FR"/>
        </w:rPr>
      </w:pPr>
      <w:r w:rsidRPr="002C2E5A">
        <w:rPr>
          <w:lang w:val="fr-FR"/>
        </w:rPr>
        <w:lastRenderedPageBreak/>
        <w:t>[</w:t>
      </w:r>
      <w:r w:rsidR="00DD28CF" w:rsidRPr="00E66716">
        <w:rPr>
          <w:i/>
          <w:iCs/>
          <w:lang w:val="fr-FR"/>
        </w:rPr>
        <w:t xml:space="preserve">Reconnaissant </w:t>
      </w:r>
      <w:r w:rsidR="00DD28CF" w:rsidRPr="00E66716">
        <w:rPr>
          <w:iCs/>
          <w:lang w:val="fr-FR"/>
        </w:rPr>
        <w:t xml:space="preserve">que la pollution est un des principaux moteurs de </w:t>
      </w:r>
      <w:r w:rsidR="007768DC">
        <w:rPr>
          <w:iCs/>
          <w:lang w:val="fr-FR"/>
        </w:rPr>
        <w:t>la perte</w:t>
      </w:r>
      <w:r w:rsidR="00DD28CF" w:rsidRPr="00E66716">
        <w:rPr>
          <w:iCs/>
          <w:lang w:val="fr-FR"/>
        </w:rPr>
        <w:t xml:space="preserve"> de diversité biologique</w:t>
      </w:r>
      <w:r w:rsidRPr="002C2E5A">
        <w:rPr>
          <w:lang w:val="fr-FR"/>
        </w:rPr>
        <w:t>,</w:t>
      </w:r>
    </w:p>
    <w:p w14:paraId="2769FA2D" w14:textId="54834423" w:rsidR="002C2E5A" w:rsidRPr="002C2E5A" w:rsidRDefault="00390558" w:rsidP="002C2E5A">
      <w:pPr>
        <w:pStyle w:val="CBDNormalNoNumber"/>
        <w:spacing w:before="240"/>
        <w:ind w:left="1134"/>
        <w:rPr>
          <w:lang w:val="fr-FR"/>
        </w:rPr>
      </w:pPr>
      <w:r>
        <w:rPr>
          <w:lang w:val="fr-FR"/>
        </w:rPr>
        <w:tab/>
      </w:r>
      <w:r w:rsidR="00DD28CF" w:rsidRPr="006F31B3">
        <w:rPr>
          <w:i/>
          <w:iCs/>
          <w:lang w:val="fr-FR"/>
        </w:rPr>
        <w:t>Se félicitant</w:t>
      </w:r>
      <w:r w:rsidR="00DD28CF">
        <w:rPr>
          <w:lang w:val="fr-FR"/>
        </w:rPr>
        <w:t xml:space="preserve"> de la création du Groupe d’experts intergouvernemental scientifique et politique sur les produits chimiques, les déchets et la pollution,</w:t>
      </w:r>
    </w:p>
    <w:p w14:paraId="27AF5954" w14:textId="1F767914" w:rsidR="002C2E5A" w:rsidRPr="002C2E5A" w:rsidRDefault="002C2E5A" w:rsidP="00390558">
      <w:pPr>
        <w:pStyle w:val="CBDNormalNoNumber"/>
        <w:spacing w:before="120"/>
        <w:ind w:left="1134" w:firstLine="567"/>
        <w:rPr>
          <w:lang w:val="fr-FR"/>
        </w:rPr>
      </w:pPr>
      <w:r w:rsidRPr="002C2E5A">
        <w:rPr>
          <w:lang w:val="fr-FR"/>
        </w:rPr>
        <w:t>1.</w:t>
      </w:r>
      <w:r w:rsidRPr="002C2E5A">
        <w:rPr>
          <w:lang w:val="fr-FR"/>
        </w:rPr>
        <w:tab/>
      </w:r>
      <w:r w:rsidRPr="00DD28CF">
        <w:rPr>
          <w:i/>
          <w:iCs/>
          <w:lang w:val="fr-FR"/>
        </w:rPr>
        <w:t>Invite</w:t>
      </w:r>
      <w:r w:rsidRPr="002C2E5A">
        <w:rPr>
          <w:lang w:val="fr-FR"/>
        </w:rPr>
        <w:t xml:space="preserve"> </w:t>
      </w:r>
      <w:r w:rsidR="00DD28CF">
        <w:rPr>
          <w:lang w:val="fr-FR"/>
        </w:rPr>
        <w:t>le Groupe d’experts intergouvernemental scientifique et politique sur les produits chimiques, les déchets et la pollution, la Plateforme intergouvernementale scientifique et politique sur la biodiversité et les services écosystémiques, le Cadre mondial relatif aux produits chimiques</w:t>
      </w:r>
      <w:r w:rsidR="0013493E">
        <w:rPr>
          <w:lang w:val="fr-FR"/>
        </w:rPr>
        <w:t xml:space="preserve"> </w:t>
      </w:r>
      <w:r w:rsidR="00071371" w:rsidRPr="00071371">
        <w:rPr>
          <w:lang w:val="fr-FR"/>
        </w:rPr>
        <w:t xml:space="preserve">– </w:t>
      </w:r>
      <w:r w:rsidR="00071371">
        <w:rPr>
          <w:lang w:val="fr-FR"/>
        </w:rPr>
        <w:t>p</w:t>
      </w:r>
      <w:r w:rsidR="00071371" w:rsidRPr="00071371">
        <w:rPr>
          <w:lang w:val="fr-FR"/>
        </w:rPr>
        <w:t>our une planète sans danger lié aux produits chimiques et aux déchets</w:t>
      </w:r>
      <w:r w:rsidR="00DD28CF">
        <w:rPr>
          <w:lang w:val="fr-FR"/>
        </w:rPr>
        <w:t xml:space="preserve">, </w:t>
      </w:r>
      <w:r w:rsidR="00DD4079">
        <w:rPr>
          <w:lang w:val="fr-FR"/>
        </w:rPr>
        <w:t xml:space="preserve">le secrétariat de </w:t>
      </w:r>
      <w:r w:rsidR="00DD28CF">
        <w:rPr>
          <w:lang w:val="fr-FR"/>
        </w:rPr>
        <w:t>la Convention de Bâle sur le contrôle des mouvements transfrontières de déchets dangereux et de leur élimination</w:t>
      </w:r>
      <w:r w:rsidR="00A40156">
        <w:rPr>
          <w:rStyle w:val="FootnoteReference"/>
        </w:rPr>
        <w:footnoteReference w:id="13"/>
      </w:r>
      <w:r w:rsidR="00DD28CF">
        <w:rPr>
          <w:lang w:val="fr-FR"/>
        </w:rPr>
        <w:t>,</w:t>
      </w:r>
      <w:r w:rsidR="00DD28CF" w:rsidRPr="00E66716">
        <w:rPr>
          <w:lang w:val="fr-FR"/>
        </w:rPr>
        <w:t xml:space="preserve"> la Convention de Rotterdam sur la procédure de consentement préalable en connaissance de cause applicable à certains produits chimiques et pesticides dangereux qui font l’objet d’un commerce international</w:t>
      </w:r>
      <w:r w:rsidR="00A40156">
        <w:rPr>
          <w:rStyle w:val="FootnoteReference"/>
        </w:rPr>
        <w:footnoteReference w:id="14"/>
      </w:r>
      <w:r w:rsidR="00DD28CF" w:rsidRPr="00E66716">
        <w:rPr>
          <w:lang w:val="fr-FR"/>
        </w:rPr>
        <w:t xml:space="preserve"> et la Convention de Stockholm sur les polluants organiques persistants</w:t>
      </w:r>
      <w:r w:rsidR="00A40156">
        <w:rPr>
          <w:rStyle w:val="FootnoteReference"/>
        </w:rPr>
        <w:footnoteReference w:id="15"/>
      </w:r>
      <w:r w:rsidR="00DD28CF">
        <w:rPr>
          <w:lang w:val="fr-FR"/>
        </w:rPr>
        <w:t xml:space="preserve">, le Secrétariat de la </w:t>
      </w:r>
      <w:r w:rsidR="00DD28CF" w:rsidRPr="00E66716">
        <w:rPr>
          <w:lang w:val="fr-FR"/>
        </w:rPr>
        <w:t>Convention de Minamata sur le mercure</w:t>
      </w:r>
      <w:r w:rsidR="00A40156">
        <w:rPr>
          <w:rStyle w:val="FootnoteReference"/>
        </w:rPr>
        <w:footnoteReference w:id="16"/>
      </w:r>
      <w:r w:rsidR="00DD28CF">
        <w:rPr>
          <w:lang w:val="fr-FR"/>
        </w:rPr>
        <w:t xml:space="preserve">, l’Organisation </w:t>
      </w:r>
      <w:r w:rsidR="00DD4079">
        <w:rPr>
          <w:lang w:val="fr-FR"/>
        </w:rPr>
        <w:t xml:space="preserve">des Nations Unies </w:t>
      </w:r>
      <w:r w:rsidR="00DD28CF">
        <w:rPr>
          <w:lang w:val="fr-FR"/>
        </w:rPr>
        <w:t xml:space="preserve">pour l’alimentation et l’agriculture, </w:t>
      </w:r>
      <w:r w:rsidR="00DD28CF" w:rsidRPr="00E66716">
        <w:rPr>
          <w:lang w:val="fr-FR"/>
        </w:rPr>
        <w:t xml:space="preserve">l’Organisation maritime </w:t>
      </w:r>
      <w:r w:rsidR="00DD28CF" w:rsidRPr="00E66716">
        <w:rPr>
          <w:rFonts w:eastAsia="Times New Roman"/>
          <w:lang w:val="fr-FR"/>
        </w:rPr>
        <w:t>internationale</w:t>
      </w:r>
      <w:r w:rsidR="00DD28CF">
        <w:rPr>
          <w:rFonts w:eastAsia="Times New Roman"/>
          <w:lang w:val="fr-FR"/>
        </w:rPr>
        <w:t>, l’Autorité internationale des fonds marins</w:t>
      </w:r>
      <w:r w:rsidR="00DD28CF" w:rsidRPr="00E66716">
        <w:rPr>
          <w:lang w:val="fr-FR"/>
        </w:rPr>
        <w:t xml:space="preserve"> et les secrétariats des conventions et plans d’action sur les mers régionales</w:t>
      </w:r>
      <w:r w:rsidR="00DD28CF">
        <w:rPr>
          <w:lang w:val="fr-FR"/>
        </w:rPr>
        <w:t xml:space="preserve"> </w:t>
      </w:r>
      <w:r w:rsidR="00DD28CF" w:rsidRPr="00E66716">
        <w:rPr>
          <w:lang w:val="fr-FR"/>
        </w:rPr>
        <w:t xml:space="preserve">de concentrer leur attention </w:t>
      </w:r>
      <w:r w:rsidR="00DD28CF">
        <w:rPr>
          <w:lang w:val="fr-FR"/>
        </w:rPr>
        <w:t xml:space="preserve">et de renforcer leurs activités </w:t>
      </w:r>
      <w:r w:rsidR="00DD28CF" w:rsidRPr="00E66716">
        <w:rPr>
          <w:lang w:val="fr-FR"/>
        </w:rPr>
        <w:t>sur l’interaction entre les produits chimiques et les déchets</w:t>
      </w:r>
      <w:r w:rsidR="006F31B3">
        <w:rPr>
          <w:lang w:val="fr-FR"/>
        </w:rPr>
        <w:t xml:space="preserve"> d’une part</w:t>
      </w:r>
      <w:r w:rsidR="00DD28CF" w:rsidRPr="00E66716">
        <w:rPr>
          <w:lang w:val="fr-FR"/>
        </w:rPr>
        <w:t>, y compris les déchets plastiques, et la biodiversité et les services écosystémiques</w:t>
      </w:r>
      <w:r w:rsidR="00DD28CF">
        <w:rPr>
          <w:lang w:val="fr-FR"/>
        </w:rPr>
        <w:t xml:space="preserve"> </w:t>
      </w:r>
      <w:r w:rsidR="006F31B3">
        <w:rPr>
          <w:lang w:val="fr-FR"/>
        </w:rPr>
        <w:t xml:space="preserve">d’autre part </w:t>
      </w:r>
      <w:r w:rsidR="00DD28CF">
        <w:rPr>
          <w:lang w:val="fr-FR"/>
        </w:rPr>
        <w:t>afin de faire avance</w:t>
      </w:r>
      <w:r w:rsidR="006F31B3">
        <w:rPr>
          <w:lang w:val="fr-FR"/>
        </w:rPr>
        <w:t>r</w:t>
      </w:r>
      <w:r w:rsidR="00DD28CF">
        <w:rPr>
          <w:lang w:val="fr-FR"/>
        </w:rPr>
        <w:t xml:space="preserve"> la mise en œuvre de la cible 7 du </w:t>
      </w:r>
      <w:r w:rsidR="002A64C2">
        <w:rPr>
          <w:lang w:val="fr-FR"/>
        </w:rPr>
        <w:t>Cadre mondial de la biodiversité de Kunming-Montréal</w:t>
      </w:r>
      <w:r w:rsidR="0079083D" w:rsidRPr="001F58D1">
        <w:rPr>
          <w:rStyle w:val="FootnoteReference"/>
        </w:rPr>
        <w:footnoteReference w:id="17"/>
      </w:r>
      <w:r w:rsidR="0079083D">
        <w:rPr>
          <w:lang w:val="fr-FR"/>
        </w:rPr>
        <w:t> </w:t>
      </w:r>
      <w:r w:rsidR="00DD28CF">
        <w:rPr>
          <w:lang w:val="fr-FR"/>
        </w:rPr>
        <w:t xml:space="preserve">; </w:t>
      </w:r>
    </w:p>
    <w:p w14:paraId="0D02C236" w14:textId="4C24989A" w:rsidR="002C2E5A" w:rsidRPr="002C2E5A" w:rsidRDefault="002C2E5A" w:rsidP="00390558">
      <w:pPr>
        <w:pStyle w:val="CBDNormalNoNumber"/>
        <w:spacing w:before="120"/>
        <w:ind w:left="1134" w:firstLine="567"/>
        <w:rPr>
          <w:lang w:val="fr-FR"/>
        </w:rPr>
      </w:pPr>
      <w:r w:rsidRPr="002C2E5A">
        <w:rPr>
          <w:lang w:val="fr-FR"/>
        </w:rPr>
        <w:t>2.</w:t>
      </w:r>
      <w:r w:rsidRPr="002C2E5A">
        <w:rPr>
          <w:lang w:val="fr-FR"/>
        </w:rPr>
        <w:tab/>
      </w:r>
      <w:r w:rsidR="00DD28CF">
        <w:rPr>
          <w:i/>
          <w:iCs/>
          <w:lang w:val="fr-FR"/>
        </w:rPr>
        <w:t>Prie</w:t>
      </w:r>
      <w:r w:rsidRPr="002C2E5A">
        <w:rPr>
          <w:lang w:val="fr-FR"/>
        </w:rPr>
        <w:t xml:space="preserve"> </w:t>
      </w:r>
      <w:r w:rsidR="00DD28CF">
        <w:rPr>
          <w:lang w:val="fr-FR"/>
        </w:rPr>
        <w:t xml:space="preserve">la Secrétaire exécutive de collaborer avec le Groupe d’experts intergouvernemental scientifique et politique sur les produits chimiques, les déchets et la pollution </w:t>
      </w:r>
      <w:r w:rsidR="006F31B3">
        <w:rPr>
          <w:lang w:val="fr-FR"/>
        </w:rPr>
        <w:t>ainsi qu’avec</w:t>
      </w:r>
      <w:r w:rsidR="00DD28CF">
        <w:rPr>
          <w:lang w:val="fr-FR"/>
        </w:rPr>
        <w:t xml:space="preserve"> les accords multilatéraux relatifs à l’environnement compétents </w:t>
      </w:r>
      <w:r w:rsidR="002A64C2">
        <w:rPr>
          <w:lang w:val="fr-FR"/>
        </w:rPr>
        <w:t>afin d’</w:t>
      </w:r>
      <w:r w:rsidR="00DD28CF">
        <w:rPr>
          <w:lang w:val="fr-FR"/>
        </w:rPr>
        <w:t xml:space="preserve">organiser un atelier d’experts techniques </w:t>
      </w:r>
      <w:r w:rsidR="002A64C2">
        <w:rPr>
          <w:lang w:val="fr-FR"/>
        </w:rPr>
        <w:t>sur</w:t>
      </w:r>
      <w:r w:rsidR="00BA20EB">
        <w:rPr>
          <w:lang w:val="fr-FR"/>
        </w:rPr>
        <w:t xml:space="preserve"> des approches </w:t>
      </w:r>
      <w:r w:rsidR="006F31B3">
        <w:rPr>
          <w:lang w:val="fr-FR"/>
        </w:rPr>
        <w:t>contribuant</w:t>
      </w:r>
      <w:r w:rsidR="00BA20EB">
        <w:rPr>
          <w:lang w:val="fr-FR"/>
        </w:rPr>
        <w:t xml:space="preserve"> à combler les lacunes en matière d’outils et d’orientations, avec pour objectif d’atteindre la cible 7 du Cadre ;</w:t>
      </w:r>
    </w:p>
    <w:p w14:paraId="7392F82B" w14:textId="449D5958" w:rsidR="002C2E5A" w:rsidRPr="00E66716" w:rsidRDefault="002C2E5A" w:rsidP="00390558">
      <w:pPr>
        <w:pStyle w:val="CBDNormalNoNumber"/>
        <w:spacing w:before="120"/>
        <w:ind w:left="1134" w:firstLine="567"/>
        <w:rPr>
          <w:lang w:val="fr-FR"/>
        </w:rPr>
      </w:pPr>
      <w:r w:rsidRPr="002C2E5A">
        <w:rPr>
          <w:lang w:val="fr-FR"/>
        </w:rPr>
        <w:t>3.</w:t>
      </w:r>
      <w:r w:rsidRPr="002C2E5A">
        <w:rPr>
          <w:lang w:val="fr-FR"/>
        </w:rPr>
        <w:tab/>
      </w:r>
      <w:r w:rsidR="00542651">
        <w:rPr>
          <w:i/>
          <w:iCs/>
          <w:lang w:val="fr-FR"/>
        </w:rPr>
        <w:t xml:space="preserve">Prie </w:t>
      </w:r>
      <w:r w:rsidR="005231B9">
        <w:rPr>
          <w:i/>
          <w:iCs/>
          <w:lang w:val="fr-FR"/>
        </w:rPr>
        <w:t>également</w:t>
      </w:r>
      <w:r w:rsidR="00542651">
        <w:rPr>
          <w:lang w:val="fr-FR"/>
        </w:rPr>
        <w:t xml:space="preserve"> la Secrétaire exécutive</w:t>
      </w:r>
      <w:r w:rsidR="004744A4">
        <w:rPr>
          <w:lang w:val="fr-FR"/>
        </w:rPr>
        <w:t xml:space="preserve"> de préparer</w:t>
      </w:r>
      <w:r w:rsidR="00542651">
        <w:rPr>
          <w:lang w:val="fr-FR"/>
        </w:rPr>
        <w:t xml:space="preserve">, en collaboration avec les </w:t>
      </w:r>
      <w:r w:rsidR="003F6153">
        <w:rPr>
          <w:lang w:val="fr-FR"/>
        </w:rPr>
        <w:t>entités</w:t>
      </w:r>
      <w:r w:rsidR="002A64C2">
        <w:rPr>
          <w:lang w:val="fr-FR"/>
        </w:rPr>
        <w:t xml:space="preserve"> mentionnées au paragraphe 1</w:t>
      </w:r>
      <w:r w:rsidR="00542651">
        <w:rPr>
          <w:lang w:val="fr-FR"/>
        </w:rPr>
        <w:t xml:space="preserve"> ci-dessus, un rapport </w:t>
      </w:r>
      <w:r w:rsidR="000E0AD1">
        <w:rPr>
          <w:lang w:val="fr-FR"/>
        </w:rPr>
        <w:t>comportant un recensement</w:t>
      </w:r>
      <w:r w:rsidR="00542651">
        <w:rPr>
          <w:lang w:val="fr-FR"/>
        </w:rPr>
        <w:t xml:space="preserve"> </w:t>
      </w:r>
      <w:r w:rsidR="000E0AD1">
        <w:rPr>
          <w:lang w:val="fr-FR"/>
        </w:rPr>
        <w:t>d</w:t>
      </w:r>
      <w:r w:rsidR="00542651">
        <w:rPr>
          <w:lang w:val="fr-FR"/>
        </w:rPr>
        <w:t xml:space="preserve">es travaux pouvant être entrepris par chacune </w:t>
      </w:r>
      <w:r w:rsidR="00622026">
        <w:rPr>
          <w:lang w:val="fr-FR"/>
        </w:rPr>
        <w:t>d’elles</w:t>
      </w:r>
      <w:r w:rsidR="00542651">
        <w:rPr>
          <w:lang w:val="fr-FR"/>
        </w:rPr>
        <w:t xml:space="preserve"> en vue d’atteindre la cible 7</w:t>
      </w:r>
      <w:r w:rsidR="004744A4">
        <w:rPr>
          <w:lang w:val="fr-FR"/>
        </w:rPr>
        <w:t xml:space="preserve"> du Cadre</w:t>
      </w:r>
      <w:r w:rsidR="00542651">
        <w:rPr>
          <w:lang w:val="fr-FR"/>
        </w:rPr>
        <w:t xml:space="preserve">, </w:t>
      </w:r>
      <w:r w:rsidR="004744A4">
        <w:rPr>
          <w:lang w:val="fr-FR"/>
        </w:rPr>
        <w:t>accompagné de</w:t>
      </w:r>
      <w:r w:rsidR="00542651">
        <w:rPr>
          <w:lang w:val="fr-FR"/>
        </w:rPr>
        <w:t xml:space="preserve"> recommandations pour des mesures précises à cette fin, pour examen par la Conférence des Parties à sa dix-huitième réunion.]]</w:t>
      </w:r>
    </w:p>
    <w:p w14:paraId="48DF7B01" w14:textId="33E7D6B6" w:rsidR="00C25933" w:rsidRPr="00E66716" w:rsidRDefault="00BF2D23" w:rsidP="00E55FD1">
      <w:pPr>
        <w:pStyle w:val="CBDNormalNoNumber"/>
        <w:spacing w:before="240"/>
        <w:ind w:left="1134"/>
        <w:rPr>
          <w:b/>
          <w:bCs/>
          <w:lang w:val="fr-FR"/>
        </w:rPr>
      </w:pPr>
      <w:r w:rsidRPr="00E66716">
        <w:rPr>
          <w:b/>
          <w:bCs/>
          <w:lang w:val="fr-FR"/>
        </w:rPr>
        <w:t>C</w:t>
      </w:r>
      <w:r w:rsidRPr="00E66716">
        <w:rPr>
          <w:b/>
          <w:bCs/>
          <w:lang w:val="fr-FR"/>
        </w:rPr>
        <w:br/>
      </w:r>
      <w:r w:rsidR="008A3CB5" w:rsidRPr="00E66716">
        <w:rPr>
          <w:b/>
          <w:bCs/>
          <w:lang w:val="fr-FR"/>
        </w:rPr>
        <w:t>Activités, produits et services durables fondés sur la biodiversité</w:t>
      </w:r>
      <w:r w:rsidR="00A606C0">
        <w:rPr>
          <w:b/>
          <w:bCs/>
          <w:lang w:val="fr-FR"/>
        </w:rPr>
        <w:t xml:space="preserve"> qui améliorent la biodiversité</w:t>
      </w:r>
    </w:p>
    <w:p w14:paraId="3E782EAC" w14:textId="33E76C34" w:rsidR="00BF2D23" w:rsidRPr="00E66716" w:rsidDel="0015022C" w:rsidRDefault="008A3CB5" w:rsidP="00BF2D23">
      <w:pPr>
        <w:pStyle w:val="CBDNormalNoNumber"/>
        <w:tabs>
          <w:tab w:val="clear" w:pos="567"/>
        </w:tabs>
        <w:ind w:left="1134" w:firstLine="567"/>
        <w:rPr>
          <w:i/>
          <w:iCs/>
          <w:lang w:val="fr-FR"/>
        </w:rPr>
      </w:pPr>
      <w:r w:rsidRPr="00E66716">
        <w:rPr>
          <w:i/>
          <w:iCs/>
          <w:lang w:val="fr-FR"/>
        </w:rPr>
        <w:t>La Conférence des Parties</w:t>
      </w:r>
      <w:r w:rsidR="00BF2D23" w:rsidRPr="00E66716" w:rsidDel="0015022C">
        <w:rPr>
          <w:lang w:val="fr-FR"/>
        </w:rPr>
        <w:t>,</w:t>
      </w:r>
    </w:p>
    <w:p w14:paraId="407EA72F" w14:textId="0D301C4F" w:rsidR="00C25933" w:rsidRPr="00E66716" w:rsidRDefault="008A3CB5" w:rsidP="000D6E57">
      <w:pPr>
        <w:pStyle w:val="CBDNormalNoNumber"/>
        <w:tabs>
          <w:tab w:val="clear" w:pos="567"/>
        </w:tabs>
        <w:ind w:left="1134" w:firstLine="567"/>
        <w:rPr>
          <w:lang w:val="fr-FR"/>
        </w:rPr>
      </w:pPr>
      <w:r w:rsidRPr="00E66716">
        <w:rPr>
          <w:i/>
          <w:iCs/>
          <w:lang w:val="fr-FR"/>
        </w:rPr>
        <w:t>Rappelant</w:t>
      </w:r>
      <w:r w:rsidR="00C25933" w:rsidRPr="00E66716">
        <w:rPr>
          <w:lang w:val="fr-FR"/>
        </w:rPr>
        <w:t xml:space="preserve"> </w:t>
      </w:r>
      <w:r w:rsidRPr="00E66716">
        <w:rPr>
          <w:lang w:val="fr-FR"/>
        </w:rPr>
        <w:t>les décisions</w:t>
      </w:r>
      <w:r w:rsidR="00612A1F">
        <w:rPr>
          <w:lang w:val="fr-FR"/>
        </w:rPr>
        <w:t> </w:t>
      </w:r>
      <w:hyperlink r:id="rId18" w:history="1">
        <w:r w:rsidR="00C25933" w:rsidRPr="00E66716">
          <w:rPr>
            <w:rStyle w:val="Hyperlink"/>
            <w:lang w:val="fr-FR"/>
          </w:rPr>
          <w:t>16/12</w:t>
        </w:r>
      </w:hyperlink>
      <w:r w:rsidR="00A52326" w:rsidRPr="00E66716">
        <w:rPr>
          <w:lang w:val="fr-FR"/>
        </w:rPr>
        <w:t xml:space="preserve"> </w:t>
      </w:r>
      <w:r w:rsidRPr="00E66716">
        <w:rPr>
          <w:lang w:val="fr-FR"/>
        </w:rPr>
        <w:t>du 1</w:t>
      </w:r>
      <w:r w:rsidRPr="00E66716">
        <w:rPr>
          <w:vertAlign w:val="superscript"/>
          <w:lang w:val="fr-FR"/>
        </w:rPr>
        <w:t>er</w:t>
      </w:r>
      <w:r w:rsidR="00612A1F">
        <w:rPr>
          <w:lang w:val="fr-FR"/>
        </w:rPr>
        <w:t> </w:t>
      </w:r>
      <w:r w:rsidRPr="00E66716">
        <w:rPr>
          <w:lang w:val="fr-FR"/>
        </w:rPr>
        <w:t>novembre</w:t>
      </w:r>
      <w:r w:rsidR="00612A1F">
        <w:rPr>
          <w:lang w:val="fr-FR"/>
        </w:rPr>
        <w:t> </w:t>
      </w:r>
      <w:r w:rsidRPr="00E66716">
        <w:rPr>
          <w:lang w:val="fr-FR"/>
        </w:rPr>
        <w:t>2024 et</w:t>
      </w:r>
      <w:r w:rsidR="00C25933" w:rsidRPr="00E66716">
        <w:rPr>
          <w:lang w:val="fr-FR"/>
        </w:rPr>
        <w:t xml:space="preserve"> </w:t>
      </w:r>
      <w:hyperlink r:id="rId19" w:history="1">
        <w:r w:rsidR="00C25933" w:rsidRPr="00E66716">
          <w:rPr>
            <w:rStyle w:val="Hyperlink"/>
            <w:lang w:val="fr-FR"/>
          </w:rPr>
          <w:t>16/15</w:t>
        </w:r>
      </w:hyperlink>
      <w:r w:rsidR="00E3624F" w:rsidRPr="00E66716">
        <w:rPr>
          <w:lang w:val="fr-FR"/>
        </w:rPr>
        <w:t xml:space="preserve"> </w:t>
      </w:r>
      <w:r w:rsidRPr="00E66716">
        <w:rPr>
          <w:lang w:val="fr-FR"/>
        </w:rPr>
        <w:t>du 25</w:t>
      </w:r>
      <w:r w:rsidR="00612A1F">
        <w:rPr>
          <w:lang w:val="fr-FR"/>
        </w:rPr>
        <w:t> </w:t>
      </w:r>
      <w:r w:rsidRPr="00E66716">
        <w:rPr>
          <w:lang w:val="fr-FR"/>
        </w:rPr>
        <w:t>octobre</w:t>
      </w:r>
      <w:r w:rsidR="00612A1F">
        <w:rPr>
          <w:lang w:val="fr-FR"/>
        </w:rPr>
        <w:t> </w:t>
      </w:r>
      <w:r w:rsidRPr="00E66716">
        <w:rPr>
          <w:lang w:val="fr-FR"/>
        </w:rPr>
        <w:t>2024</w:t>
      </w:r>
      <w:r w:rsidR="001A4F31" w:rsidRPr="00E66716">
        <w:rPr>
          <w:lang w:val="fr-FR"/>
        </w:rPr>
        <w:t>,</w:t>
      </w:r>
      <w:r w:rsidR="00C25933" w:rsidRPr="00E66716">
        <w:rPr>
          <w:lang w:val="fr-FR"/>
        </w:rPr>
        <w:t xml:space="preserve"> </w:t>
      </w:r>
    </w:p>
    <w:p w14:paraId="35874027" w14:textId="558D6485" w:rsidR="00DE49AD" w:rsidRDefault="00390558" w:rsidP="000D6E57">
      <w:pPr>
        <w:pStyle w:val="CBDNormalNoNumber"/>
        <w:tabs>
          <w:tab w:val="clear" w:pos="567"/>
        </w:tabs>
        <w:ind w:left="1134" w:firstLine="567"/>
        <w:rPr>
          <w:lang w:val="fr-FR"/>
        </w:rPr>
      </w:pPr>
      <w:r>
        <w:rPr>
          <w:lang w:val="fr-FR"/>
        </w:rPr>
        <w:t>[</w:t>
      </w:r>
      <w:r w:rsidR="008A3CB5" w:rsidRPr="00E66716">
        <w:rPr>
          <w:i/>
          <w:iCs/>
          <w:lang w:val="fr-FR"/>
        </w:rPr>
        <w:t xml:space="preserve">Prie </w:t>
      </w:r>
      <w:r w:rsidR="008A3CB5" w:rsidRPr="00E66716">
        <w:rPr>
          <w:iCs/>
          <w:lang w:val="fr-FR"/>
        </w:rPr>
        <w:t>la Secrétaire exécutive</w:t>
      </w:r>
      <w:r w:rsidR="001E46E0">
        <w:rPr>
          <w:iCs/>
          <w:lang w:val="fr-FR"/>
        </w:rPr>
        <w:t>,</w:t>
      </w:r>
      <w:r w:rsidR="00C25933" w:rsidRPr="00E66716">
        <w:rPr>
          <w:lang w:val="fr-FR"/>
        </w:rPr>
        <w:t xml:space="preserve"> </w:t>
      </w:r>
      <w:r w:rsidR="00021093">
        <w:rPr>
          <w:lang w:val="fr-FR"/>
        </w:rPr>
        <w:t xml:space="preserve">sous réserve de </w:t>
      </w:r>
      <w:r w:rsidR="008A3CB5" w:rsidRPr="00E66716">
        <w:rPr>
          <w:lang w:val="fr-FR"/>
        </w:rPr>
        <w:t>la disponibilité des ressources</w:t>
      </w:r>
      <w:r w:rsidR="00451BD4">
        <w:rPr>
          <w:lang w:val="fr-FR"/>
        </w:rPr>
        <w:t>, de</w:t>
      </w:r>
      <w:r w:rsidR="00DE49AD">
        <w:rPr>
          <w:lang w:val="fr-FR"/>
        </w:rPr>
        <w:t> :</w:t>
      </w:r>
    </w:p>
    <w:p w14:paraId="268A66EB" w14:textId="7C002CC4" w:rsidR="00584AB3" w:rsidRDefault="008A3CB5" w:rsidP="00E65FDB">
      <w:pPr>
        <w:pStyle w:val="CBDNormalNoNumber"/>
        <w:numPr>
          <w:ilvl w:val="0"/>
          <w:numId w:val="7"/>
        </w:numPr>
        <w:tabs>
          <w:tab w:val="clear" w:pos="567"/>
        </w:tabs>
        <w:spacing w:before="120"/>
        <w:ind w:left="1134" w:firstLine="567"/>
        <w:rPr>
          <w:lang w:val="fr-FR"/>
        </w:rPr>
      </w:pPr>
      <w:r w:rsidRPr="00E66716">
        <w:rPr>
          <w:lang w:val="fr-FR"/>
        </w:rPr>
        <w:t xml:space="preserve"> </w:t>
      </w:r>
      <w:r w:rsidR="00451BD4">
        <w:rPr>
          <w:lang w:val="fr-FR"/>
        </w:rPr>
        <w:t>P</w:t>
      </w:r>
      <w:r w:rsidRPr="00E66716">
        <w:rPr>
          <w:lang w:val="fr-FR"/>
        </w:rPr>
        <w:t xml:space="preserve">réparer un rapport sur l’expérience </w:t>
      </w:r>
      <w:r w:rsidR="001E46E0">
        <w:rPr>
          <w:lang w:val="fr-FR"/>
        </w:rPr>
        <w:t>[des Parties</w:t>
      </w:r>
      <w:r w:rsidR="001761A9">
        <w:rPr>
          <w:lang w:val="fr-FR"/>
        </w:rPr>
        <w:t xml:space="preserve"> </w:t>
      </w:r>
      <w:r w:rsidR="001E46E0">
        <w:rPr>
          <w:lang w:val="fr-FR"/>
        </w:rPr>
        <w:t>][en matière de mise en œuvre d’][</w:t>
      </w:r>
      <w:r w:rsidRPr="00E66716">
        <w:rPr>
          <w:lang w:val="fr-FR"/>
        </w:rPr>
        <w:t>en lien avec les</w:t>
      </w:r>
      <w:r w:rsidR="0087116A">
        <w:rPr>
          <w:lang w:val="fr-FR"/>
        </w:rPr>
        <w:t xml:space="preserve"> </w:t>
      </w:r>
      <w:r w:rsidR="001E46E0">
        <w:rPr>
          <w:lang w:val="fr-FR"/>
        </w:rPr>
        <w:t>]</w:t>
      </w:r>
      <w:r w:rsidRPr="00E66716">
        <w:rPr>
          <w:lang w:val="fr-FR"/>
        </w:rPr>
        <w:t xml:space="preserve">activités, produits et services </w:t>
      </w:r>
      <w:r w:rsidR="002E0D2F" w:rsidRPr="00E66716">
        <w:rPr>
          <w:lang w:val="fr-FR"/>
        </w:rPr>
        <w:t xml:space="preserve">durables </w:t>
      </w:r>
      <w:r w:rsidRPr="00E66716">
        <w:rPr>
          <w:lang w:val="fr-FR"/>
        </w:rPr>
        <w:t>fo</w:t>
      </w:r>
      <w:r w:rsidR="002E0D2F" w:rsidRPr="00E66716">
        <w:rPr>
          <w:lang w:val="fr-FR"/>
        </w:rPr>
        <w:t>n</w:t>
      </w:r>
      <w:r w:rsidRPr="00E66716">
        <w:rPr>
          <w:lang w:val="fr-FR"/>
        </w:rPr>
        <w:t>d</w:t>
      </w:r>
      <w:r w:rsidR="002E0D2F" w:rsidRPr="00E66716">
        <w:rPr>
          <w:lang w:val="fr-FR"/>
        </w:rPr>
        <w:t>és sur la biodiversité qui amél</w:t>
      </w:r>
      <w:r w:rsidRPr="00E66716">
        <w:rPr>
          <w:lang w:val="fr-FR"/>
        </w:rPr>
        <w:t>iorent la biodiversité</w:t>
      </w:r>
      <w:r w:rsidR="00247814" w:rsidRPr="00E66716">
        <w:rPr>
          <w:lang w:val="fr-FR"/>
        </w:rPr>
        <w:t>,</w:t>
      </w:r>
      <w:r w:rsidR="003B1346">
        <w:rPr>
          <w:lang w:val="fr-FR"/>
        </w:rPr>
        <w:t xml:space="preserve"> au sein des </w:t>
      </w:r>
      <w:r w:rsidR="001E46E0">
        <w:rPr>
          <w:lang w:val="fr-FR"/>
        </w:rPr>
        <w:t>économies locales</w:t>
      </w:r>
      <w:r w:rsidR="00F83234">
        <w:rPr>
          <w:lang w:val="fr-FR"/>
        </w:rPr>
        <w:t xml:space="preserve"> et des</w:t>
      </w:r>
      <w:r w:rsidR="001E46E0">
        <w:rPr>
          <w:lang w:val="fr-FR"/>
        </w:rPr>
        <w:t xml:space="preserve"> com</w:t>
      </w:r>
      <w:r w:rsidR="004744A4">
        <w:rPr>
          <w:lang w:val="fr-FR"/>
        </w:rPr>
        <w:t>munautés autochtones et rurales</w:t>
      </w:r>
      <w:r w:rsidR="001E46E0">
        <w:rPr>
          <w:lang w:val="fr-FR"/>
        </w:rPr>
        <w:t>[</w:t>
      </w:r>
      <w:r w:rsidR="004744A4">
        <w:rPr>
          <w:lang w:val="fr-FR"/>
        </w:rPr>
        <w:t xml:space="preserve">, </w:t>
      </w:r>
      <w:r w:rsidR="001E46E0">
        <w:rPr>
          <w:lang w:val="fr-FR"/>
        </w:rPr>
        <w:t xml:space="preserve">ainsi que de mécanismes de certification de commerce équitable et durable], [et][y compris, selon qu’il convient,] </w:t>
      </w:r>
      <w:r w:rsidR="005231B9">
        <w:rPr>
          <w:lang w:val="fr-FR"/>
        </w:rPr>
        <w:t>de la [bioéconomie][</w:t>
      </w:r>
      <w:r w:rsidR="00B765BF">
        <w:rPr>
          <w:lang w:val="fr-FR"/>
        </w:rPr>
        <w:t xml:space="preserve"> </w:t>
      </w:r>
      <w:r w:rsidR="005231B9">
        <w:rPr>
          <w:lang w:val="fr-FR"/>
        </w:rPr>
        <w:t xml:space="preserve">circulaire et durable] </w:t>
      </w:r>
      <w:r w:rsidRPr="00E66716">
        <w:rPr>
          <w:lang w:val="fr-FR"/>
        </w:rPr>
        <w:t xml:space="preserve">en </w:t>
      </w:r>
      <w:r w:rsidR="002E0D2F" w:rsidRPr="00E66716">
        <w:rPr>
          <w:lang w:val="fr-FR"/>
        </w:rPr>
        <w:t>s’appuyant sur</w:t>
      </w:r>
      <w:r w:rsidR="00F726A5">
        <w:rPr>
          <w:lang w:val="fr-FR"/>
        </w:rPr>
        <w:t xml:space="preserve"> </w:t>
      </w:r>
      <w:r w:rsidR="005231B9">
        <w:rPr>
          <w:lang w:val="fr-FR"/>
        </w:rPr>
        <w:t>[les informations provenant des Parties et</w:t>
      </w:r>
      <w:r w:rsidR="00F726A5">
        <w:rPr>
          <w:lang w:val="fr-FR"/>
        </w:rPr>
        <w:t xml:space="preserve"> </w:t>
      </w:r>
      <w:r w:rsidR="005231B9">
        <w:rPr>
          <w:lang w:val="fr-FR"/>
        </w:rPr>
        <w:t>]</w:t>
      </w:r>
      <w:r w:rsidR="002E0D2F" w:rsidRPr="00E66716">
        <w:rPr>
          <w:lang w:val="fr-FR"/>
        </w:rPr>
        <w:t xml:space="preserve">les contributions </w:t>
      </w:r>
      <w:r w:rsidR="008F7136" w:rsidRPr="00E66716">
        <w:rPr>
          <w:lang w:val="fr-FR"/>
        </w:rPr>
        <w:t>à l’examen mondial d</w:t>
      </w:r>
      <w:r w:rsidR="005231B9">
        <w:rPr>
          <w:lang w:val="fr-FR"/>
        </w:rPr>
        <w:t xml:space="preserve">es progrès </w:t>
      </w:r>
      <w:r w:rsidR="008F7136" w:rsidRPr="00E66716">
        <w:rPr>
          <w:lang w:val="fr-FR"/>
        </w:rPr>
        <w:lastRenderedPageBreak/>
        <w:t>collectif</w:t>
      </w:r>
      <w:r w:rsidR="005231B9">
        <w:rPr>
          <w:lang w:val="fr-FR"/>
        </w:rPr>
        <w:t>s</w:t>
      </w:r>
      <w:r w:rsidR="008F7136" w:rsidRPr="00E66716">
        <w:rPr>
          <w:lang w:val="fr-FR"/>
        </w:rPr>
        <w:t xml:space="preserve"> utilisé dans la mise en œuvre du Cadre mondial de la biodiversité de Kunming-Montréal</w:t>
      </w:r>
      <w:r w:rsidR="0057528F" w:rsidRPr="00E66716">
        <w:rPr>
          <w:rStyle w:val="FootnoteReference"/>
          <w:lang w:val="fr-FR"/>
        </w:rPr>
        <w:footnoteReference w:id="18"/>
      </w:r>
      <w:r w:rsidR="001E46E0">
        <w:rPr>
          <w:lang w:val="fr-FR"/>
        </w:rPr>
        <w:t>,</w:t>
      </w:r>
      <w:r w:rsidR="00C25933" w:rsidRPr="00E66716">
        <w:rPr>
          <w:lang w:val="fr-FR"/>
        </w:rPr>
        <w:t xml:space="preserve"> </w:t>
      </w:r>
    </w:p>
    <w:p w14:paraId="55E09D66" w14:textId="115720C3" w:rsidR="00C25933" w:rsidRPr="00E66716" w:rsidRDefault="00451BD4" w:rsidP="00341D83">
      <w:pPr>
        <w:pStyle w:val="CBDNormalNoNumber"/>
        <w:numPr>
          <w:ilvl w:val="0"/>
          <w:numId w:val="7"/>
        </w:numPr>
        <w:tabs>
          <w:tab w:val="clear" w:pos="567"/>
        </w:tabs>
        <w:ind w:left="1134" w:firstLine="567"/>
        <w:rPr>
          <w:lang w:val="fr-FR"/>
        </w:rPr>
      </w:pPr>
      <w:r>
        <w:rPr>
          <w:lang w:val="fr-FR"/>
        </w:rPr>
        <w:t>Organiser</w:t>
      </w:r>
      <w:r w:rsidR="001A15B8">
        <w:rPr>
          <w:lang w:val="fr-FR"/>
        </w:rPr>
        <w:t>,</w:t>
      </w:r>
      <w:r>
        <w:rPr>
          <w:lang w:val="fr-FR"/>
        </w:rPr>
        <w:t xml:space="preserve"> à</w:t>
      </w:r>
      <w:r w:rsidR="008F7136" w:rsidRPr="00E66716">
        <w:rPr>
          <w:lang w:val="fr-FR"/>
        </w:rPr>
        <w:t xml:space="preserve"> partir des conclusions de l’examen</w:t>
      </w:r>
      <w:r w:rsidR="001A15B8">
        <w:rPr>
          <w:lang w:val="fr-FR"/>
        </w:rPr>
        <w:t>,</w:t>
      </w:r>
      <w:r w:rsidR="008F7136" w:rsidRPr="00E66716">
        <w:rPr>
          <w:lang w:val="fr-FR"/>
        </w:rPr>
        <w:t xml:space="preserve"> un atelier d’experts visant à fournir des avis t</w:t>
      </w:r>
      <w:r w:rsidR="00247814" w:rsidRPr="00E66716">
        <w:rPr>
          <w:lang w:val="fr-FR"/>
        </w:rPr>
        <w:t>e</w:t>
      </w:r>
      <w:r w:rsidR="008F7136" w:rsidRPr="00E66716">
        <w:rPr>
          <w:lang w:val="fr-FR"/>
        </w:rPr>
        <w:t xml:space="preserve">chniques </w:t>
      </w:r>
      <w:r w:rsidR="005231B9">
        <w:rPr>
          <w:lang w:val="fr-FR"/>
        </w:rPr>
        <w:t xml:space="preserve">et scientifiques </w:t>
      </w:r>
      <w:r w:rsidR="008F7136" w:rsidRPr="00E66716">
        <w:rPr>
          <w:lang w:val="fr-FR"/>
        </w:rPr>
        <w:t xml:space="preserve">sur la définition, la portée et les éléments du </w:t>
      </w:r>
      <w:r w:rsidR="00247814" w:rsidRPr="00E66716">
        <w:rPr>
          <w:lang w:val="fr-FR"/>
        </w:rPr>
        <w:t>concept d’</w:t>
      </w:r>
      <w:r w:rsidR="008F7136" w:rsidRPr="00E66716">
        <w:rPr>
          <w:lang w:val="fr-FR"/>
        </w:rPr>
        <w:t>activit</w:t>
      </w:r>
      <w:r w:rsidR="00247814" w:rsidRPr="00E66716">
        <w:rPr>
          <w:lang w:val="fr-FR"/>
        </w:rPr>
        <w:t xml:space="preserve">és, produits et </w:t>
      </w:r>
      <w:r w:rsidR="008F7136" w:rsidRPr="00E66716">
        <w:rPr>
          <w:lang w:val="fr-FR"/>
        </w:rPr>
        <w:t>services durab</w:t>
      </w:r>
      <w:r w:rsidR="00247814" w:rsidRPr="00E66716">
        <w:rPr>
          <w:lang w:val="fr-FR"/>
        </w:rPr>
        <w:t>l</w:t>
      </w:r>
      <w:r w:rsidR="008F7136" w:rsidRPr="00E66716">
        <w:rPr>
          <w:lang w:val="fr-FR"/>
        </w:rPr>
        <w:t>es</w:t>
      </w:r>
      <w:r w:rsidR="00247814" w:rsidRPr="00E66716">
        <w:rPr>
          <w:lang w:val="fr-FR"/>
        </w:rPr>
        <w:t xml:space="preserve"> fondés sur la biodiversité</w:t>
      </w:r>
      <w:r w:rsidR="005231B9">
        <w:rPr>
          <w:lang w:val="fr-FR"/>
        </w:rPr>
        <w:t>, qui améliorent la biodiversité</w:t>
      </w:r>
      <w:r w:rsidR="00CC612B">
        <w:rPr>
          <w:lang w:val="fr-FR"/>
        </w:rPr>
        <w:t>[</w:t>
      </w:r>
      <w:r w:rsidR="005231B9">
        <w:rPr>
          <w:lang w:val="fr-FR"/>
        </w:rPr>
        <w:t xml:space="preserve"> et la [contribution éventuelle de la</w:t>
      </w:r>
      <w:r w:rsidR="001A54B2">
        <w:rPr>
          <w:lang w:val="fr-FR"/>
        </w:rPr>
        <w:t xml:space="preserve"> </w:t>
      </w:r>
      <w:r w:rsidR="005231B9">
        <w:rPr>
          <w:lang w:val="fr-FR"/>
        </w:rPr>
        <w:t>bioéconomie</w:t>
      </w:r>
      <w:r w:rsidR="00C74344">
        <w:rPr>
          <w:lang w:val="fr-FR"/>
        </w:rPr>
        <w:t xml:space="preserve"> circulaire et durable inclusive</w:t>
      </w:r>
      <w:r w:rsidR="004256B7">
        <w:rPr>
          <w:lang w:val="fr-FR"/>
        </w:rPr>
        <w:t>]</w:t>
      </w:r>
      <w:r w:rsidR="003D7C8B">
        <w:rPr>
          <w:lang w:val="fr-FR"/>
        </w:rPr>
        <w:t>[bioéconomie][ circulaire et durable]</w:t>
      </w:r>
      <w:r w:rsidR="000015FE">
        <w:rPr>
          <w:lang w:val="fr-FR"/>
        </w:rPr>
        <w:t>]</w:t>
      </w:r>
      <w:r w:rsidR="005231B9">
        <w:rPr>
          <w:lang w:val="fr-FR"/>
        </w:rPr>
        <w:t xml:space="preserve"> </w:t>
      </w:r>
      <w:r w:rsidR="00247814" w:rsidRPr="00E66716">
        <w:rPr>
          <w:lang w:val="fr-FR"/>
        </w:rPr>
        <w:t>et de préparer un rapport pour examen par l’Organe subsidiaire chargé de fournir des avis scientifiques, techniques et technologiques lors d’u</w:t>
      </w:r>
      <w:r w:rsidR="001524BA" w:rsidRPr="00E66716">
        <w:rPr>
          <w:lang w:val="fr-FR"/>
        </w:rPr>
        <w:t>ne réunion qui précédera la dix-</w:t>
      </w:r>
      <w:r w:rsidR="00247814" w:rsidRPr="00E66716">
        <w:rPr>
          <w:lang w:val="fr-FR"/>
        </w:rPr>
        <w:t>huitième réunion de la Conférence des Parties</w:t>
      </w:r>
      <w:r w:rsidR="009B1F76">
        <w:rPr>
          <w:lang w:val="fr-FR"/>
        </w:rPr>
        <w:t>.]</w:t>
      </w:r>
    </w:p>
    <w:p w14:paraId="25033E67" w14:textId="7BA2CF4E" w:rsidR="00C25933" w:rsidRPr="00E66716" w:rsidRDefault="005231B9" w:rsidP="000D6E57">
      <w:pPr>
        <w:pStyle w:val="CBDNormalNoNumber"/>
        <w:keepNext/>
        <w:tabs>
          <w:tab w:val="clear" w:pos="567"/>
        </w:tabs>
        <w:ind w:left="1134"/>
        <w:jc w:val="left"/>
        <w:rPr>
          <w:b/>
          <w:bCs/>
          <w:lang w:val="fr-FR"/>
        </w:rPr>
      </w:pPr>
      <w:r>
        <w:rPr>
          <w:b/>
          <w:bCs/>
          <w:lang w:val="fr-FR"/>
        </w:rPr>
        <w:t>[</w:t>
      </w:r>
      <w:r w:rsidR="00BF2D23" w:rsidRPr="00E66716">
        <w:rPr>
          <w:b/>
          <w:bCs/>
          <w:lang w:val="fr-FR"/>
        </w:rPr>
        <w:t>D</w:t>
      </w:r>
      <w:r w:rsidR="00BF2D23" w:rsidRPr="00E66716">
        <w:rPr>
          <w:b/>
          <w:bCs/>
          <w:lang w:val="fr-FR"/>
        </w:rPr>
        <w:br/>
      </w:r>
      <w:r w:rsidR="008D710F" w:rsidRPr="00E66716">
        <w:rPr>
          <w:b/>
          <w:lang w:val="fr-FR"/>
        </w:rPr>
        <w:t>Approche fondée sur l’équité, l’égalité des genres et les droits de la personne en lien avec la conservation et l’utilisation durable de la biodiversité, ainsi que sur le partage juste et équitable des avantages découlant de l’utilisation des ressources génétiques</w:t>
      </w:r>
    </w:p>
    <w:p w14:paraId="0A98F695" w14:textId="0047E6DF" w:rsidR="00BF2D23" w:rsidRDefault="008D710F" w:rsidP="00BF2D23">
      <w:pPr>
        <w:pStyle w:val="CBDNormalNoNumber"/>
        <w:tabs>
          <w:tab w:val="clear" w:pos="567"/>
        </w:tabs>
        <w:ind w:left="1134" w:firstLine="567"/>
        <w:rPr>
          <w:lang w:val="fr-FR"/>
        </w:rPr>
      </w:pPr>
      <w:r w:rsidRPr="00E66716">
        <w:rPr>
          <w:i/>
          <w:iCs/>
          <w:lang w:val="fr-FR"/>
        </w:rPr>
        <w:t>La Conférence des Parties</w:t>
      </w:r>
      <w:r w:rsidR="00BF2D23" w:rsidRPr="00E66716" w:rsidDel="0015022C">
        <w:rPr>
          <w:lang w:val="fr-FR"/>
        </w:rPr>
        <w:t>,</w:t>
      </w:r>
    </w:p>
    <w:p w14:paraId="62CF3CB7" w14:textId="1A978D1E" w:rsidR="005231B9" w:rsidRPr="005231B9" w:rsidDel="0015022C" w:rsidRDefault="005231B9" w:rsidP="00BF2D23">
      <w:pPr>
        <w:pStyle w:val="CBDNormalNoNumber"/>
        <w:tabs>
          <w:tab w:val="clear" w:pos="567"/>
        </w:tabs>
        <w:ind w:left="1134" w:firstLine="567"/>
        <w:rPr>
          <w:lang w:val="fr-FR"/>
        </w:rPr>
      </w:pPr>
      <w:r>
        <w:rPr>
          <w:i/>
          <w:iCs/>
          <w:lang w:val="fr-FR"/>
        </w:rPr>
        <w:t xml:space="preserve">Rappelant </w:t>
      </w:r>
      <w:r w:rsidR="00AF736E">
        <w:rPr>
          <w:lang w:val="fr-FR"/>
        </w:rPr>
        <w:t>sa</w:t>
      </w:r>
      <w:r>
        <w:rPr>
          <w:lang w:val="fr-FR"/>
        </w:rPr>
        <w:t xml:space="preserve"> décision </w:t>
      </w:r>
      <w:hyperlink r:id="rId20" w:history="1">
        <w:r w:rsidR="00AB1F38" w:rsidRPr="00AB1F38">
          <w:rPr>
            <w:rStyle w:val="Hyperlink"/>
            <w:lang w:val="fr-CA"/>
          </w:rPr>
          <w:t>16/35</w:t>
        </w:r>
      </w:hyperlink>
      <w:r w:rsidR="00AB1F38" w:rsidRPr="00AB1F38">
        <w:rPr>
          <w:rStyle w:val="Hyperlink"/>
          <w:lang w:val="fr-CA"/>
        </w:rPr>
        <w:t xml:space="preserve"> </w:t>
      </w:r>
      <w:r w:rsidR="00AF736E">
        <w:rPr>
          <w:lang w:val="fr-FR"/>
        </w:rPr>
        <w:t xml:space="preserve">du 27 février 2025, dans laquelle elle invite </w:t>
      </w:r>
      <w:r>
        <w:rPr>
          <w:lang w:val="fr-FR"/>
        </w:rPr>
        <w:t xml:space="preserve">le Bureau du </w:t>
      </w:r>
      <w:r w:rsidRPr="00E66716">
        <w:rPr>
          <w:lang w:val="fr-FR"/>
        </w:rPr>
        <w:t>Haut-Commissariat des Nations Unies aux droits de l’homme</w:t>
      </w:r>
      <w:r>
        <w:rPr>
          <w:lang w:val="fr-FR"/>
        </w:rPr>
        <w:t xml:space="preserve"> </w:t>
      </w:r>
      <w:r w:rsidRPr="00E66716">
        <w:rPr>
          <w:lang w:val="fr-FR"/>
        </w:rPr>
        <w:t xml:space="preserve">à élaborer des outils et des orientations sur une approche </w:t>
      </w:r>
      <w:r w:rsidR="00C74344">
        <w:rPr>
          <w:lang w:val="fr-FR"/>
        </w:rPr>
        <w:t>de</w:t>
      </w:r>
      <w:r w:rsidRPr="00E66716">
        <w:rPr>
          <w:lang w:val="fr-FR"/>
        </w:rPr>
        <w:t xml:space="preserve"> la mise en œuvre du </w:t>
      </w:r>
      <w:r w:rsidR="00AF736E">
        <w:rPr>
          <w:lang w:val="fr-FR"/>
        </w:rPr>
        <w:t>Cadre mondial de la biodiversité de Kunming-Montréal</w:t>
      </w:r>
      <w:r w:rsidR="00AF736E" w:rsidRPr="00516AA9">
        <w:rPr>
          <w:rStyle w:val="FootnoteReference"/>
        </w:rPr>
        <w:footnoteReference w:id="19"/>
      </w:r>
      <w:r w:rsidR="00C74344">
        <w:rPr>
          <w:lang w:val="fr-FR"/>
        </w:rPr>
        <w:t xml:space="preserve"> </w:t>
      </w:r>
      <w:r w:rsidR="00C74344" w:rsidRPr="00E66716">
        <w:rPr>
          <w:lang w:val="fr-FR"/>
        </w:rPr>
        <w:t>fondée sur les droits humains</w:t>
      </w:r>
      <w:r w:rsidRPr="00E66716">
        <w:rPr>
          <w:lang w:val="fr-FR"/>
        </w:rPr>
        <w:t xml:space="preserve"> et à transmettre les résultats au Secrétariat,</w:t>
      </w:r>
    </w:p>
    <w:p w14:paraId="087DC1EC" w14:textId="0DFC62E9" w:rsidR="00C25933" w:rsidRPr="00E66716" w:rsidRDefault="008D710F" w:rsidP="000D6E57">
      <w:pPr>
        <w:pStyle w:val="CBDNormalNoNumber"/>
        <w:tabs>
          <w:tab w:val="clear" w:pos="567"/>
        </w:tabs>
        <w:ind w:left="1134" w:firstLine="567"/>
        <w:rPr>
          <w:lang w:val="fr-FR"/>
        </w:rPr>
      </w:pPr>
      <w:r w:rsidRPr="00E66716">
        <w:rPr>
          <w:i/>
          <w:iCs/>
          <w:lang w:val="fr-FR"/>
        </w:rPr>
        <w:t xml:space="preserve">Prenant note </w:t>
      </w:r>
      <w:r w:rsidRPr="00E66716">
        <w:rPr>
          <w:iCs/>
          <w:lang w:val="fr-FR"/>
        </w:rPr>
        <w:t xml:space="preserve">de l’étude analytique mondiale sur la mise en œuvre d’une approche fondée sur les droits humains pour les buts et la cibles du Cadre </w:t>
      </w:r>
      <w:r w:rsidRPr="00E66716">
        <w:rPr>
          <w:lang w:val="fr-FR"/>
        </w:rPr>
        <w:t>ré</w:t>
      </w:r>
      <w:r w:rsidR="004A4ABB" w:rsidRPr="00E66716">
        <w:rPr>
          <w:lang w:val="fr-FR"/>
        </w:rPr>
        <w:t>alisée par le Haut-Commissariat des Nations Unies aux droits de l’homme</w:t>
      </w:r>
      <w:r w:rsidR="00C25933" w:rsidRPr="00E66716">
        <w:rPr>
          <w:lang w:val="fr-FR"/>
        </w:rPr>
        <w:t xml:space="preserve">, </w:t>
      </w:r>
    </w:p>
    <w:p w14:paraId="44C5604D" w14:textId="77777777" w:rsidR="001331B3" w:rsidRDefault="001A33DA" w:rsidP="000D6E57">
      <w:pPr>
        <w:pStyle w:val="CBDNormalNoNumber"/>
        <w:tabs>
          <w:tab w:val="clear" w:pos="567"/>
        </w:tabs>
        <w:ind w:left="1134" w:firstLine="567"/>
        <w:rPr>
          <w:iCs/>
          <w:lang w:val="fr-FR"/>
        </w:rPr>
      </w:pPr>
      <w:r>
        <w:rPr>
          <w:i/>
          <w:iCs/>
          <w:lang w:val="fr-FR"/>
        </w:rPr>
        <w:t>P</w:t>
      </w:r>
      <w:r w:rsidR="004A4ABB" w:rsidRPr="00E66716">
        <w:rPr>
          <w:i/>
          <w:iCs/>
          <w:lang w:val="fr-FR"/>
        </w:rPr>
        <w:t xml:space="preserve">rie </w:t>
      </w:r>
      <w:r w:rsidR="004A4ABB" w:rsidRPr="00E66716">
        <w:rPr>
          <w:iCs/>
          <w:lang w:val="fr-FR"/>
        </w:rPr>
        <w:t>la Secrétaire exécutive</w:t>
      </w:r>
      <w:r w:rsidR="00B12100">
        <w:rPr>
          <w:iCs/>
          <w:lang w:val="fr-FR"/>
        </w:rPr>
        <w:t xml:space="preserve">, </w:t>
      </w:r>
      <w:r w:rsidR="00D379E1">
        <w:rPr>
          <w:iCs/>
          <w:lang w:val="fr-FR"/>
        </w:rPr>
        <w:t>sous réserve de</w:t>
      </w:r>
      <w:r w:rsidR="00B12100" w:rsidRPr="00E66716">
        <w:rPr>
          <w:iCs/>
          <w:lang w:val="fr-FR"/>
        </w:rPr>
        <w:t xml:space="preserve"> la disponibilité des ressources</w:t>
      </w:r>
      <w:r w:rsidR="00B12100">
        <w:rPr>
          <w:iCs/>
          <w:lang w:val="fr-FR"/>
        </w:rPr>
        <w:t>, de</w:t>
      </w:r>
      <w:r w:rsidR="001331B3">
        <w:rPr>
          <w:iCs/>
          <w:lang w:val="fr-FR"/>
        </w:rPr>
        <w:t> :</w:t>
      </w:r>
    </w:p>
    <w:p w14:paraId="2FC02A7E" w14:textId="371B8769" w:rsidR="008A74BA" w:rsidRPr="008A74BA" w:rsidRDefault="001331B3" w:rsidP="00665082">
      <w:pPr>
        <w:pStyle w:val="CBDNormalNoNumber"/>
        <w:numPr>
          <w:ilvl w:val="0"/>
          <w:numId w:val="8"/>
        </w:numPr>
        <w:tabs>
          <w:tab w:val="clear" w:pos="567"/>
        </w:tabs>
        <w:ind w:left="1134" w:firstLine="567"/>
        <w:rPr>
          <w:lang w:val="fr-FR"/>
        </w:rPr>
      </w:pPr>
      <w:r>
        <w:rPr>
          <w:iCs/>
          <w:lang w:val="fr-FR"/>
        </w:rPr>
        <w:t>É</w:t>
      </w:r>
      <w:r w:rsidR="00B12100">
        <w:rPr>
          <w:iCs/>
          <w:lang w:val="fr-FR"/>
        </w:rPr>
        <w:t xml:space="preserve">laborer </w:t>
      </w:r>
      <w:r w:rsidR="004A4ABB" w:rsidRPr="00E66716">
        <w:rPr>
          <w:iCs/>
          <w:lang w:val="fr-FR"/>
        </w:rPr>
        <w:t>une proposition d</w:t>
      </w:r>
      <w:r w:rsidR="00C74344">
        <w:rPr>
          <w:iCs/>
          <w:lang w:val="fr-FR"/>
        </w:rPr>
        <w:t>’éventuels travaux su</w:t>
      </w:r>
      <w:r w:rsidR="004A4ABB" w:rsidRPr="00E66716">
        <w:rPr>
          <w:iCs/>
          <w:lang w:val="fr-FR"/>
        </w:rPr>
        <w:t>pplé</w:t>
      </w:r>
      <w:r w:rsidR="000D034C" w:rsidRPr="00E66716">
        <w:rPr>
          <w:iCs/>
          <w:lang w:val="fr-FR"/>
        </w:rPr>
        <w:t>mentaire</w:t>
      </w:r>
      <w:r w:rsidR="00C74344">
        <w:rPr>
          <w:iCs/>
          <w:lang w:val="fr-FR"/>
        </w:rPr>
        <w:t>s</w:t>
      </w:r>
      <w:r w:rsidR="000D034C" w:rsidRPr="00E66716">
        <w:rPr>
          <w:iCs/>
          <w:lang w:val="fr-FR"/>
        </w:rPr>
        <w:t xml:space="preserve"> sur </w:t>
      </w:r>
      <w:r w:rsidR="00B12100">
        <w:rPr>
          <w:iCs/>
          <w:lang w:val="fr-FR"/>
        </w:rPr>
        <w:t xml:space="preserve">l’équité, l’égalité des genres et </w:t>
      </w:r>
      <w:r w:rsidR="000D034C" w:rsidRPr="00E66716">
        <w:rPr>
          <w:iCs/>
          <w:lang w:val="fr-FR"/>
        </w:rPr>
        <w:t xml:space="preserve">l’approche fondée sur les droits humains, comprenant l’équité intergénérationnelle et de genre, en tenant compte </w:t>
      </w:r>
      <w:r w:rsidR="00B12100">
        <w:rPr>
          <w:iCs/>
          <w:lang w:val="fr-FR"/>
        </w:rPr>
        <w:t xml:space="preserve">de l’examen à mi-parcours du </w:t>
      </w:r>
      <w:r w:rsidR="00B12100" w:rsidRPr="00E66716">
        <w:rPr>
          <w:iCs/>
          <w:lang w:val="fr-FR"/>
        </w:rPr>
        <w:t>Plan d’action relatif aux questions de genr</w:t>
      </w:r>
      <w:r w:rsidR="00B12100">
        <w:rPr>
          <w:iCs/>
          <w:lang w:val="fr-FR"/>
        </w:rPr>
        <w:t>e</w:t>
      </w:r>
      <w:r w:rsidR="00012D3B">
        <w:rPr>
          <w:iCs/>
          <w:lang w:val="fr-FR"/>
        </w:rPr>
        <w:t xml:space="preserve"> (2023-2030)</w:t>
      </w:r>
      <w:r w:rsidR="004D3DDF">
        <w:rPr>
          <w:rStyle w:val="FootnoteReference"/>
        </w:rPr>
        <w:footnoteReference w:id="20"/>
      </w:r>
      <w:r w:rsidR="00B12100">
        <w:rPr>
          <w:iCs/>
          <w:lang w:val="fr-FR"/>
        </w:rPr>
        <w:t xml:space="preserve">, </w:t>
      </w:r>
      <w:r w:rsidR="000D034C" w:rsidRPr="00E66716">
        <w:rPr>
          <w:iCs/>
          <w:lang w:val="fr-FR"/>
        </w:rPr>
        <w:t xml:space="preserve">de l’étude analytique mondiale sur la mise en œuvre de l’approche fondée sur les droits humains pour les buts et les cibles du Cadre mondial de la biodiversité de Kunming-Montréal réalisée par le Haut-Commissariat des Nations Unies aux droits de l’homme, </w:t>
      </w:r>
      <w:r w:rsidR="00B12100">
        <w:rPr>
          <w:iCs/>
          <w:lang w:val="fr-FR"/>
        </w:rPr>
        <w:t>ainsi que d’autres outils d’information, orientations et évaluations pertinents</w:t>
      </w:r>
      <w:r w:rsidR="00166F98">
        <w:rPr>
          <w:iCs/>
          <w:lang w:val="fr-FR"/>
        </w:rPr>
        <w:t> ;</w:t>
      </w:r>
      <w:r w:rsidR="000D034C" w:rsidRPr="00E66716">
        <w:rPr>
          <w:iCs/>
          <w:lang w:val="fr-FR"/>
        </w:rPr>
        <w:t xml:space="preserve"> </w:t>
      </w:r>
    </w:p>
    <w:p w14:paraId="21E86129" w14:textId="36EEE9C1" w:rsidR="00C25933" w:rsidRPr="00E66716" w:rsidRDefault="00E87EBA" w:rsidP="00665082">
      <w:pPr>
        <w:pStyle w:val="CBDNormalNoNumber"/>
        <w:numPr>
          <w:ilvl w:val="0"/>
          <w:numId w:val="8"/>
        </w:numPr>
        <w:tabs>
          <w:tab w:val="clear" w:pos="567"/>
        </w:tabs>
        <w:ind w:left="1134" w:firstLine="567"/>
        <w:rPr>
          <w:lang w:val="fr-FR"/>
        </w:rPr>
      </w:pPr>
      <w:r>
        <w:rPr>
          <w:iCs/>
          <w:lang w:val="fr-FR"/>
        </w:rPr>
        <w:t xml:space="preserve">Soumettre </w:t>
      </w:r>
      <w:r w:rsidR="00E52C9D">
        <w:rPr>
          <w:iCs/>
          <w:lang w:val="fr-FR"/>
        </w:rPr>
        <w:t xml:space="preserve">cette </w:t>
      </w:r>
      <w:r w:rsidR="000D034C" w:rsidRPr="00E66716">
        <w:rPr>
          <w:iCs/>
          <w:lang w:val="fr-FR"/>
        </w:rPr>
        <w:t xml:space="preserve">proposition pour examen par l’Organe subsidiaire chargé de fournir des avis scientifiques, techniques et technologiques et l’Organe subsidiaire </w:t>
      </w:r>
      <w:r w:rsidR="00DE2CA0">
        <w:rPr>
          <w:iCs/>
          <w:lang w:val="fr-FR"/>
        </w:rPr>
        <w:t>chargé de</w:t>
      </w:r>
      <w:r w:rsidR="000D034C" w:rsidRPr="00E66716">
        <w:rPr>
          <w:iCs/>
          <w:lang w:val="fr-FR"/>
        </w:rPr>
        <w:t xml:space="preserve"> l’article</w:t>
      </w:r>
      <w:r w:rsidR="00612A1F">
        <w:rPr>
          <w:iCs/>
          <w:lang w:val="fr-FR"/>
        </w:rPr>
        <w:t> </w:t>
      </w:r>
      <w:r w:rsidR="000D034C" w:rsidRPr="00E66716">
        <w:rPr>
          <w:iCs/>
          <w:lang w:val="fr-FR"/>
        </w:rPr>
        <w:t>8</w:t>
      </w:r>
      <w:r w:rsidR="00612A1F">
        <w:rPr>
          <w:iCs/>
          <w:lang w:val="fr-FR"/>
        </w:rPr>
        <w:t> </w:t>
      </w:r>
      <w:r w:rsidR="000D034C" w:rsidRPr="00E66716">
        <w:rPr>
          <w:iCs/>
          <w:lang w:val="fr-FR"/>
        </w:rPr>
        <w:t>j) et autres dispositions de la Convention sur la diversité biologique</w:t>
      </w:r>
      <w:r w:rsidR="00610D85">
        <w:rPr>
          <w:rStyle w:val="FootnoteReference"/>
          <w:iCs/>
        </w:rPr>
        <w:footnoteReference w:id="21"/>
      </w:r>
      <w:r w:rsidR="000D034C" w:rsidRPr="00E66716">
        <w:rPr>
          <w:iCs/>
          <w:lang w:val="fr-FR"/>
        </w:rPr>
        <w:t xml:space="preserve"> relatives aux peuples autochtones et communautés locales lors d’une réunion précédant la dix-huitième réunion de la Conf</w:t>
      </w:r>
      <w:r w:rsidR="00012D3B">
        <w:rPr>
          <w:iCs/>
          <w:lang w:val="fr-FR"/>
        </w:rPr>
        <w:t>érence des Parties</w:t>
      </w:r>
      <w:r w:rsidR="00012D3B">
        <w:rPr>
          <w:lang w:val="fr-FR"/>
        </w:rPr>
        <w:t>.</w:t>
      </w:r>
      <w:r w:rsidR="00AC47C6">
        <w:rPr>
          <w:lang w:val="fr-FR"/>
        </w:rPr>
        <w:t>]</w:t>
      </w:r>
    </w:p>
    <w:p w14:paraId="6AE413CB" w14:textId="353F0762" w:rsidR="00C25933" w:rsidRPr="00E66716" w:rsidRDefault="00BF2D23" w:rsidP="000D6E57">
      <w:pPr>
        <w:pStyle w:val="CBDNormalNoNumber"/>
        <w:keepNext/>
        <w:tabs>
          <w:tab w:val="clear" w:pos="567"/>
        </w:tabs>
        <w:ind w:left="1134"/>
        <w:jc w:val="left"/>
        <w:rPr>
          <w:b/>
          <w:bCs/>
          <w:lang w:val="fr-FR"/>
        </w:rPr>
      </w:pPr>
      <w:r w:rsidRPr="00E66716">
        <w:rPr>
          <w:b/>
          <w:bCs/>
          <w:lang w:val="fr-FR"/>
        </w:rPr>
        <w:t>E</w:t>
      </w:r>
      <w:r w:rsidRPr="00E66716">
        <w:rPr>
          <w:b/>
          <w:bCs/>
          <w:lang w:val="fr-FR"/>
        </w:rPr>
        <w:br/>
      </w:r>
      <w:r w:rsidR="00A911C8" w:rsidRPr="00E66716">
        <w:rPr>
          <w:b/>
          <w:lang w:val="fr-FR"/>
        </w:rPr>
        <w:t>Différents systèmes de valeur</w:t>
      </w:r>
      <w:r w:rsidR="001D2B35" w:rsidRPr="00E66716">
        <w:rPr>
          <w:b/>
          <w:lang w:val="fr-FR"/>
        </w:rPr>
        <w:t>s,</w:t>
      </w:r>
      <w:r w:rsidR="00A911C8" w:rsidRPr="00E66716">
        <w:rPr>
          <w:b/>
          <w:lang w:val="fr-FR"/>
        </w:rPr>
        <w:t xml:space="preserve"> comme indiqué à l’alinéa 7</w:t>
      </w:r>
      <w:r w:rsidR="00612A1F">
        <w:rPr>
          <w:b/>
          <w:lang w:val="fr-FR"/>
        </w:rPr>
        <w:t> </w:t>
      </w:r>
      <w:r w:rsidR="00A911C8" w:rsidRPr="00E66716">
        <w:rPr>
          <w:b/>
          <w:lang w:val="fr-FR"/>
        </w:rPr>
        <w:t xml:space="preserve">b) de la section C </w:t>
      </w:r>
      <w:r w:rsidR="00690B25">
        <w:rPr>
          <w:b/>
          <w:lang w:val="fr-FR"/>
        </w:rPr>
        <w:br/>
      </w:r>
      <w:r w:rsidR="00A911C8" w:rsidRPr="00E66716">
        <w:rPr>
          <w:b/>
          <w:lang w:val="fr-FR"/>
        </w:rPr>
        <w:t>du Cadre mondial de la biodiversité de Kunming-Montréal</w:t>
      </w:r>
      <w:r w:rsidR="00A911C8" w:rsidRPr="00E66716">
        <w:rPr>
          <w:lang w:val="fr-FR"/>
        </w:rPr>
        <w:t xml:space="preserve"> </w:t>
      </w:r>
    </w:p>
    <w:p w14:paraId="3899FEDF" w14:textId="46511222" w:rsidR="00BF2D23" w:rsidRPr="00E66716" w:rsidDel="0015022C" w:rsidRDefault="00A911C8" w:rsidP="00BF2D23">
      <w:pPr>
        <w:pStyle w:val="CBDNormalNoNumber"/>
        <w:tabs>
          <w:tab w:val="clear" w:pos="567"/>
        </w:tabs>
        <w:ind w:left="1134" w:firstLine="567"/>
        <w:rPr>
          <w:i/>
          <w:iCs/>
          <w:lang w:val="fr-FR"/>
        </w:rPr>
      </w:pPr>
      <w:r w:rsidRPr="00E66716">
        <w:rPr>
          <w:i/>
          <w:iCs/>
          <w:lang w:val="fr-FR"/>
        </w:rPr>
        <w:t>La Conférence des Parties</w:t>
      </w:r>
      <w:r w:rsidR="00BF2D23" w:rsidRPr="00E66716" w:rsidDel="0015022C">
        <w:rPr>
          <w:lang w:val="fr-FR"/>
        </w:rPr>
        <w:t>,</w:t>
      </w:r>
    </w:p>
    <w:p w14:paraId="4AD851E6" w14:textId="569520E7" w:rsidR="00C25933" w:rsidRPr="00E66716" w:rsidRDefault="00A911C8" w:rsidP="000D6E57">
      <w:pPr>
        <w:pStyle w:val="CBDNormalNoNumber"/>
        <w:tabs>
          <w:tab w:val="clear" w:pos="567"/>
        </w:tabs>
        <w:ind w:left="1134" w:firstLine="567"/>
        <w:rPr>
          <w:lang w:val="fr-FR"/>
        </w:rPr>
      </w:pPr>
      <w:r w:rsidRPr="00E66716">
        <w:rPr>
          <w:i/>
          <w:iCs/>
          <w:lang w:val="fr-FR"/>
        </w:rPr>
        <w:t>Rapp</w:t>
      </w:r>
      <w:r w:rsidR="00972A4D" w:rsidRPr="00E66716">
        <w:rPr>
          <w:i/>
          <w:iCs/>
          <w:lang w:val="fr-FR"/>
        </w:rPr>
        <w:t>e</w:t>
      </w:r>
      <w:r w:rsidRPr="00E66716">
        <w:rPr>
          <w:i/>
          <w:iCs/>
          <w:lang w:val="fr-FR"/>
        </w:rPr>
        <w:t xml:space="preserve">lant </w:t>
      </w:r>
      <w:r w:rsidRPr="00E66716">
        <w:rPr>
          <w:iCs/>
          <w:lang w:val="fr-FR"/>
        </w:rPr>
        <w:t>qu’</w:t>
      </w:r>
      <w:r w:rsidR="00012D3B">
        <w:rPr>
          <w:iCs/>
          <w:lang w:val="fr-FR"/>
        </w:rPr>
        <w:t xml:space="preserve">il est indiqué </w:t>
      </w:r>
      <w:r w:rsidR="00972A4D" w:rsidRPr="00E66716">
        <w:rPr>
          <w:iCs/>
          <w:lang w:val="fr-FR"/>
        </w:rPr>
        <w:t>à l’alinéa</w:t>
      </w:r>
      <w:r w:rsidR="00D569F8">
        <w:rPr>
          <w:iCs/>
          <w:lang w:val="fr-FR"/>
        </w:rPr>
        <w:t> </w:t>
      </w:r>
      <w:r w:rsidR="00972A4D" w:rsidRPr="00E66716">
        <w:rPr>
          <w:iCs/>
          <w:lang w:val="fr-FR"/>
        </w:rPr>
        <w:t>7</w:t>
      </w:r>
      <w:r w:rsidR="00612A1F">
        <w:rPr>
          <w:iCs/>
          <w:lang w:val="fr-FR"/>
        </w:rPr>
        <w:t> </w:t>
      </w:r>
      <w:r w:rsidR="00972A4D" w:rsidRPr="00E66716">
        <w:rPr>
          <w:iCs/>
          <w:lang w:val="fr-FR"/>
        </w:rPr>
        <w:t>b) de la section C du Cadre mondial de la biodiversité de Kunming-Montréal</w:t>
      </w:r>
      <w:r w:rsidR="007F4BD3" w:rsidRPr="00E66716">
        <w:rPr>
          <w:rStyle w:val="FootnoteReference"/>
          <w:lang w:val="fr-FR"/>
        </w:rPr>
        <w:footnoteReference w:id="22"/>
      </w:r>
      <w:r w:rsidR="00C25933" w:rsidRPr="00E66716">
        <w:rPr>
          <w:lang w:val="fr-FR"/>
        </w:rPr>
        <w:t xml:space="preserve"> </w:t>
      </w:r>
      <w:r w:rsidR="00972A4D" w:rsidRPr="00E66716">
        <w:rPr>
          <w:lang w:val="fr-FR"/>
        </w:rPr>
        <w:t xml:space="preserve">que sa mise en œuvre devrait tenir compte de différents </w:t>
      </w:r>
      <w:r w:rsidR="00972A4D" w:rsidRPr="00E66716">
        <w:rPr>
          <w:lang w:val="fr-FR"/>
        </w:rPr>
        <w:lastRenderedPageBreak/>
        <w:t>systèmes de valeur</w:t>
      </w:r>
      <w:r w:rsidR="001D2B35" w:rsidRPr="00E66716">
        <w:rPr>
          <w:lang w:val="fr-FR"/>
        </w:rPr>
        <w:t>s</w:t>
      </w:r>
      <w:r w:rsidR="00972A4D" w:rsidRPr="00E66716">
        <w:rPr>
          <w:lang w:val="fr-FR"/>
        </w:rPr>
        <w:t xml:space="preserve"> et qu’à l’article</w:t>
      </w:r>
      <w:r w:rsidR="00CF7AC1">
        <w:rPr>
          <w:lang w:val="fr-FR"/>
        </w:rPr>
        <w:t> </w:t>
      </w:r>
      <w:r w:rsidR="00972A4D" w:rsidRPr="00E66716">
        <w:rPr>
          <w:lang w:val="fr-FR"/>
        </w:rPr>
        <w:t>14 du Cadre, elle demande l’intégration de différentes valeurs de la biodiversité au processus décisionnel</w:t>
      </w:r>
      <w:r w:rsidR="00C25933" w:rsidRPr="00E66716">
        <w:rPr>
          <w:lang w:val="fr-FR"/>
        </w:rPr>
        <w:t>,</w:t>
      </w:r>
    </w:p>
    <w:p w14:paraId="67CAC7D5" w14:textId="5472FF73" w:rsidR="00C25933" w:rsidRPr="00E66716" w:rsidRDefault="00972A4D" w:rsidP="000D6E57">
      <w:pPr>
        <w:pStyle w:val="CBDNormalNoNumber"/>
        <w:tabs>
          <w:tab w:val="clear" w:pos="567"/>
        </w:tabs>
        <w:ind w:left="1134" w:firstLine="567"/>
        <w:rPr>
          <w:lang w:val="fr-FR"/>
        </w:rPr>
      </w:pPr>
      <w:r w:rsidRPr="00E66716">
        <w:rPr>
          <w:i/>
          <w:iCs/>
          <w:lang w:val="fr-FR"/>
        </w:rPr>
        <w:t xml:space="preserve">Rappelant également </w:t>
      </w:r>
      <w:r w:rsidRPr="00E66716">
        <w:rPr>
          <w:iCs/>
          <w:lang w:val="fr-FR"/>
        </w:rPr>
        <w:t>l’adoption du programme de travail sur l’article</w:t>
      </w:r>
      <w:r w:rsidR="0095729C">
        <w:rPr>
          <w:iCs/>
          <w:lang w:val="fr-FR"/>
        </w:rPr>
        <w:t> </w:t>
      </w:r>
      <w:r w:rsidRPr="00E66716">
        <w:rPr>
          <w:iCs/>
          <w:lang w:val="fr-FR"/>
        </w:rPr>
        <w:t>8</w:t>
      </w:r>
      <w:r w:rsidR="00612A1F">
        <w:rPr>
          <w:iCs/>
          <w:lang w:val="fr-FR"/>
        </w:rPr>
        <w:t> </w:t>
      </w:r>
      <w:r w:rsidRPr="00E66716">
        <w:rPr>
          <w:iCs/>
          <w:lang w:val="fr-FR"/>
        </w:rPr>
        <w:t xml:space="preserve">j) et autres dispositions de la Convention </w:t>
      </w:r>
      <w:r w:rsidR="002913EB" w:rsidRPr="00E66716">
        <w:rPr>
          <w:iCs/>
          <w:lang w:val="fr-FR"/>
        </w:rPr>
        <w:t>sur la diversité biologique</w:t>
      </w:r>
      <w:r w:rsidR="003A167C">
        <w:rPr>
          <w:rStyle w:val="FootnoteReference"/>
          <w:iCs/>
        </w:rPr>
        <w:footnoteReference w:id="23"/>
      </w:r>
      <w:r w:rsidRPr="00E66716">
        <w:rPr>
          <w:iCs/>
          <w:lang w:val="fr-FR"/>
        </w:rPr>
        <w:t xml:space="preserve"> relatives aux peuples autochtones et communautés locales à l’horizon</w:t>
      </w:r>
      <w:r w:rsidR="00612A1F">
        <w:rPr>
          <w:iCs/>
          <w:lang w:val="fr-FR"/>
        </w:rPr>
        <w:t> </w:t>
      </w:r>
      <w:r w:rsidRPr="00E66716">
        <w:rPr>
          <w:iCs/>
          <w:lang w:val="fr-FR"/>
        </w:rPr>
        <w:t xml:space="preserve">2030 </w:t>
      </w:r>
      <w:r w:rsidR="002913EB" w:rsidRPr="00E66716">
        <w:rPr>
          <w:iCs/>
          <w:lang w:val="fr-FR"/>
        </w:rPr>
        <w:t>dans</w:t>
      </w:r>
      <w:r w:rsidRPr="00E66716">
        <w:rPr>
          <w:iCs/>
          <w:lang w:val="fr-FR"/>
        </w:rPr>
        <w:t xml:space="preserve"> la décision</w:t>
      </w:r>
      <w:r w:rsidR="00612A1F">
        <w:rPr>
          <w:iCs/>
          <w:lang w:val="fr-FR"/>
        </w:rPr>
        <w:t> </w:t>
      </w:r>
      <w:hyperlink r:id="rId21" w:history="1">
        <w:r w:rsidR="002913EB" w:rsidRPr="00E66716">
          <w:rPr>
            <w:rStyle w:val="Hyperlink"/>
            <w:lang w:val="fr-FR"/>
          </w:rPr>
          <w:t>16/4</w:t>
        </w:r>
      </w:hyperlink>
      <w:r w:rsidR="002913EB" w:rsidRPr="00E66716">
        <w:rPr>
          <w:iCs/>
          <w:lang w:val="fr-FR"/>
        </w:rPr>
        <w:t xml:space="preserve"> du 30</w:t>
      </w:r>
      <w:r w:rsidR="00612A1F">
        <w:rPr>
          <w:iCs/>
          <w:lang w:val="fr-FR"/>
        </w:rPr>
        <w:t> </w:t>
      </w:r>
      <w:r w:rsidR="002913EB" w:rsidRPr="00E66716">
        <w:rPr>
          <w:iCs/>
          <w:lang w:val="fr-FR"/>
        </w:rPr>
        <w:t>octobre</w:t>
      </w:r>
      <w:r w:rsidR="00612A1F">
        <w:rPr>
          <w:iCs/>
          <w:lang w:val="fr-FR"/>
        </w:rPr>
        <w:t> </w:t>
      </w:r>
      <w:r w:rsidR="002913EB" w:rsidRPr="00E66716">
        <w:rPr>
          <w:iCs/>
          <w:lang w:val="fr-FR"/>
        </w:rPr>
        <w:t>2024 e</w:t>
      </w:r>
      <w:r w:rsidR="00B05772" w:rsidRPr="00E66716">
        <w:rPr>
          <w:iCs/>
          <w:lang w:val="fr-FR"/>
        </w:rPr>
        <w:t>t les éléments et tâches relatif</w:t>
      </w:r>
      <w:r w:rsidR="002913EB" w:rsidRPr="00E66716">
        <w:rPr>
          <w:iCs/>
          <w:lang w:val="fr-FR"/>
        </w:rPr>
        <w:t xml:space="preserve">s au programme de travail mixte sur les liens entre la diversité biologique et culturelle dans l’annexe à la décision </w:t>
      </w:r>
      <w:hyperlink r:id="rId22" w:history="1">
        <w:r w:rsidR="002913EB" w:rsidRPr="00E66716">
          <w:rPr>
            <w:rStyle w:val="Hyperlink"/>
            <w:lang w:val="fr-FR"/>
          </w:rPr>
          <w:t>15/22</w:t>
        </w:r>
      </w:hyperlink>
      <w:r w:rsidR="002913EB" w:rsidRPr="00E66716">
        <w:rPr>
          <w:iCs/>
          <w:lang w:val="fr-FR"/>
        </w:rPr>
        <w:t xml:space="preserve"> du 10</w:t>
      </w:r>
      <w:r w:rsidR="00612A1F">
        <w:rPr>
          <w:iCs/>
          <w:lang w:val="fr-FR"/>
        </w:rPr>
        <w:t> </w:t>
      </w:r>
      <w:r w:rsidR="002913EB" w:rsidRPr="00E66716">
        <w:rPr>
          <w:iCs/>
          <w:lang w:val="fr-FR"/>
        </w:rPr>
        <w:t>décembre</w:t>
      </w:r>
      <w:r w:rsidR="00612A1F">
        <w:rPr>
          <w:iCs/>
          <w:lang w:val="fr-FR"/>
        </w:rPr>
        <w:t> </w:t>
      </w:r>
      <w:r w:rsidR="002913EB" w:rsidRPr="00E66716">
        <w:rPr>
          <w:iCs/>
          <w:lang w:val="fr-FR"/>
        </w:rPr>
        <w:t xml:space="preserve">2022, qui soutiennent </w:t>
      </w:r>
      <w:r w:rsidR="002038F2" w:rsidRPr="00E66716">
        <w:rPr>
          <w:iCs/>
          <w:lang w:val="fr-FR"/>
        </w:rPr>
        <w:t>tous</w:t>
      </w:r>
      <w:r w:rsidR="002913EB" w:rsidRPr="00E66716">
        <w:rPr>
          <w:iCs/>
          <w:lang w:val="fr-FR"/>
        </w:rPr>
        <w:t xml:space="preserve"> les deux l’application de différents systèmes de valeurs à la mise en œuvre du Cadre</w:t>
      </w:r>
      <w:r w:rsidR="007145C1" w:rsidRPr="00E66716">
        <w:rPr>
          <w:lang w:val="fr-FR"/>
        </w:rPr>
        <w:t>,</w:t>
      </w:r>
      <w:r w:rsidR="00C25933" w:rsidRPr="00E66716">
        <w:rPr>
          <w:lang w:val="fr-FR"/>
        </w:rPr>
        <w:t xml:space="preserve"> </w:t>
      </w:r>
    </w:p>
    <w:p w14:paraId="69612A11" w14:textId="7AC533A2" w:rsidR="00C25933" w:rsidRDefault="002913EB" w:rsidP="000D6E57">
      <w:pPr>
        <w:pStyle w:val="CBDNormalNoNumber"/>
        <w:tabs>
          <w:tab w:val="clear" w:pos="567"/>
        </w:tabs>
        <w:ind w:left="1134" w:firstLine="567"/>
        <w:rPr>
          <w:lang w:val="fr-FR"/>
        </w:rPr>
      </w:pPr>
      <w:r w:rsidRPr="00E66716">
        <w:rPr>
          <w:i/>
          <w:iCs/>
          <w:lang w:val="fr-FR"/>
        </w:rPr>
        <w:t xml:space="preserve">Rappelant en outre </w:t>
      </w:r>
      <w:r w:rsidR="00F4686C" w:rsidRPr="00F4686C">
        <w:rPr>
          <w:lang w:val="fr-FR"/>
        </w:rPr>
        <w:t>le</w:t>
      </w:r>
      <w:r w:rsidR="00F4686C">
        <w:rPr>
          <w:i/>
          <w:iCs/>
          <w:lang w:val="fr-FR"/>
        </w:rPr>
        <w:t xml:space="preserve"> </w:t>
      </w:r>
      <w:r w:rsidR="00EE648E" w:rsidRPr="00F4686C">
        <w:rPr>
          <w:bCs/>
          <w:i/>
          <w:iCs/>
          <w:szCs w:val="28"/>
          <w:lang w:val="fr-FR"/>
        </w:rPr>
        <w:t>Rapport d’évaluation méthodologique des diverses valeurs de la nature et de leur estimation</w:t>
      </w:r>
      <w:r w:rsidR="00EE648E" w:rsidRPr="00E66716">
        <w:rPr>
          <w:lang w:val="fr-FR"/>
        </w:rPr>
        <w:t xml:space="preserve"> </w:t>
      </w:r>
      <w:r w:rsidRPr="00E66716">
        <w:rPr>
          <w:iCs/>
          <w:lang w:val="fr-FR"/>
        </w:rPr>
        <w:t>de la Plateforme intergouvernementale scientifique et politique sur la biodiversité et les services écosystémiques</w:t>
      </w:r>
      <w:r w:rsidR="00BB01BF" w:rsidRPr="00E66716">
        <w:rPr>
          <w:lang w:val="fr-FR"/>
        </w:rPr>
        <w:t>,</w:t>
      </w:r>
    </w:p>
    <w:p w14:paraId="1134B43A" w14:textId="7A5ACA74" w:rsidR="00B12100" w:rsidRDefault="00B12100" w:rsidP="000D6E57">
      <w:pPr>
        <w:pStyle w:val="CBDNormalNoNumber"/>
        <w:tabs>
          <w:tab w:val="clear" w:pos="567"/>
        </w:tabs>
        <w:ind w:left="1134" w:firstLine="567"/>
        <w:rPr>
          <w:lang w:val="fr-FR"/>
        </w:rPr>
      </w:pPr>
      <w:r>
        <w:rPr>
          <w:lang w:val="fr-FR"/>
        </w:rPr>
        <w:t>1.</w:t>
      </w:r>
      <w:r>
        <w:rPr>
          <w:lang w:val="fr-FR"/>
        </w:rPr>
        <w:tab/>
      </w:r>
      <w:r>
        <w:rPr>
          <w:i/>
          <w:iCs/>
          <w:lang w:val="fr-FR"/>
        </w:rPr>
        <w:t xml:space="preserve">Invite </w:t>
      </w:r>
      <w:r w:rsidR="00E9745C">
        <w:rPr>
          <w:lang w:val="fr-FR"/>
        </w:rPr>
        <w:t xml:space="preserve">les centres régionaux et </w:t>
      </w:r>
      <w:r w:rsidR="00012D3B">
        <w:rPr>
          <w:lang w:val="fr-FR"/>
        </w:rPr>
        <w:t>infra</w:t>
      </w:r>
      <w:r w:rsidR="00E9745C">
        <w:rPr>
          <w:lang w:val="fr-FR"/>
        </w:rPr>
        <w:t xml:space="preserve">régionaux d’appui à la coopération technique et scientifique à recourir activement </w:t>
      </w:r>
      <w:r w:rsidR="0069611D">
        <w:rPr>
          <w:iCs/>
          <w:lang w:val="fr-FR"/>
        </w:rPr>
        <w:t>au</w:t>
      </w:r>
      <w:r w:rsidR="0069611D" w:rsidRPr="0069611D">
        <w:rPr>
          <w:bCs/>
          <w:szCs w:val="28"/>
          <w:lang w:val="fr-FR"/>
        </w:rPr>
        <w:t xml:space="preserve"> </w:t>
      </w:r>
      <w:r w:rsidR="0069611D" w:rsidRPr="0069611D">
        <w:rPr>
          <w:bCs/>
          <w:i/>
          <w:szCs w:val="28"/>
          <w:lang w:val="fr-FR"/>
        </w:rPr>
        <w:t>Rapport d’évaluation méthodologique des diverses valeurs de la nature et de leur estimation</w:t>
      </w:r>
      <w:r w:rsidR="0069611D" w:rsidRPr="00E66716">
        <w:rPr>
          <w:lang w:val="fr-FR"/>
        </w:rPr>
        <w:t xml:space="preserve"> </w:t>
      </w:r>
      <w:r w:rsidR="00C74344">
        <w:rPr>
          <w:lang w:val="fr-FR"/>
        </w:rPr>
        <w:t>lorsqu’ils appuient les</w:t>
      </w:r>
      <w:r w:rsidR="00E9745C">
        <w:rPr>
          <w:lang w:val="fr-FR"/>
        </w:rPr>
        <w:t xml:space="preserve"> Parties </w:t>
      </w:r>
      <w:r w:rsidR="00C74344">
        <w:rPr>
          <w:lang w:val="fr-FR"/>
        </w:rPr>
        <w:t>dans leur</w:t>
      </w:r>
      <w:r w:rsidR="00E9745C">
        <w:rPr>
          <w:lang w:val="fr-FR"/>
        </w:rPr>
        <w:t xml:space="preserve"> mise en œuvre du Cadre mondial de la biodiversité de Kunming-Montréal ;</w:t>
      </w:r>
    </w:p>
    <w:p w14:paraId="1E69C17B" w14:textId="25D9B61D" w:rsidR="00E9745C" w:rsidRPr="00E9745C" w:rsidRDefault="00E9745C" w:rsidP="000D6E57">
      <w:pPr>
        <w:pStyle w:val="CBDNormalNoNumber"/>
        <w:tabs>
          <w:tab w:val="clear" w:pos="567"/>
        </w:tabs>
        <w:ind w:left="1134" w:firstLine="567"/>
        <w:rPr>
          <w:lang w:val="fr-FR"/>
        </w:rPr>
      </w:pPr>
      <w:r>
        <w:rPr>
          <w:lang w:val="fr-FR"/>
        </w:rPr>
        <w:t>2.</w:t>
      </w:r>
      <w:r>
        <w:rPr>
          <w:lang w:val="fr-FR"/>
        </w:rPr>
        <w:tab/>
      </w:r>
      <w:r>
        <w:rPr>
          <w:i/>
          <w:iCs/>
          <w:lang w:val="fr-FR"/>
        </w:rPr>
        <w:t>Invite</w:t>
      </w:r>
      <w:r>
        <w:rPr>
          <w:lang w:val="fr-FR"/>
        </w:rPr>
        <w:t xml:space="preserve"> les organisations compétentes à continuer d’appuyer l’utilisation et l’adoption du </w:t>
      </w:r>
      <w:r w:rsidRPr="00E9745C">
        <w:rPr>
          <w:bCs/>
          <w:i/>
          <w:iCs/>
          <w:szCs w:val="28"/>
          <w:lang w:val="fr-FR"/>
        </w:rPr>
        <w:t>Rapport d’évaluation méthodologique des diverses valeurs de la nature et de leur estimation</w:t>
      </w:r>
      <w:r>
        <w:rPr>
          <w:bCs/>
          <w:i/>
          <w:iCs/>
          <w:szCs w:val="28"/>
          <w:lang w:val="fr-FR"/>
        </w:rPr>
        <w:t xml:space="preserve"> </w:t>
      </w:r>
      <w:r>
        <w:rPr>
          <w:bCs/>
          <w:szCs w:val="28"/>
          <w:lang w:val="fr-FR"/>
        </w:rPr>
        <w:t>dans la mise en œuvre de la Convention sur la diversité biologique et du Cadre</w:t>
      </w:r>
      <w:r w:rsidR="000A38B2">
        <w:rPr>
          <w:bCs/>
          <w:szCs w:val="28"/>
          <w:lang w:val="fr-FR"/>
        </w:rPr>
        <w:t> </w:t>
      </w:r>
      <w:r>
        <w:rPr>
          <w:bCs/>
          <w:szCs w:val="28"/>
          <w:lang w:val="fr-FR"/>
        </w:rPr>
        <w:t>;</w:t>
      </w:r>
    </w:p>
    <w:p w14:paraId="29BE62A6" w14:textId="5FC0A508" w:rsidR="00C25933" w:rsidRDefault="00390558" w:rsidP="000D6E57">
      <w:pPr>
        <w:pStyle w:val="CBDNormalNoNumber"/>
        <w:tabs>
          <w:tab w:val="clear" w:pos="567"/>
        </w:tabs>
        <w:ind w:left="1134" w:firstLine="567"/>
        <w:rPr>
          <w:lang w:val="fr-FR"/>
        </w:rPr>
      </w:pPr>
      <w:r>
        <w:rPr>
          <w:lang w:val="fr-FR"/>
        </w:rPr>
        <w:t>[</w:t>
      </w:r>
      <w:r w:rsidR="00E9745C">
        <w:rPr>
          <w:lang w:val="fr-FR"/>
        </w:rPr>
        <w:t>3</w:t>
      </w:r>
      <w:r w:rsidR="00E346AA" w:rsidRPr="00E66716">
        <w:rPr>
          <w:lang w:val="fr-FR"/>
        </w:rPr>
        <w:t>.</w:t>
      </w:r>
      <w:r w:rsidR="00E346AA" w:rsidRPr="00E66716">
        <w:rPr>
          <w:lang w:val="fr-FR"/>
        </w:rPr>
        <w:tab/>
      </w:r>
      <w:r w:rsidR="00EE648E" w:rsidRPr="00E66716">
        <w:rPr>
          <w:i/>
          <w:iCs/>
          <w:lang w:val="fr-FR"/>
        </w:rPr>
        <w:t xml:space="preserve">Prie </w:t>
      </w:r>
      <w:r w:rsidR="00AB1F38">
        <w:rPr>
          <w:iCs/>
          <w:lang w:val="fr-FR"/>
        </w:rPr>
        <w:t>la Secrétaire exécutive</w:t>
      </w:r>
      <w:r w:rsidR="00EE648E" w:rsidRPr="00E66716">
        <w:rPr>
          <w:iCs/>
          <w:lang w:val="fr-FR"/>
        </w:rPr>
        <w:t xml:space="preserve">, selon la disponibilité des ressources, de faciliter l’échange de connaissances, d’expériences et de bonnes pratiques entre les Parties, </w:t>
      </w:r>
      <w:r w:rsidR="009268D7">
        <w:rPr>
          <w:iCs/>
          <w:lang w:val="fr-FR"/>
        </w:rPr>
        <w:t xml:space="preserve">les autres gouvernements, les gouvernements infrarégionaux, </w:t>
      </w:r>
      <w:r w:rsidR="00EE648E" w:rsidRPr="00E66716">
        <w:rPr>
          <w:iCs/>
          <w:lang w:val="fr-FR"/>
        </w:rPr>
        <w:t>les peuples autochtones et communautés locales et les parties prenantes pertinentes, notamment par la tenue de dialogues et au moyen de plateformes d’apprentissage, afin d’appuyer l’intégration efficace des différents systèmes de valeurs et de connaissances à la mise en œuvre du Cadre</w:t>
      </w:r>
      <w:r w:rsidR="00CC3BF4">
        <w:rPr>
          <w:iCs/>
          <w:lang w:val="fr-FR"/>
        </w:rPr>
        <w:t>.</w:t>
      </w:r>
      <w:r>
        <w:rPr>
          <w:lang w:val="fr-FR"/>
        </w:rPr>
        <w:t>]</w:t>
      </w:r>
    </w:p>
    <w:p w14:paraId="13806323" w14:textId="4296B6CA" w:rsidR="00BD28D3" w:rsidRPr="00E66716" w:rsidRDefault="00BD28D3" w:rsidP="000D6E57">
      <w:pPr>
        <w:pStyle w:val="CBDNormalNoNumber"/>
        <w:tabs>
          <w:tab w:val="clear" w:pos="567"/>
        </w:tabs>
        <w:ind w:left="1134" w:firstLine="567"/>
        <w:rPr>
          <w:lang w:val="fr-FR"/>
        </w:rPr>
      </w:pPr>
      <w:r>
        <w:rPr>
          <w:lang w:val="fr-FR"/>
        </w:rPr>
        <w:t>]</w:t>
      </w:r>
    </w:p>
    <w:p w14:paraId="126AA57C" w14:textId="22A6813A" w:rsidR="002038F2" w:rsidRPr="00E66716" w:rsidRDefault="00540343" w:rsidP="00540343">
      <w:pPr>
        <w:jc w:val="center"/>
        <w:rPr>
          <w:lang w:val="fr-FR"/>
        </w:rPr>
      </w:pPr>
      <w:r w:rsidRPr="00E66716">
        <w:rPr>
          <w:lang w:val="fr-FR"/>
        </w:rPr>
        <w:t>__________</w:t>
      </w:r>
    </w:p>
    <w:p w14:paraId="0E319D5D" w14:textId="77777777" w:rsidR="002038F2" w:rsidRPr="00E66716" w:rsidRDefault="002038F2" w:rsidP="002038F2">
      <w:pPr>
        <w:rPr>
          <w:lang w:val="fr-FR"/>
        </w:rPr>
      </w:pPr>
    </w:p>
    <w:p w14:paraId="50F5D676" w14:textId="77777777" w:rsidR="002038F2" w:rsidRPr="00E66716" w:rsidRDefault="002038F2" w:rsidP="002038F2">
      <w:pPr>
        <w:rPr>
          <w:lang w:val="fr-FR"/>
        </w:rPr>
      </w:pPr>
    </w:p>
    <w:p w14:paraId="68B862BD" w14:textId="02313B2C" w:rsidR="002038F2" w:rsidRPr="00E66716" w:rsidRDefault="002038F2" w:rsidP="002038F2">
      <w:pPr>
        <w:rPr>
          <w:lang w:val="fr-FR"/>
        </w:rPr>
      </w:pPr>
    </w:p>
    <w:p w14:paraId="35B7B358" w14:textId="6367FED3" w:rsidR="002038F2" w:rsidRPr="00E66716" w:rsidRDefault="002038F2" w:rsidP="002038F2">
      <w:pPr>
        <w:rPr>
          <w:lang w:val="fr-FR"/>
        </w:rPr>
      </w:pPr>
    </w:p>
    <w:p w14:paraId="27A7DCEA" w14:textId="77777777" w:rsidR="001065E9" w:rsidRPr="00E66716" w:rsidRDefault="001065E9" w:rsidP="002038F2">
      <w:pPr>
        <w:ind w:firstLine="720"/>
        <w:rPr>
          <w:lang w:val="fr-FR"/>
        </w:rPr>
      </w:pPr>
    </w:p>
    <w:sectPr w:rsidR="001065E9" w:rsidRPr="00E66716" w:rsidSect="00026AF9">
      <w:headerReference w:type="even" r:id="rId23"/>
      <w:headerReference w:type="default" r:id="rId24"/>
      <w:footerReference w:type="even" r:id="rId25"/>
      <w:footerReference w:type="default" r:id="rId26"/>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8773" w14:textId="77777777" w:rsidR="004F1420" w:rsidRPr="0093176F" w:rsidRDefault="004F1420" w:rsidP="001A7228">
      <w:r w:rsidRPr="0093176F">
        <w:separator/>
      </w:r>
    </w:p>
  </w:endnote>
  <w:endnote w:type="continuationSeparator" w:id="0">
    <w:p w14:paraId="57912430" w14:textId="77777777" w:rsidR="004F1420" w:rsidRPr="0093176F" w:rsidRDefault="004F1420" w:rsidP="001A7228">
      <w:r w:rsidRPr="00931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3F03" w14:textId="77777777" w:rsidR="00A50675" w:rsidRPr="0093176F" w:rsidRDefault="00A50675" w:rsidP="00DF78C4">
    <w:pPr>
      <w:pStyle w:val="Footer"/>
    </w:pPr>
    <w:r w:rsidRPr="0093176F">
      <w:fldChar w:fldCharType="begin"/>
    </w:r>
    <w:r w:rsidRPr="0093176F">
      <w:instrText xml:space="preserve"> PAGE </w:instrText>
    </w:r>
    <w:r w:rsidRPr="0093176F">
      <w:fldChar w:fldCharType="separate"/>
    </w:r>
    <w:r w:rsidR="0070010E">
      <w:rPr>
        <w:noProof/>
      </w:rPr>
      <w:t>2</w:t>
    </w:r>
    <w:r w:rsidRPr="0093176F">
      <w:fldChar w:fldCharType="end"/>
    </w:r>
    <w:r w:rsidRPr="0093176F">
      <w:t>/</w:t>
    </w:r>
    <w:r>
      <w:rPr>
        <w:noProof/>
      </w:rPr>
      <w:fldChar w:fldCharType="begin"/>
    </w:r>
    <w:r>
      <w:rPr>
        <w:noProof/>
      </w:rPr>
      <w:instrText xml:space="preserve"> NUMPAGES \* MERGEFORMAT </w:instrText>
    </w:r>
    <w:r>
      <w:rPr>
        <w:noProof/>
      </w:rPr>
      <w:fldChar w:fldCharType="separate"/>
    </w:r>
    <w:r w:rsidR="0070010E">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AE2C" w14:textId="77777777" w:rsidR="00A50675" w:rsidRPr="0093176F" w:rsidRDefault="00A50675" w:rsidP="00DF78C4">
    <w:pPr>
      <w:pStyle w:val="CBDFooter"/>
      <w:jc w:val="right"/>
    </w:pPr>
    <w:r w:rsidRPr="0093176F">
      <w:fldChar w:fldCharType="begin"/>
    </w:r>
    <w:r w:rsidRPr="0093176F">
      <w:instrText xml:space="preserve"> PAGE \* MERGEFORMAT </w:instrText>
    </w:r>
    <w:r w:rsidRPr="0093176F">
      <w:fldChar w:fldCharType="separate"/>
    </w:r>
    <w:r w:rsidR="0070010E">
      <w:rPr>
        <w:noProof/>
      </w:rPr>
      <w:t>3</w:t>
    </w:r>
    <w:r w:rsidRPr="0093176F">
      <w:fldChar w:fldCharType="end"/>
    </w:r>
    <w:r w:rsidRPr="0093176F">
      <w:t>/</w:t>
    </w:r>
    <w:r>
      <w:rPr>
        <w:noProof/>
      </w:rPr>
      <w:fldChar w:fldCharType="begin"/>
    </w:r>
    <w:r>
      <w:rPr>
        <w:noProof/>
      </w:rPr>
      <w:instrText xml:space="preserve"> NUMPAGES \* MERGEFORMAT </w:instrText>
    </w:r>
    <w:r>
      <w:rPr>
        <w:noProof/>
      </w:rPr>
      <w:fldChar w:fldCharType="separate"/>
    </w:r>
    <w:r w:rsidR="0070010E">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F393" w14:textId="77777777" w:rsidR="004F1420" w:rsidRPr="0093176F" w:rsidRDefault="004F1420" w:rsidP="001A7228">
      <w:r w:rsidRPr="0093176F">
        <w:separator/>
      </w:r>
    </w:p>
  </w:footnote>
  <w:footnote w:type="continuationSeparator" w:id="0">
    <w:p w14:paraId="4DD70283" w14:textId="77777777" w:rsidR="004F1420" w:rsidRPr="0093176F" w:rsidRDefault="004F1420" w:rsidP="001A7228">
      <w:r w:rsidRPr="0093176F">
        <w:continuationSeparator/>
      </w:r>
    </w:p>
  </w:footnote>
  <w:footnote w:id="1">
    <w:p w14:paraId="511F7722" w14:textId="5968DC02" w:rsidR="00A672D5" w:rsidRPr="004A3F73" w:rsidRDefault="00A672D5" w:rsidP="00A672D5">
      <w:pPr>
        <w:pStyle w:val="FootnoteText"/>
        <w:rPr>
          <w:lang w:val="fr-CA"/>
        </w:rPr>
      </w:pPr>
      <w:r>
        <w:rPr>
          <w:rStyle w:val="FootnoteReference"/>
        </w:rPr>
        <w:footnoteRef/>
      </w:r>
      <w:r w:rsidRPr="004A3F73">
        <w:rPr>
          <w:sz w:val="20"/>
          <w:lang w:val="fr-CA"/>
        </w:rPr>
        <w:t xml:space="preserve"> </w:t>
      </w:r>
      <w:r w:rsidRPr="00740B88">
        <w:rPr>
          <w:szCs w:val="18"/>
          <w:lang w:val="fr-CA"/>
        </w:rPr>
        <w:t xml:space="preserve">Nations Unies, </w:t>
      </w:r>
      <w:r w:rsidR="001F435A" w:rsidRPr="00740B88">
        <w:rPr>
          <w:i/>
          <w:szCs w:val="18"/>
          <w:lang w:val="fr-CA"/>
        </w:rPr>
        <w:t>Recueil</w:t>
      </w:r>
      <w:r w:rsidRPr="00740B88">
        <w:rPr>
          <w:i/>
          <w:szCs w:val="18"/>
          <w:lang w:val="fr-CA"/>
        </w:rPr>
        <w:t xml:space="preserve"> des traités</w:t>
      </w:r>
      <w:r w:rsidR="00740B88">
        <w:rPr>
          <w:iCs/>
          <w:szCs w:val="18"/>
          <w:lang w:val="fr-CA"/>
        </w:rPr>
        <w:t>,</w:t>
      </w:r>
      <w:r w:rsidRPr="00740B88">
        <w:rPr>
          <w:szCs w:val="18"/>
          <w:lang w:val="fr-CA"/>
        </w:rPr>
        <w:t xml:space="preserve"> vol.</w:t>
      </w:r>
      <w:r w:rsidR="001F435A" w:rsidRPr="00740B88">
        <w:rPr>
          <w:szCs w:val="18"/>
          <w:lang w:val="fr-CA"/>
        </w:rPr>
        <w:t> </w:t>
      </w:r>
      <w:r w:rsidRPr="00740B88">
        <w:rPr>
          <w:szCs w:val="18"/>
          <w:lang w:val="fr-CA"/>
        </w:rPr>
        <w:t>1673, n</w:t>
      </w:r>
      <w:r w:rsidR="001F435A" w:rsidRPr="00740B88">
        <w:rPr>
          <w:szCs w:val="18"/>
          <w:lang w:val="fr-CA"/>
        </w:rPr>
        <w:t>°</w:t>
      </w:r>
      <w:r w:rsidR="00E25587">
        <w:rPr>
          <w:szCs w:val="18"/>
          <w:lang w:val="fr-CA"/>
        </w:rPr>
        <w:t xml:space="preserve"> </w:t>
      </w:r>
      <w:r w:rsidRPr="00740B88">
        <w:rPr>
          <w:szCs w:val="18"/>
          <w:lang w:val="fr-CA"/>
        </w:rPr>
        <w:t>28911</w:t>
      </w:r>
      <w:r w:rsidRPr="004A3F73">
        <w:rPr>
          <w:lang w:val="fr-CA"/>
        </w:rPr>
        <w:t>.</w:t>
      </w:r>
    </w:p>
  </w:footnote>
  <w:footnote w:id="2">
    <w:p w14:paraId="00603BAF" w14:textId="490B076E" w:rsidR="004A3F73" w:rsidRPr="00FE0504" w:rsidRDefault="004A3F73" w:rsidP="004A3F73">
      <w:pPr>
        <w:pStyle w:val="FootnoteText"/>
        <w:rPr>
          <w:lang w:val="es-ES"/>
        </w:rPr>
      </w:pPr>
      <w:r>
        <w:rPr>
          <w:rStyle w:val="FootnoteReference"/>
        </w:rPr>
        <w:footnoteRef/>
      </w:r>
      <w:r w:rsidRPr="00FE0504">
        <w:rPr>
          <w:lang w:val="es-ES"/>
        </w:rPr>
        <w:t xml:space="preserve"> Ibid., vol. 2244, </w:t>
      </w:r>
      <w:r w:rsidR="00BD7DEC" w:rsidRPr="00FE0504">
        <w:rPr>
          <w:lang w:val="es-ES"/>
        </w:rPr>
        <w:t>n</w:t>
      </w:r>
      <w:r w:rsidR="00BD7DEC" w:rsidRPr="00FE0504">
        <w:rPr>
          <w:vertAlign w:val="superscript"/>
          <w:lang w:val="es-ES"/>
        </w:rPr>
        <w:t>o</w:t>
      </w:r>
      <w:r w:rsidRPr="00FE0504">
        <w:rPr>
          <w:lang w:val="es-ES"/>
        </w:rPr>
        <w:t xml:space="preserve"> 39973.</w:t>
      </w:r>
    </w:p>
  </w:footnote>
  <w:footnote w:id="3">
    <w:p w14:paraId="1998B074" w14:textId="5667A9E0" w:rsidR="004A3F73" w:rsidRPr="00FE0504" w:rsidRDefault="004A3F73" w:rsidP="004A3F73">
      <w:pPr>
        <w:pStyle w:val="FootnoteText"/>
        <w:rPr>
          <w:lang w:val="es-ES"/>
        </w:rPr>
      </w:pPr>
      <w:r>
        <w:rPr>
          <w:rStyle w:val="FootnoteReference"/>
        </w:rPr>
        <w:footnoteRef/>
      </w:r>
      <w:r w:rsidRPr="00FE0504">
        <w:rPr>
          <w:lang w:val="es-ES"/>
        </w:rPr>
        <w:t xml:space="preserve"> Ibid., vol. 2256, </w:t>
      </w:r>
      <w:r w:rsidR="00FE0504" w:rsidRPr="00FE0504">
        <w:rPr>
          <w:lang w:val="es-ES"/>
        </w:rPr>
        <w:t>n</w:t>
      </w:r>
      <w:r w:rsidR="00FE0504" w:rsidRPr="00FE0504">
        <w:rPr>
          <w:vertAlign w:val="superscript"/>
          <w:lang w:val="es-ES"/>
        </w:rPr>
        <w:t>o</w:t>
      </w:r>
      <w:r w:rsidRPr="00FE0504">
        <w:rPr>
          <w:lang w:val="es-ES"/>
        </w:rPr>
        <w:t xml:space="preserve"> 40214.</w:t>
      </w:r>
    </w:p>
  </w:footnote>
  <w:footnote w:id="4">
    <w:p w14:paraId="25384AE0" w14:textId="77777777" w:rsidR="00A672D5" w:rsidRPr="00FE0504" w:rsidRDefault="00A672D5" w:rsidP="00A672D5">
      <w:pPr>
        <w:pStyle w:val="FootnoteText"/>
        <w:rPr>
          <w:lang w:val="es-ES"/>
        </w:rPr>
      </w:pPr>
      <w:r>
        <w:rPr>
          <w:rStyle w:val="FootnoteReference"/>
        </w:rPr>
        <w:footnoteRef/>
      </w:r>
      <w:r w:rsidRPr="00FE0504">
        <w:rPr>
          <w:lang w:val="es-ES"/>
        </w:rPr>
        <w:t xml:space="preserve"> Ibid., vol. 3201, n</w:t>
      </w:r>
      <w:r w:rsidRPr="00FE0504">
        <w:rPr>
          <w:vertAlign w:val="superscript"/>
          <w:lang w:val="es-ES"/>
        </w:rPr>
        <w:t>o</w:t>
      </w:r>
      <w:r w:rsidRPr="00FE0504">
        <w:rPr>
          <w:lang w:val="es-ES"/>
        </w:rPr>
        <w:t xml:space="preserve"> 54669.</w:t>
      </w:r>
    </w:p>
  </w:footnote>
  <w:footnote w:id="5">
    <w:p w14:paraId="59559998" w14:textId="2DDC697B" w:rsidR="00097327" w:rsidRPr="00097327" w:rsidRDefault="00097327">
      <w:pPr>
        <w:pStyle w:val="FootnoteText"/>
        <w:rPr>
          <w:lang w:val="fr-FR"/>
        </w:rPr>
      </w:pPr>
      <w:r>
        <w:rPr>
          <w:rStyle w:val="FootnoteReference"/>
        </w:rPr>
        <w:footnoteRef/>
      </w:r>
      <w:r>
        <w:t xml:space="preserve"> </w:t>
      </w:r>
      <w:r w:rsidR="00C07C89">
        <w:t>Annexe à la decision </w:t>
      </w:r>
      <w:hyperlink r:id="rId1" w:history="1">
        <w:r w:rsidR="00C07C89" w:rsidRPr="00EB7FC8">
          <w:rPr>
            <w:rStyle w:val="Hyperlink"/>
          </w:rPr>
          <w:t>15/4</w:t>
        </w:r>
      </w:hyperlink>
      <w:r w:rsidR="00C07C89">
        <w:t>.</w:t>
      </w:r>
    </w:p>
  </w:footnote>
  <w:footnote w:id="6">
    <w:p w14:paraId="61790551" w14:textId="21B010D3" w:rsidR="00A50675" w:rsidRPr="00A42C65" w:rsidRDefault="00A50675">
      <w:pPr>
        <w:pStyle w:val="FootnoteText"/>
        <w:rPr>
          <w:lang w:val="fr-CA"/>
        </w:rPr>
      </w:pPr>
      <w:r w:rsidRPr="00516AA9">
        <w:rPr>
          <w:rStyle w:val="FootnoteReference"/>
        </w:rPr>
        <w:footnoteRef/>
      </w:r>
      <w:r w:rsidRPr="00A42C65">
        <w:rPr>
          <w:lang w:val="fr-CA"/>
        </w:rPr>
        <w:t xml:space="preserve"> </w:t>
      </w:r>
      <w:r>
        <w:rPr>
          <w:lang w:val="fr-CA"/>
        </w:rPr>
        <w:t>Annexe à la décisio</w:t>
      </w:r>
      <w:r w:rsidRPr="00A42C65">
        <w:rPr>
          <w:lang w:val="fr-CA"/>
        </w:rPr>
        <w:t>n</w:t>
      </w:r>
      <w:r w:rsidR="00612A1F">
        <w:rPr>
          <w:lang w:val="fr-CA"/>
        </w:rPr>
        <w:t> </w:t>
      </w:r>
      <w:hyperlink r:id="rId2" w:history="1">
        <w:r w:rsidRPr="00A42C65">
          <w:rPr>
            <w:rStyle w:val="Hyperlink"/>
            <w:lang w:val="fr-CA"/>
          </w:rPr>
          <w:t>15/4</w:t>
        </w:r>
      </w:hyperlink>
      <w:r w:rsidRPr="00A42C65">
        <w:rPr>
          <w:lang w:val="fr-CA"/>
        </w:rPr>
        <w:t>.</w:t>
      </w:r>
    </w:p>
  </w:footnote>
  <w:footnote w:id="7">
    <w:p w14:paraId="0E128517" w14:textId="6934B756" w:rsidR="00A50675" w:rsidRPr="003A2610" w:rsidRDefault="00A50675" w:rsidP="004059F2">
      <w:pPr>
        <w:pStyle w:val="FootnoteText"/>
        <w:rPr>
          <w:szCs w:val="18"/>
          <w:lang w:val="fr-CA"/>
        </w:rPr>
      </w:pPr>
      <w:r w:rsidRPr="00516AA9">
        <w:rPr>
          <w:rStyle w:val="FootnoteReference"/>
          <w:szCs w:val="18"/>
        </w:rPr>
        <w:footnoteRef/>
      </w:r>
      <w:r w:rsidRPr="003A2610">
        <w:rPr>
          <w:szCs w:val="18"/>
          <w:lang w:val="fr-CA"/>
        </w:rPr>
        <w:t xml:space="preserve"> </w:t>
      </w:r>
      <w:r w:rsidRPr="003A2610">
        <w:rPr>
          <w:color w:val="000000"/>
          <w:szCs w:val="18"/>
          <w:lang w:val="fr-CA"/>
        </w:rPr>
        <w:t xml:space="preserve">Nations Unies, </w:t>
      </w:r>
      <w:r w:rsidR="001F435A">
        <w:rPr>
          <w:i/>
          <w:iCs/>
          <w:color w:val="000000"/>
          <w:szCs w:val="18"/>
          <w:lang w:val="fr-CA"/>
        </w:rPr>
        <w:t>Recueil</w:t>
      </w:r>
      <w:r w:rsidRPr="003A2610">
        <w:rPr>
          <w:i/>
          <w:iCs/>
          <w:color w:val="000000"/>
          <w:szCs w:val="18"/>
          <w:lang w:val="fr-CA"/>
        </w:rPr>
        <w:t xml:space="preserve"> des traités</w:t>
      </w:r>
      <w:r w:rsidRPr="003A2610">
        <w:rPr>
          <w:iCs/>
          <w:color w:val="000000"/>
          <w:szCs w:val="18"/>
          <w:lang w:val="fr-CA"/>
        </w:rPr>
        <w:t>,</w:t>
      </w:r>
      <w:r w:rsidRPr="003A2610">
        <w:rPr>
          <w:i/>
          <w:iCs/>
          <w:color w:val="000000"/>
          <w:szCs w:val="18"/>
          <w:lang w:val="fr-CA"/>
        </w:rPr>
        <w:t xml:space="preserve"> </w:t>
      </w:r>
      <w:r w:rsidRPr="003A2610">
        <w:rPr>
          <w:color w:val="000000"/>
          <w:szCs w:val="18"/>
          <w:lang w:val="fr-CA"/>
        </w:rPr>
        <w:t>vol.</w:t>
      </w:r>
      <w:r w:rsidR="00612A1F">
        <w:rPr>
          <w:color w:val="000000"/>
          <w:szCs w:val="18"/>
          <w:lang w:val="fr-CA"/>
        </w:rPr>
        <w:t> </w:t>
      </w:r>
      <w:r w:rsidRPr="003A2610">
        <w:rPr>
          <w:color w:val="000000"/>
          <w:szCs w:val="18"/>
          <w:lang w:val="fr-CA"/>
        </w:rPr>
        <w:t>1760, n</w:t>
      </w:r>
      <w:r w:rsidRPr="003A2610">
        <w:rPr>
          <w:color w:val="000000"/>
          <w:szCs w:val="18"/>
          <w:vertAlign w:val="superscript"/>
          <w:lang w:val="fr-CA"/>
        </w:rPr>
        <w:t>o</w:t>
      </w:r>
      <w:r w:rsidR="00DD682F">
        <w:rPr>
          <w:color w:val="000000"/>
          <w:szCs w:val="18"/>
          <w:vertAlign w:val="superscript"/>
          <w:lang w:val="fr-CA"/>
        </w:rPr>
        <w:t xml:space="preserve"> </w:t>
      </w:r>
      <w:r w:rsidRPr="003A2610">
        <w:rPr>
          <w:color w:val="000000"/>
          <w:szCs w:val="18"/>
          <w:lang w:val="fr-CA"/>
        </w:rPr>
        <w:t>30619.</w:t>
      </w:r>
    </w:p>
  </w:footnote>
  <w:footnote w:id="8">
    <w:p w14:paraId="0DE0D479" w14:textId="5F5B5CCB" w:rsidR="00A50675" w:rsidRPr="00E16E29" w:rsidRDefault="00A50675">
      <w:pPr>
        <w:pStyle w:val="FootnoteText"/>
        <w:rPr>
          <w:lang w:val="es-ES"/>
        </w:rPr>
      </w:pPr>
      <w:r w:rsidRPr="003A2610">
        <w:rPr>
          <w:rStyle w:val="FootnoteReference"/>
          <w:lang w:val="fr-CA"/>
        </w:rPr>
        <w:footnoteRef/>
      </w:r>
      <w:r w:rsidRPr="00E16E29">
        <w:rPr>
          <w:lang w:val="es-ES"/>
        </w:rPr>
        <w:t xml:space="preserve"> Ibid., vol.</w:t>
      </w:r>
      <w:r w:rsidR="00612A1F" w:rsidRPr="00E16E29">
        <w:rPr>
          <w:lang w:val="es-ES"/>
        </w:rPr>
        <w:t> </w:t>
      </w:r>
      <w:r w:rsidRPr="00E16E29">
        <w:rPr>
          <w:lang w:val="es-ES"/>
        </w:rPr>
        <w:t xml:space="preserve">1673, </w:t>
      </w:r>
      <w:r w:rsidRPr="00E16E29">
        <w:rPr>
          <w:color w:val="000000"/>
          <w:szCs w:val="18"/>
          <w:lang w:val="es-ES"/>
        </w:rPr>
        <w:t>n</w:t>
      </w:r>
      <w:r w:rsidRPr="00E16E29">
        <w:rPr>
          <w:color w:val="000000"/>
          <w:szCs w:val="18"/>
          <w:vertAlign w:val="superscript"/>
          <w:lang w:val="es-ES"/>
        </w:rPr>
        <w:t>o</w:t>
      </w:r>
      <w:r w:rsidR="00612A1F" w:rsidRPr="00E16E29">
        <w:rPr>
          <w:lang w:val="es-ES"/>
        </w:rPr>
        <w:t> </w:t>
      </w:r>
      <w:r w:rsidRPr="00E16E29">
        <w:rPr>
          <w:lang w:val="es-ES"/>
        </w:rPr>
        <w:t>28911.</w:t>
      </w:r>
    </w:p>
  </w:footnote>
  <w:footnote w:id="9">
    <w:p w14:paraId="1109BBDF" w14:textId="265BEA18" w:rsidR="00A50675" w:rsidRPr="00E16E29" w:rsidRDefault="00A50675">
      <w:pPr>
        <w:pStyle w:val="FootnoteText"/>
        <w:rPr>
          <w:lang w:val="es-ES"/>
        </w:rPr>
      </w:pPr>
      <w:r w:rsidRPr="003A2610">
        <w:rPr>
          <w:rStyle w:val="FootnoteReference"/>
          <w:lang w:val="fr-CA"/>
        </w:rPr>
        <w:footnoteRef/>
      </w:r>
      <w:r w:rsidRPr="00E16E29">
        <w:rPr>
          <w:lang w:val="es-ES"/>
        </w:rPr>
        <w:t xml:space="preserve"> Ibid., vol.</w:t>
      </w:r>
      <w:r w:rsidR="00612A1F" w:rsidRPr="00E16E29">
        <w:rPr>
          <w:lang w:val="es-ES"/>
        </w:rPr>
        <w:t> </w:t>
      </w:r>
      <w:r w:rsidRPr="00E16E29">
        <w:rPr>
          <w:lang w:val="es-ES"/>
        </w:rPr>
        <w:t xml:space="preserve">2244, </w:t>
      </w:r>
      <w:r w:rsidRPr="00E16E29">
        <w:rPr>
          <w:color w:val="000000"/>
          <w:szCs w:val="18"/>
          <w:lang w:val="es-ES"/>
        </w:rPr>
        <w:t>n</w:t>
      </w:r>
      <w:r w:rsidRPr="00E16E29">
        <w:rPr>
          <w:color w:val="000000"/>
          <w:szCs w:val="18"/>
          <w:vertAlign w:val="superscript"/>
          <w:lang w:val="es-ES"/>
        </w:rPr>
        <w:t>o</w:t>
      </w:r>
      <w:r w:rsidR="00612A1F" w:rsidRPr="00E16E29">
        <w:rPr>
          <w:lang w:val="es-ES"/>
        </w:rPr>
        <w:t> </w:t>
      </w:r>
      <w:r w:rsidRPr="00E16E29">
        <w:rPr>
          <w:lang w:val="es-ES"/>
        </w:rPr>
        <w:t>39973.</w:t>
      </w:r>
    </w:p>
  </w:footnote>
  <w:footnote w:id="10">
    <w:p w14:paraId="2809968B" w14:textId="535A1A06" w:rsidR="00A50675" w:rsidRPr="00E16E29" w:rsidRDefault="00A50675">
      <w:pPr>
        <w:pStyle w:val="FootnoteText"/>
        <w:rPr>
          <w:lang w:val="es-ES"/>
        </w:rPr>
      </w:pPr>
      <w:r w:rsidRPr="003A2610">
        <w:rPr>
          <w:rStyle w:val="FootnoteReference"/>
          <w:lang w:val="fr-CA"/>
        </w:rPr>
        <w:footnoteRef/>
      </w:r>
      <w:r w:rsidRPr="00E16E29">
        <w:rPr>
          <w:lang w:val="es-ES"/>
        </w:rPr>
        <w:t xml:space="preserve"> Ibid., vol.</w:t>
      </w:r>
      <w:r w:rsidR="00612A1F" w:rsidRPr="00E16E29">
        <w:rPr>
          <w:lang w:val="es-ES"/>
        </w:rPr>
        <w:t> </w:t>
      </w:r>
      <w:r w:rsidRPr="00E16E29">
        <w:rPr>
          <w:lang w:val="es-ES"/>
        </w:rPr>
        <w:t xml:space="preserve">2256, </w:t>
      </w:r>
      <w:r w:rsidRPr="00E16E29">
        <w:rPr>
          <w:color w:val="000000"/>
          <w:szCs w:val="18"/>
          <w:lang w:val="es-ES"/>
        </w:rPr>
        <w:t>n</w:t>
      </w:r>
      <w:r w:rsidRPr="00E16E29">
        <w:rPr>
          <w:color w:val="000000"/>
          <w:szCs w:val="18"/>
          <w:vertAlign w:val="superscript"/>
          <w:lang w:val="es-ES"/>
        </w:rPr>
        <w:t>o</w:t>
      </w:r>
      <w:r w:rsidR="00612A1F" w:rsidRPr="00E16E29">
        <w:rPr>
          <w:lang w:val="es-ES"/>
        </w:rPr>
        <w:t> </w:t>
      </w:r>
      <w:r w:rsidRPr="00E16E29">
        <w:rPr>
          <w:lang w:val="es-ES"/>
        </w:rPr>
        <w:t>40214.</w:t>
      </w:r>
    </w:p>
  </w:footnote>
  <w:footnote w:id="11">
    <w:p w14:paraId="4EFE1FA5" w14:textId="7B82F202" w:rsidR="00A50675" w:rsidRPr="00E16E29" w:rsidRDefault="00A50675" w:rsidP="00FD38A9">
      <w:pPr>
        <w:pStyle w:val="FootnoteText"/>
        <w:rPr>
          <w:lang w:val="es-ES"/>
        </w:rPr>
      </w:pPr>
      <w:r w:rsidRPr="003A2610">
        <w:rPr>
          <w:rStyle w:val="FootnoteReference"/>
          <w:lang w:val="fr-CA"/>
        </w:rPr>
        <w:footnoteRef/>
      </w:r>
      <w:r w:rsidRPr="00E16E29">
        <w:rPr>
          <w:lang w:val="es-ES"/>
        </w:rPr>
        <w:t xml:space="preserve"> Ibid., vol.</w:t>
      </w:r>
      <w:r w:rsidR="00612A1F" w:rsidRPr="00E16E29">
        <w:rPr>
          <w:lang w:val="es-ES"/>
        </w:rPr>
        <w:t> </w:t>
      </w:r>
      <w:r w:rsidRPr="00E16E29">
        <w:rPr>
          <w:lang w:val="es-ES"/>
        </w:rPr>
        <w:t xml:space="preserve">3201, </w:t>
      </w:r>
      <w:r w:rsidRPr="00E16E29">
        <w:rPr>
          <w:color w:val="000000"/>
          <w:szCs w:val="18"/>
          <w:lang w:val="es-ES"/>
        </w:rPr>
        <w:t>n</w:t>
      </w:r>
      <w:r w:rsidRPr="00E16E29">
        <w:rPr>
          <w:color w:val="000000"/>
          <w:szCs w:val="18"/>
          <w:vertAlign w:val="superscript"/>
          <w:lang w:val="es-ES"/>
        </w:rPr>
        <w:t>o</w:t>
      </w:r>
      <w:r w:rsidR="00612A1F" w:rsidRPr="00E16E29">
        <w:rPr>
          <w:lang w:val="es-ES"/>
        </w:rPr>
        <w:t> </w:t>
      </w:r>
      <w:r w:rsidRPr="00E16E29">
        <w:rPr>
          <w:lang w:val="es-ES"/>
        </w:rPr>
        <w:t>54669.</w:t>
      </w:r>
    </w:p>
  </w:footnote>
  <w:footnote w:id="12">
    <w:p w14:paraId="339C2B30" w14:textId="6BA3CEB5" w:rsidR="00DD4079" w:rsidRPr="00DD4079" w:rsidRDefault="00DD4079" w:rsidP="00DD4079">
      <w:pPr>
        <w:pStyle w:val="FootnoteText"/>
        <w:rPr>
          <w:lang w:val="fr-CA"/>
        </w:rPr>
      </w:pPr>
      <w:r w:rsidRPr="00516AA9">
        <w:rPr>
          <w:rStyle w:val="FootnoteReference"/>
        </w:rPr>
        <w:footnoteRef/>
      </w:r>
      <w:r>
        <w:rPr>
          <w:lang w:val="fr-CA"/>
        </w:rPr>
        <w:t xml:space="preserve"> Annexe à la dé</w:t>
      </w:r>
      <w:r w:rsidRPr="00DD4079">
        <w:rPr>
          <w:lang w:val="fr-CA"/>
        </w:rPr>
        <w:t xml:space="preserve">cision </w:t>
      </w:r>
      <w:hyperlink r:id="rId3" w:history="1">
        <w:r w:rsidRPr="00DD4079">
          <w:rPr>
            <w:rStyle w:val="Hyperlink"/>
            <w:lang w:val="fr-CA"/>
          </w:rPr>
          <w:t>15/4</w:t>
        </w:r>
      </w:hyperlink>
      <w:r w:rsidRPr="00DD4079">
        <w:rPr>
          <w:lang w:val="fr-CA"/>
        </w:rPr>
        <w:t>.</w:t>
      </w:r>
    </w:p>
  </w:footnote>
  <w:footnote w:id="13">
    <w:p w14:paraId="158331CC" w14:textId="08CAB02D" w:rsidR="00A40156" w:rsidRPr="00A40156" w:rsidRDefault="00A40156">
      <w:pPr>
        <w:pStyle w:val="FootnoteText"/>
        <w:rPr>
          <w:lang w:val="fr-LU"/>
        </w:rPr>
      </w:pPr>
      <w:r>
        <w:rPr>
          <w:rStyle w:val="FootnoteReference"/>
        </w:rPr>
        <w:footnoteRef/>
      </w:r>
      <w:r w:rsidRPr="00E16E29">
        <w:rPr>
          <w:lang w:val="fr-CA"/>
        </w:rPr>
        <w:t xml:space="preserve"> </w:t>
      </w:r>
      <w:r w:rsidRPr="00247814">
        <w:rPr>
          <w:color w:val="000000"/>
          <w:szCs w:val="18"/>
          <w:lang w:val="fr-CA"/>
        </w:rPr>
        <w:t xml:space="preserve">Nations Unies, </w:t>
      </w:r>
      <w:r w:rsidR="007D311E">
        <w:rPr>
          <w:i/>
          <w:iCs/>
          <w:color w:val="000000"/>
          <w:szCs w:val="18"/>
          <w:lang w:val="fr-CA"/>
        </w:rPr>
        <w:t>Recueil</w:t>
      </w:r>
      <w:r>
        <w:rPr>
          <w:i/>
          <w:iCs/>
          <w:color w:val="000000"/>
          <w:szCs w:val="18"/>
          <w:lang w:val="fr-CA"/>
        </w:rPr>
        <w:t xml:space="preserve"> des traités</w:t>
      </w:r>
      <w:r w:rsidRPr="00247814">
        <w:rPr>
          <w:iCs/>
          <w:color w:val="000000"/>
          <w:szCs w:val="18"/>
          <w:lang w:val="fr-CA"/>
        </w:rPr>
        <w:t>,</w:t>
      </w:r>
      <w:r w:rsidRPr="00247814">
        <w:rPr>
          <w:i/>
          <w:iCs/>
          <w:color w:val="000000"/>
          <w:szCs w:val="18"/>
          <w:lang w:val="fr-CA"/>
        </w:rPr>
        <w:t xml:space="preserve"> </w:t>
      </w:r>
      <w:r w:rsidRPr="00247814">
        <w:rPr>
          <w:color w:val="000000"/>
          <w:szCs w:val="18"/>
          <w:lang w:val="fr-CA"/>
        </w:rPr>
        <w:t>vol.</w:t>
      </w:r>
      <w:r>
        <w:rPr>
          <w:color w:val="000000"/>
          <w:szCs w:val="18"/>
          <w:lang w:val="fr-CA"/>
        </w:rPr>
        <w:t> </w:t>
      </w:r>
      <w:r w:rsidRPr="00247814">
        <w:rPr>
          <w:color w:val="000000"/>
          <w:szCs w:val="18"/>
          <w:lang w:val="fr-CA"/>
        </w:rPr>
        <w:t>1</w:t>
      </w:r>
      <w:r>
        <w:rPr>
          <w:color w:val="000000"/>
          <w:szCs w:val="18"/>
          <w:lang w:val="fr-CA"/>
        </w:rPr>
        <w:t>673</w:t>
      </w:r>
      <w:r w:rsidRPr="00247814">
        <w:rPr>
          <w:color w:val="000000"/>
          <w:szCs w:val="18"/>
          <w:lang w:val="fr-CA"/>
        </w:rPr>
        <w:t xml:space="preserve">, </w:t>
      </w:r>
      <w:r>
        <w:rPr>
          <w:color w:val="000000"/>
          <w:szCs w:val="18"/>
          <w:lang w:val="fr-CA"/>
        </w:rPr>
        <w:t>n</w:t>
      </w:r>
      <w:r w:rsidRPr="00247814">
        <w:rPr>
          <w:color w:val="000000"/>
          <w:szCs w:val="18"/>
          <w:vertAlign w:val="superscript"/>
          <w:lang w:val="fr-CA"/>
        </w:rPr>
        <w:t>o</w:t>
      </w:r>
      <w:r w:rsidR="00BB7F8A">
        <w:rPr>
          <w:color w:val="000000"/>
          <w:szCs w:val="18"/>
          <w:lang w:val="fr-CA"/>
        </w:rPr>
        <w:t> </w:t>
      </w:r>
      <w:r>
        <w:rPr>
          <w:color w:val="000000"/>
          <w:szCs w:val="18"/>
          <w:lang w:val="fr-CA"/>
        </w:rPr>
        <w:t>28911</w:t>
      </w:r>
      <w:r w:rsidRPr="00247814">
        <w:rPr>
          <w:color w:val="000000"/>
          <w:szCs w:val="18"/>
          <w:lang w:val="fr-CA"/>
        </w:rPr>
        <w:t>.</w:t>
      </w:r>
    </w:p>
  </w:footnote>
  <w:footnote w:id="14">
    <w:p w14:paraId="7B45BFA0" w14:textId="433DCC65" w:rsidR="00A40156" w:rsidRPr="00E16E29" w:rsidRDefault="00A40156">
      <w:pPr>
        <w:pStyle w:val="FootnoteText"/>
        <w:rPr>
          <w:lang w:val="es-ES"/>
        </w:rPr>
      </w:pPr>
      <w:r>
        <w:rPr>
          <w:rStyle w:val="FootnoteReference"/>
        </w:rPr>
        <w:footnoteRef/>
      </w:r>
      <w:r w:rsidRPr="00E16E29">
        <w:rPr>
          <w:lang w:val="es-ES"/>
        </w:rPr>
        <w:t xml:space="preserve"> </w:t>
      </w:r>
      <w:r w:rsidRPr="00CB1989">
        <w:rPr>
          <w:lang w:val="es-ES"/>
        </w:rPr>
        <w:t xml:space="preserve">Ibid., </w:t>
      </w:r>
      <w:r w:rsidRPr="00E16E29">
        <w:rPr>
          <w:color w:val="000000"/>
          <w:szCs w:val="18"/>
          <w:lang w:val="es-ES"/>
        </w:rPr>
        <w:t>vol. </w:t>
      </w:r>
      <w:r w:rsidRPr="00CB1989">
        <w:rPr>
          <w:lang w:val="es-ES"/>
        </w:rPr>
        <w:t>2244</w:t>
      </w:r>
      <w:r w:rsidRPr="00E16E29">
        <w:rPr>
          <w:color w:val="000000"/>
          <w:szCs w:val="18"/>
          <w:lang w:val="es-ES"/>
        </w:rPr>
        <w:t>, n</w:t>
      </w:r>
      <w:r w:rsidRPr="00E16E29">
        <w:rPr>
          <w:color w:val="000000"/>
          <w:szCs w:val="18"/>
          <w:vertAlign w:val="superscript"/>
          <w:lang w:val="es-ES"/>
        </w:rPr>
        <w:t>o</w:t>
      </w:r>
      <w:r w:rsidRPr="00E16E29">
        <w:rPr>
          <w:color w:val="000000"/>
          <w:szCs w:val="18"/>
          <w:lang w:val="es-ES"/>
        </w:rPr>
        <w:t> </w:t>
      </w:r>
      <w:r w:rsidRPr="00CB1989">
        <w:rPr>
          <w:lang w:val="es-ES"/>
        </w:rPr>
        <w:t>39973</w:t>
      </w:r>
      <w:r w:rsidRPr="00E16E29">
        <w:rPr>
          <w:color w:val="000000"/>
          <w:szCs w:val="18"/>
          <w:lang w:val="es-ES"/>
        </w:rPr>
        <w:t>.</w:t>
      </w:r>
    </w:p>
  </w:footnote>
  <w:footnote w:id="15">
    <w:p w14:paraId="218175CD" w14:textId="5B04FD84" w:rsidR="00A40156" w:rsidRPr="00E16E29" w:rsidRDefault="00A40156">
      <w:pPr>
        <w:pStyle w:val="FootnoteText"/>
        <w:rPr>
          <w:lang w:val="es-ES"/>
        </w:rPr>
      </w:pPr>
      <w:r>
        <w:rPr>
          <w:rStyle w:val="FootnoteReference"/>
        </w:rPr>
        <w:footnoteRef/>
      </w:r>
      <w:r w:rsidRPr="00E16E29">
        <w:rPr>
          <w:lang w:val="es-ES"/>
        </w:rPr>
        <w:t xml:space="preserve"> </w:t>
      </w:r>
      <w:r w:rsidRPr="00CB1989">
        <w:rPr>
          <w:lang w:val="es-ES"/>
        </w:rPr>
        <w:t xml:space="preserve">Ibid., </w:t>
      </w:r>
      <w:r w:rsidRPr="00E16E29">
        <w:rPr>
          <w:color w:val="000000"/>
          <w:szCs w:val="18"/>
          <w:lang w:val="es-ES"/>
        </w:rPr>
        <w:t>vol. </w:t>
      </w:r>
      <w:r w:rsidRPr="00CB1989">
        <w:rPr>
          <w:lang w:val="es-ES"/>
        </w:rPr>
        <w:t>2256</w:t>
      </w:r>
      <w:r w:rsidRPr="00E16E29">
        <w:rPr>
          <w:color w:val="000000"/>
          <w:szCs w:val="18"/>
          <w:lang w:val="es-ES"/>
        </w:rPr>
        <w:t>, n</w:t>
      </w:r>
      <w:r w:rsidRPr="00E16E29">
        <w:rPr>
          <w:color w:val="000000"/>
          <w:szCs w:val="18"/>
          <w:vertAlign w:val="superscript"/>
          <w:lang w:val="es-ES"/>
        </w:rPr>
        <w:t>o</w:t>
      </w:r>
      <w:r w:rsidRPr="00E16E29">
        <w:rPr>
          <w:color w:val="000000"/>
          <w:szCs w:val="18"/>
          <w:lang w:val="es-ES"/>
        </w:rPr>
        <w:t> </w:t>
      </w:r>
      <w:r w:rsidRPr="00CB1989">
        <w:rPr>
          <w:lang w:val="es-ES"/>
        </w:rPr>
        <w:t>40214</w:t>
      </w:r>
      <w:r w:rsidRPr="00E16E29">
        <w:rPr>
          <w:color w:val="000000"/>
          <w:szCs w:val="18"/>
          <w:lang w:val="es-ES"/>
        </w:rPr>
        <w:t>.</w:t>
      </w:r>
    </w:p>
  </w:footnote>
  <w:footnote w:id="16">
    <w:p w14:paraId="433A8351" w14:textId="4C85F59B" w:rsidR="00A40156" w:rsidRPr="00E16E29" w:rsidRDefault="00A40156">
      <w:pPr>
        <w:pStyle w:val="FootnoteText"/>
        <w:rPr>
          <w:lang w:val="es-ES"/>
        </w:rPr>
      </w:pPr>
      <w:r>
        <w:rPr>
          <w:rStyle w:val="FootnoteReference"/>
        </w:rPr>
        <w:footnoteRef/>
      </w:r>
      <w:r w:rsidRPr="00E16E29">
        <w:rPr>
          <w:lang w:val="es-ES"/>
        </w:rPr>
        <w:t xml:space="preserve"> </w:t>
      </w:r>
      <w:r w:rsidRPr="00CB1989">
        <w:rPr>
          <w:lang w:val="es-ES"/>
        </w:rPr>
        <w:t xml:space="preserve">Ibid., </w:t>
      </w:r>
      <w:r w:rsidRPr="00E16E29">
        <w:rPr>
          <w:color w:val="000000"/>
          <w:szCs w:val="18"/>
          <w:lang w:val="es-ES"/>
        </w:rPr>
        <w:t>vol. </w:t>
      </w:r>
      <w:r w:rsidRPr="00E16E29">
        <w:rPr>
          <w:lang w:val="es-ES"/>
        </w:rPr>
        <w:t>3201</w:t>
      </w:r>
      <w:r w:rsidRPr="00E16E29">
        <w:rPr>
          <w:color w:val="000000"/>
          <w:szCs w:val="18"/>
          <w:lang w:val="es-ES"/>
        </w:rPr>
        <w:t>, n</w:t>
      </w:r>
      <w:r w:rsidRPr="00E16E29">
        <w:rPr>
          <w:color w:val="000000"/>
          <w:szCs w:val="18"/>
          <w:vertAlign w:val="superscript"/>
          <w:lang w:val="es-ES"/>
        </w:rPr>
        <w:t>o</w:t>
      </w:r>
      <w:r w:rsidRPr="00E16E29">
        <w:rPr>
          <w:color w:val="000000"/>
          <w:szCs w:val="18"/>
          <w:lang w:val="es-ES"/>
        </w:rPr>
        <w:t> </w:t>
      </w:r>
      <w:r w:rsidRPr="00E16E29">
        <w:rPr>
          <w:lang w:val="es-ES"/>
        </w:rPr>
        <w:t>3201</w:t>
      </w:r>
      <w:r w:rsidRPr="00E16E29">
        <w:rPr>
          <w:color w:val="000000"/>
          <w:szCs w:val="18"/>
          <w:lang w:val="es-ES"/>
        </w:rPr>
        <w:t>.</w:t>
      </w:r>
    </w:p>
  </w:footnote>
  <w:footnote w:id="17">
    <w:p w14:paraId="111EE62C" w14:textId="1AF06354" w:rsidR="0079083D" w:rsidRPr="002A64C2" w:rsidRDefault="0079083D" w:rsidP="0079083D">
      <w:pPr>
        <w:pStyle w:val="FootnoteText"/>
        <w:rPr>
          <w:lang w:val="fr-CA"/>
        </w:rPr>
      </w:pPr>
      <w:r w:rsidRPr="00516AA9">
        <w:rPr>
          <w:rStyle w:val="FootnoteReference"/>
        </w:rPr>
        <w:footnoteRef/>
      </w:r>
      <w:r w:rsidRPr="002A64C2">
        <w:rPr>
          <w:lang w:val="fr-CA"/>
        </w:rPr>
        <w:t xml:space="preserve"> Annexe à la décision</w:t>
      </w:r>
      <w:r w:rsidR="00441023">
        <w:rPr>
          <w:lang w:val="fr-CA"/>
        </w:rPr>
        <w:t> </w:t>
      </w:r>
      <w:hyperlink r:id="rId4" w:history="1">
        <w:r w:rsidRPr="002A64C2">
          <w:rPr>
            <w:rStyle w:val="Hyperlink"/>
            <w:lang w:val="fr-CA"/>
          </w:rPr>
          <w:t>15/4</w:t>
        </w:r>
      </w:hyperlink>
      <w:r w:rsidRPr="002A64C2">
        <w:rPr>
          <w:lang w:val="fr-CA"/>
        </w:rPr>
        <w:t>.</w:t>
      </w:r>
    </w:p>
  </w:footnote>
  <w:footnote w:id="18">
    <w:p w14:paraId="0336F9B9" w14:textId="68CC5115" w:rsidR="00A50675" w:rsidRPr="00247814" w:rsidRDefault="00A50675">
      <w:pPr>
        <w:pStyle w:val="FootnoteText"/>
        <w:rPr>
          <w:lang w:val="fr-CA"/>
        </w:rPr>
      </w:pPr>
      <w:r w:rsidRPr="00516AA9">
        <w:rPr>
          <w:rStyle w:val="FootnoteReference"/>
        </w:rPr>
        <w:footnoteRef/>
      </w:r>
      <w:r w:rsidRPr="00247814">
        <w:rPr>
          <w:lang w:val="fr-CA"/>
        </w:rPr>
        <w:t xml:space="preserve"> Annexe à la décision</w:t>
      </w:r>
      <w:r w:rsidR="00612A1F">
        <w:rPr>
          <w:lang w:val="fr-CA"/>
        </w:rPr>
        <w:t> </w:t>
      </w:r>
      <w:hyperlink r:id="rId5" w:history="1">
        <w:r w:rsidRPr="00247814">
          <w:rPr>
            <w:rStyle w:val="Hyperlink"/>
            <w:lang w:val="fr-CA"/>
          </w:rPr>
          <w:t>15/4</w:t>
        </w:r>
      </w:hyperlink>
      <w:r w:rsidRPr="00247814">
        <w:rPr>
          <w:lang w:val="fr-CA"/>
        </w:rPr>
        <w:t>.</w:t>
      </w:r>
    </w:p>
  </w:footnote>
  <w:footnote w:id="19">
    <w:p w14:paraId="718C79EE" w14:textId="15210991" w:rsidR="00AF736E" w:rsidRPr="00AF736E" w:rsidRDefault="00AF736E" w:rsidP="00AF736E">
      <w:pPr>
        <w:pStyle w:val="FootnoteText"/>
        <w:rPr>
          <w:lang w:val="fr-CA"/>
        </w:rPr>
      </w:pPr>
      <w:r w:rsidRPr="00516AA9">
        <w:rPr>
          <w:rStyle w:val="FootnoteReference"/>
        </w:rPr>
        <w:footnoteRef/>
      </w:r>
      <w:r w:rsidRPr="00AF736E">
        <w:rPr>
          <w:lang w:val="fr-CA"/>
        </w:rPr>
        <w:t xml:space="preserve"> Annexe à la décision</w:t>
      </w:r>
      <w:r w:rsidR="00610D85">
        <w:rPr>
          <w:lang w:val="fr-CA"/>
        </w:rPr>
        <w:t> </w:t>
      </w:r>
      <w:hyperlink r:id="rId6" w:history="1">
        <w:r w:rsidRPr="00AF736E">
          <w:rPr>
            <w:rStyle w:val="Hyperlink"/>
            <w:lang w:val="fr-CA"/>
          </w:rPr>
          <w:t>15/4</w:t>
        </w:r>
      </w:hyperlink>
      <w:r w:rsidRPr="00AF736E">
        <w:rPr>
          <w:lang w:val="fr-CA"/>
        </w:rPr>
        <w:t>.</w:t>
      </w:r>
    </w:p>
  </w:footnote>
  <w:footnote w:id="20">
    <w:p w14:paraId="2DDA59CF" w14:textId="469FD845" w:rsidR="004D3DDF" w:rsidRPr="00012D3B" w:rsidRDefault="004D3DDF" w:rsidP="004D3DDF">
      <w:pPr>
        <w:pStyle w:val="FootnoteText"/>
        <w:rPr>
          <w:lang w:val="fr-CA"/>
        </w:rPr>
      </w:pPr>
      <w:r>
        <w:rPr>
          <w:rStyle w:val="FootnoteReference"/>
        </w:rPr>
        <w:footnoteRef/>
      </w:r>
      <w:r w:rsidRPr="00012D3B">
        <w:rPr>
          <w:lang w:val="fr-CA"/>
        </w:rPr>
        <w:t xml:space="preserve"> </w:t>
      </w:r>
      <w:r>
        <w:rPr>
          <w:lang w:val="fr-CA"/>
        </w:rPr>
        <w:t>Annexe à la dé</w:t>
      </w:r>
      <w:r w:rsidRPr="00012D3B">
        <w:rPr>
          <w:lang w:val="fr-CA"/>
        </w:rPr>
        <w:t>cision</w:t>
      </w:r>
      <w:r w:rsidR="00610D85">
        <w:rPr>
          <w:lang w:val="fr-CA"/>
        </w:rPr>
        <w:t> </w:t>
      </w:r>
      <w:hyperlink r:id="rId7" w:history="1">
        <w:r w:rsidRPr="00012D3B">
          <w:rPr>
            <w:rStyle w:val="Hyperlink"/>
            <w:lang w:val="fr-CA"/>
          </w:rPr>
          <w:t>15/11</w:t>
        </w:r>
      </w:hyperlink>
      <w:r w:rsidRPr="00012D3B">
        <w:rPr>
          <w:lang w:val="fr-CA"/>
        </w:rPr>
        <w:t>.</w:t>
      </w:r>
    </w:p>
  </w:footnote>
  <w:footnote w:id="21">
    <w:p w14:paraId="59F38297" w14:textId="648D3AAB" w:rsidR="00610D85" w:rsidRPr="00610D85" w:rsidRDefault="00610D85">
      <w:pPr>
        <w:pStyle w:val="FootnoteText"/>
        <w:rPr>
          <w:lang w:val="fr-FR"/>
        </w:rPr>
      </w:pPr>
      <w:r>
        <w:rPr>
          <w:rStyle w:val="FootnoteReference"/>
        </w:rPr>
        <w:footnoteRef/>
      </w:r>
      <w:r>
        <w:t xml:space="preserve"> </w:t>
      </w:r>
      <w:r w:rsidRPr="003A2610">
        <w:rPr>
          <w:color w:val="000000"/>
          <w:szCs w:val="18"/>
          <w:lang w:val="fr-CA"/>
        </w:rPr>
        <w:t xml:space="preserve">Nations Unies, </w:t>
      </w:r>
      <w:r>
        <w:rPr>
          <w:i/>
          <w:iCs/>
          <w:color w:val="000000"/>
          <w:szCs w:val="18"/>
          <w:lang w:val="fr-CA"/>
        </w:rPr>
        <w:t>Recueil</w:t>
      </w:r>
      <w:r w:rsidRPr="003A2610">
        <w:rPr>
          <w:i/>
          <w:iCs/>
          <w:color w:val="000000"/>
          <w:szCs w:val="18"/>
          <w:lang w:val="fr-CA"/>
        </w:rPr>
        <w:t xml:space="preserve"> des traités</w:t>
      </w:r>
      <w:r w:rsidRPr="003A2610">
        <w:rPr>
          <w:iCs/>
          <w:color w:val="000000"/>
          <w:szCs w:val="18"/>
          <w:lang w:val="fr-CA"/>
        </w:rPr>
        <w:t>,</w:t>
      </w:r>
      <w:r w:rsidRPr="003A2610">
        <w:rPr>
          <w:i/>
          <w:iCs/>
          <w:color w:val="000000"/>
          <w:szCs w:val="18"/>
          <w:lang w:val="fr-CA"/>
        </w:rPr>
        <w:t xml:space="preserve"> </w:t>
      </w:r>
      <w:r w:rsidRPr="003A2610">
        <w:rPr>
          <w:color w:val="000000"/>
          <w:szCs w:val="18"/>
          <w:lang w:val="fr-CA"/>
        </w:rPr>
        <w:t>vol.</w:t>
      </w:r>
      <w:r>
        <w:rPr>
          <w:color w:val="000000"/>
          <w:szCs w:val="18"/>
          <w:lang w:val="fr-CA"/>
        </w:rPr>
        <w:t> </w:t>
      </w:r>
      <w:r w:rsidRPr="003A2610">
        <w:rPr>
          <w:color w:val="000000"/>
          <w:szCs w:val="18"/>
          <w:lang w:val="fr-CA"/>
        </w:rPr>
        <w:t>1760, n</w:t>
      </w:r>
      <w:r w:rsidRPr="003A2610">
        <w:rPr>
          <w:color w:val="000000"/>
          <w:szCs w:val="18"/>
          <w:vertAlign w:val="superscript"/>
          <w:lang w:val="fr-CA"/>
        </w:rPr>
        <w:t>o</w:t>
      </w:r>
      <w:r>
        <w:rPr>
          <w:color w:val="000000"/>
          <w:szCs w:val="18"/>
          <w:lang w:val="fr-CA"/>
        </w:rPr>
        <w:t> </w:t>
      </w:r>
      <w:r w:rsidRPr="003A2610">
        <w:rPr>
          <w:color w:val="000000"/>
          <w:szCs w:val="18"/>
          <w:lang w:val="fr-CA"/>
        </w:rPr>
        <w:t>30619.</w:t>
      </w:r>
    </w:p>
  </w:footnote>
  <w:footnote w:id="22">
    <w:p w14:paraId="4B6E9EB2" w14:textId="0D85061E" w:rsidR="00A50675" w:rsidRPr="002038F2" w:rsidRDefault="00A50675" w:rsidP="007F4BD3">
      <w:pPr>
        <w:pStyle w:val="FootnoteText"/>
        <w:rPr>
          <w:lang w:val="fr-CA"/>
        </w:rPr>
      </w:pPr>
      <w:r w:rsidRPr="002038F2">
        <w:rPr>
          <w:rStyle w:val="FootnoteReference"/>
          <w:lang w:val="fr-CA"/>
        </w:rPr>
        <w:footnoteRef/>
      </w:r>
      <w:r w:rsidRPr="002038F2">
        <w:rPr>
          <w:lang w:val="fr-CA"/>
        </w:rPr>
        <w:t xml:space="preserve"> Annexe à la décision</w:t>
      </w:r>
      <w:r w:rsidR="00612A1F">
        <w:rPr>
          <w:lang w:val="fr-CA"/>
        </w:rPr>
        <w:t> </w:t>
      </w:r>
      <w:hyperlink r:id="rId8" w:history="1">
        <w:r w:rsidRPr="002038F2">
          <w:rPr>
            <w:rStyle w:val="Hyperlink"/>
            <w:lang w:val="fr-CA"/>
          </w:rPr>
          <w:t>15/4</w:t>
        </w:r>
      </w:hyperlink>
      <w:r w:rsidRPr="002038F2">
        <w:rPr>
          <w:lang w:val="fr-CA"/>
        </w:rPr>
        <w:t>.</w:t>
      </w:r>
    </w:p>
  </w:footnote>
  <w:footnote w:id="23">
    <w:p w14:paraId="5ABEB9E4" w14:textId="666D9A22" w:rsidR="003A167C" w:rsidRPr="003A167C" w:rsidRDefault="003A167C">
      <w:pPr>
        <w:pStyle w:val="FootnoteText"/>
        <w:rPr>
          <w:lang w:val="fr-FR"/>
        </w:rPr>
      </w:pPr>
      <w:r>
        <w:rPr>
          <w:rStyle w:val="FootnoteReference"/>
        </w:rPr>
        <w:footnoteRef/>
      </w:r>
      <w:r>
        <w:t xml:space="preserve"> </w:t>
      </w:r>
      <w:r w:rsidRPr="003A2610">
        <w:rPr>
          <w:color w:val="000000"/>
          <w:szCs w:val="18"/>
          <w:lang w:val="fr-CA"/>
        </w:rPr>
        <w:t xml:space="preserve">Nations Unies, </w:t>
      </w:r>
      <w:r>
        <w:rPr>
          <w:i/>
          <w:iCs/>
          <w:color w:val="000000"/>
          <w:szCs w:val="18"/>
          <w:lang w:val="fr-CA"/>
        </w:rPr>
        <w:t>Recueil</w:t>
      </w:r>
      <w:r w:rsidRPr="003A2610">
        <w:rPr>
          <w:i/>
          <w:iCs/>
          <w:color w:val="000000"/>
          <w:szCs w:val="18"/>
          <w:lang w:val="fr-CA"/>
        </w:rPr>
        <w:t xml:space="preserve"> des traités</w:t>
      </w:r>
      <w:r w:rsidRPr="003A2610">
        <w:rPr>
          <w:iCs/>
          <w:color w:val="000000"/>
          <w:szCs w:val="18"/>
          <w:lang w:val="fr-CA"/>
        </w:rPr>
        <w:t>,</w:t>
      </w:r>
      <w:r w:rsidRPr="003A2610">
        <w:rPr>
          <w:i/>
          <w:iCs/>
          <w:color w:val="000000"/>
          <w:szCs w:val="18"/>
          <w:lang w:val="fr-CA"/>
        </w:rPr>
        <w:t xml:space="preserve"> </w:t>
      </w:r>
      <w:r w:rsidRPr="003A2610">
        <w:rPr>
          <w:color w:val="000000"/>
          <w:szCs w:val="18"/>
          <w:lang w:val="fr-CA"/>
        </w:rPr>
        <w:t>vol.</w:t>
      </w:r>
      <w:r>
        <w:rPr>
          <w:color w:val="000000"/>
          <w:szCs w:val="18"/>
          <w:lang w:val="fr-CA"/>
        </w:rPr>
        <w:t> </w:t>
      </w:r>
      <w:r w:rsidRPr="003A2610">
        <w:rPr>
          <w:color w:val="000000"/>
          <w:szCs w:val="18"/>
          <w:lang w:val="fr-CA"/>
        </w:rPr>
        <w:t>1760, n</w:t>
      </w:r>
      <w:r w:rsidRPr="003A2610">
        <w:rPr>
          <w:color w:val="000000"/>
          <w:szCs w:val="18"/>
          <w:vertAlign w:val="superscript"/>
          <w:lang w:val="fr-CA"/>
        </w:rPr>
        <w:t>o</w:t>
      </w:r>
      <w:r>
        <w:rPr>
          <w:color w:val="000000"/>
          <w:szCs w:val="18"/>
          <w:lang w:val="fr-CA"/>
        </w:rPr>
        <w:t> </w:t>
      </w:r>
      <w:r w:rsidRPr="003A2610">
        <w:rPr>
          <w:color w:val="000000"/>
          <w:szCs w:val="18"/>
          <w:lang w:val="fr-CA"/>
        </w:rP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7418" w14:textId="34E8BB6E" w:rsidR="00A50675" w:rsidRPr="000D6E57" w:rsidRDefault="00A50675" w:rsidP="00DF78C4">
    <w:pPr>
      <w:pStyle w:val="CBDHeader"/>
    </w:pPr>
    <w:r w:rsidRPr="000D6E57">
      <w:t>CBD/SBSTTA/</w:t>
    </w:r>
    <w:r w:rsidR="003C2DEC">
      <w:t>REC/</w:t>
    </w:r>
    <w:r w:rsidRPr="000D6E57">
      <w:t>27</w:t>
    </w:r>
    <w:r w:rsidR="003C2DEC">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7E49" w14:textId="3DA112E4" w:rsidR="00A50675" w:rsidRPr="000D6E57" w:rsidRDefault="00A50675" w:rsidP="00DF78C4">
    <w:pPr>
      <w:pStyle w:val="CBDHeader"/>
      <w:jc w:val="right"/>
    </w:pPr>
    <w:r w:rsidRPr="000D6E57">
      <w:t>CBD/SBSTTA/</w:t>
    </w:r>
    <w:r w:rsidR="003C2DEC">
      <w:t>REC/</w:t>
    </w:r>
    <w:r w:rsidRPr="000D6E57">
      <w:t>27</w:t>
    </w:r>
    <w:r w:rsidR="003C2DEC">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9E2"/>
    <w:multiLevelType w:val="hybridMultilevel"/>
    <w:tmpl w:val="047ECA26"/>
    <w:lvl w:ilvl="0" w:tplc="AC687E0C">
      <w:start w:val="1"/>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 w15:restartNumberingAfterBreak="0">
    <w:nsid w:val="0A8D018E"/>
    <w:multiLevelType w:val="hybridMultilevel"/>
    <w:tmpl w:val="DA7C88C6"/>
    <w:lvl w:ilvl="0" w:tplc="166EE19C">
      <w:start w:val="1"/>
      <w:numFmt w:val="lowerLetter"/>
      <w:lvlText w:val="%1)"/>
      <w:lvlJc w:val="left"/>
      <w:pPr>
        <w:ind w:left="2629" w:hanging="360"/>
      </w:pPr>
      <w:rPr>
        <w:rFonts w:hint="default"/>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2" w15:restartNumberingAfterBreak="0">
    <w:nsid w:val="24F45092"/>
    <w:multiLevelType w:val="hybridMultilevel"/>
    <w:tmpl w:val="90C8D5CC"/>
    <w:lvl w:ilvl="0" w:tplc="949ED63E">
      <w:start w:val="1"/>
      <w:numFmt w:val="decimal"/>
      <w:lvlText w:val="%1."/>
      <w:lvlJc w:val="left"/>
      <w:pPr>
        <w:ind w:left="1689" w:hanging="555"/>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5D943BEE"/>
    <w:multiLevelType w:val="multilevel"/>
    <w:tmpl w:val="222A08B4"/>
    <w:numStyleLink w:val="ListCBD"/>
  </w:abstractNum>
  <w:abstractNum w:abstractNumId="5" w15:restartNumberingAfterBreak="0">
    <w:nsid w:val="62C576CF"/>
    <w:multiLevelType w:val="hybridMultilevel"/>
    <w:tmpl w:val="BEA0A70C"/>
    <w:lvl w:ilvl="0" w:tplc="AD3A1CA2">
      <w:start w:val="1"/>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1302750">
    <w:abstractNumId w:val="7"/>
  </w:num>
  <w:num w:numId="2" w16cid:durableId="1451164284">
    <w:abstractNumId w:val="3"/>
  </w:num>
  <w:num w:numId="3" w16cid:durableId="1500733033">
    <w:abstractNumId w:val="6"/>
  </w:num>
  <w:num w:numId="4" w16cid:durableId="1758552859">
    <w:abstractNumId w:val="4"/>
  </w:num>
  <w:num w:numId="5" w16cid:durableId="355742064">
    <w:abstractNumId w:val="2"/>
  </w:num>
  <w:num w:numId="6" w16cid:durableId="1177041243">
    <w:abstractNumId w:val="1"/>
  </w:num>
  <w:num w:numId="7" w16cid:durableId="708409801">
    <w:abstractNumId w:val="5"/>
  </w:num>
  <w:num w:numId="8" w16cid:durableId="173862327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evenAndOddHeaders/>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33"/>
    <w:rsid w:val="000015FE"/>
    <w:rsid w:val="000042AB"/>
    <w:rsid w:val="000042F3"/>
    <w:rsid w:val="000059E6"/>
    <w:rsid w:val="00006834"/>
    <w:rsid w:val="00010747"/>
    <w:rsid w:val="000111A5"/>
    <w:rsid w:val="0001279E"/>
    <w:rsid w:val="00012D3B"/>
    <w:rsid w:val="00012E2E"/>
    <w:rsid w:val="000146A1"/>
    <w:rsid w:val="00015D67"/>
    <w:rsid w:val="00017F13"/>
    <w:rsid w:val="00017F1C"/>
    <w:rsid w:val="0002020D"/>
    <w:rsid w:val="00020E26"/>
    <w:rsid w:val="00020EA1"/>
    <w:rsid w:val="00021093"/>
    <w:rsid w:val="0002454B"/>
    <w:rsid w:val="000245F7"/>
    <w:rsid w:val="00024FAF"/>
    <w:rsid w:val="000266A6"/>
    <w:rsid w:val="00026AF9"/>
    <w:rsid w:val="00027762"/>
    <w:rsid w:val="00030D12"/>
    <w:rsid w:val="00030DA1"/>
    <w:rsid w:val="00033EB5"/>
    <w:rsid w:val="000342DE"/>
    <w:rsid w:val="0003604E"/>
    <w:rsid w:val="00037EA6"/>
    <w:rsid w:val="00037EEB"/>
    <w:rsid w:val="00041B18"/>
    <w:rsid w:val="000420E0"/>
    <w:rsid w:val="00042531"/>
    <w:rsid w:val="00042578"/>
    <w:rsid w:val="00042F71"/>
    <w:rsid w:val="00042F95"/>
    <w:rsid w:val="00043BD8"/>
    <w:rsid w:val="00043DC1"/>
    <w:rsid w:val="00043E7C"/>
    <w:rsid w:val="00044FB5"/>
    <w:rsid w:val="00045C1D"/>
    <w:rsid w:val="00045C71"/>
    <w:rsid w:val="00047D66"/>
    <w:rsid w:val="000521CE"/>
    <w:rsid w:val="000522B2"/>
    <w:rsid w:val="00052A5F"/>
    <w:rsid w:val="00052FBC"/>
    <w:rsid w:val="00061395"/>
    <w:rsid w:val="0006178F"/>
    <w:rsid w:val="00061AB2"/>
    <w:rsid w:val="00063593"/>
    <w:rsid w:val="000646C0"/>
    <w:rsid w:val="00065C49"/>
    <w:rsid w:val="0006639A"/>
    <w:rsid w:val="00066ADE"/>
    <w:rsid w:val="00071371"/>
    <w:rsid w:val="0007289E"/>
    <w:rsid w:val="00072982"/>
    <w:rsid w:val="00072D6D"/>
    <w:rsid w:val="00075B87"/>
    <w:rsid w:val="000762D4"/>
    <w:rsid w:val="00076EA1"/>
    <w:rsid w:val="0007728F"/>
    <w:rsid w:val="000772BC"/>
    <w:rsid w:val="00077EC9"/>
    <w:rsid w:val="00083204"/>
    <w:rsid w:val="00083A04"/>
    <w:rsid w:val="00085055"/>
    <w:rsid w:val="0008505A"/>
    <w:rsid w:val="00085A9B"/>
    <w:rsid w:val="00086362"/>
    <w:rsid w:val="00086949"/>
    <w:rsid w:val="00086C0C"/>
    <w:rsid w:val="00090D54"/>
    <w:rsid w:val="0009292E"/>
    <w:rsid w:val="00095036"/>
    <w:rsid w:val="00095208"/>
    <w:rsid w:val="000955AA"/>
    <w:rsid w:val="000969B1"/>
    <w:rsid w:val="0009714C"/>
    <w:rsid w:val="00097327"/>
    <w:rsid w:val="000A051F"/>
    <w:rsid w:val="000A06F2"/>
    <w:rsid w:val="000A1253"/>
    <w:rsid w:val="000A2E50"/>
    <w:rsid w:val="000A38B2"/>
    <w:rsid w:val="000A3B7F"/>
    <w:rsid w:val="000A3B83"/>
    <w:rsid w:val="000A4B04"/>
    <w:rsid w:val="000A6142"/>
    <w:rsid w:val="000A757D"/>
    <w:rsid w:val="000A7739"/>
    <w:rsid w:val="000B06A1"/>
    <w:rsid w:val="000B0F67"/>
    <w:rsid w:val="000B1DE9"/>
    <w:rsid w:val="000B292C"/>
    <w:rsid w:val="000B438F"/>
    <w:rsid w:val="000B449E"/>
    <w:rsid w:val="000B6158"/>
    <w:rsid w:val="000B6B75"/>
    <w:rsid w:val="000C10F1"/>
    <w:rsid w:val="000C2E3C"/>
    <w:rsid w:val="000C37A6"/>
    <w:rsid w:val="000C4E08"/>
    <w:rsid w:val="000C507E"/>
    <w:rsid w:val="000C51EC"/>
    <w:rsid w:val="000C61BB"/>
    <w:rsid w:val="000C65CD"/>
    <w:rsid w:val="000D034C"/>
    <w:rsid w:val="000D0BC5"/>
    <w:rsid w:val="000D0E75"/>
    <w:rsid w:val="000D12B4"/>
    <w:rsid w:val="000D2890"/>
    <w:rsid w:val="000D3063"/>
    <w:rsid w:val="000D400A"/>
    <w:rsid w:val="000D5C27"/>
    <w:rsid w:val="000D6042"/>
    <w:rsid w:val="000D6C88"/>
    <w:rsid w:val="000D6E57"/>
    <w:rsid w:val="000E0AD1"/>
    <w:rsid w:val="000E1E48"/>
    <w:rsid w:val="000E2228"/>
    <w:rsid w:val="000E225E"/>
    <w:rsid w:val="000E4135"/>
    <w:rsid w:val="000E50C1"/>
    <w:rsid w:val="000E5703"/>
    <w:rsid w:val="000E6683"/>
    <w:rsid w:val="000E6891"/>
    <w:rsid w:val="000E6B65"/>
    <w:rsid w:val="000F0A60"/>
    <w:rsid w:val="000F205A"/>
    <w:rsid w:val="000F29A5"/>
    <w:rsid w:val="000F2E81"/>
    <w:rsid w:val="000F3F06"/>
    <w:rsid w:val="000F47B5"/>
    <w:rsid w:val="000F62B0"/>
    <w:rsid w:val="000F767E"/>
    <w:rsid w:val="00103CBC"/>
    <w:rsid w:val="00103E27"/>
    <w:rsid w:val="00105F54"/>
    <w:rsid w:val="001065E9"/>
    <w:rsid w:val="001074AA"/>
    <w:rsid w:val="00107AE9"/>
    <w:rsid w:val="00107F3B"/>
    <w:rsid w:val="00110182"/>
    <w:rsid w:val="00112870"/>
    <w:rsid w:val="00112B65"/>
    <w:rsid w:val="00114DED"/>
    <w:rsid w:val="001157F5"/>
    <w:rsid w:val="00120D06"/>
    <w:rsid w:val="001233E1"/>
    <w:rsid w:val="00125D92"/>
    <w:rsid w:val="001270C9"/>
    <w:rsid w:val="00127795"/>
    <w:rsid w:val="00131DF4"/>
    <w:rsid w:val="001321AF"/>
    <w:rsid w:val="00132276"/>
    <w:rsid w:val="001331B3"/>
    <w:rsid w:val="00134444"/>
    <w:rsid w:val="0013493E"/>
    <w:rsid w:val="00134A2B"/>
    <w:rsid w:val="00136E32"/>
    <w:rsid w:val="00141E40"/>
    <w:rsid w:val="00144129"/>
    <w:rsid w:val="00144EAF"/>
    <w:rsid w:val="0014553F"/>
    <w:rsid w:val="00150087"/>
    <w:rsid w:val="0015022C"/>
    <w:rsid w:val="001523B1"/>
    <w:rsid w:val="001524BA"/>
    <w:rsid w:val="001528E1"/>
    <w:rsid w:val="001528E4"/>
    <w:rsid w:val="00154CCF"/>
    <w:rsid w:val="00155E3C"/>
    <w:rsid w:val="001602FF"/>
    <w:rsid w:val="00160521"/>
    <w:rsid w:val="00160C1A"/>
    <w:rsid w:val="00162E5C"/>
    <w:rsid w:val="00165819"/>
    <w:rsid w:val="00165F9E"/>
    <w:rsid w:val="00166F98"/>
    <w:rsid w:val="00170B99"/>
    <w:rsid w:val="00171B5B"/>
    <w:rsid w:val="0017314F"/>
    <w:rsid w:val="0017513A"/>
    <w:rsid w:val="00175FCC"/>
    <w:rsid w:val="001761A9"/>
    <w:rsid w:val="00182753"/>
    <w:rsid w:val="001833EC"/>
    <w:rsid w:val="00184891"/>
    <w:rsid w:val="00184F94"/>
    <w:rsid w:val="0018660A"/>
    <w:rsid w:val="00190711"/>
    <w:rsid w:val="00190D94"/>
    <w:rsid w:val="00191509"/>
    <w:rsid w:val="00191E49"/>
    <w:rsid w:val="00191FA2"/>
    <w:rsid w:val="0019274F"/>
    <w:rsid w:val="00193073"/>
    <w:rsid w:val="001947C7"/>
    <w:rsid w:val="00197639"/>
    <w:rsid w:val="00197664"/>
    <w:rsid w:val="001A01DF"/>
    <w:rsid w:val="001A02D3"/>
    <w:rsid w:val="001A0F5C"/>
    <w:rsid w:val="001A15B8"/>
    <w:rsid w:val="001A1B5D"/>
    <w:rsid w:val="001A1F58"/>
    <w:rsid w:val="001A2505"/>
    <w:rsid w:val="001A33DA"/>
    <w:rsid w:val="001A4270"/>
    <w:rsid w:val="001A48C1"/>
    <w:rsid w:val="001A4D9D"/>
    <w:rsid w:val="001A4F31"/>
    <w:rsid w:val="001A54B2"/>
    <w:rsid w:val="001A5A0D"/>
    <w:rsid w:val="001A5A37"/>
    <w:rsid w:val="001A7228"/>
    <w:rsid w:val="001A75E7"/>
    <w:rsid w:val="001A789C"/>
    <w:rsid w:val="001A7B7A"/>
    <w:rsid w:val="001B314E"/>
    <w:rsid w:val="001B48C1"/>
    <w:rsid w:val="001B6D91"/>
    <w:rsid w:val="001C1266"/>
    <w:rsid w:val="001C12F0"/>
    <w:rsid w:val="001C1E54"/>
    <w:rsid w:val="001C6DE5"/>
    <w:rsid w:val="001C7822"/>
    <w:rsid w:val="001C7E73"/>
    <w:rsid w:val="001D02E7"/>
    <w:rsid w:val="001D23EE"/>
    <w:rsid w:val="001D2B35"/>
    <w:rsid w:val="001D3B15"/>
    <w:rsid w:val="001E0F1E"/>
    <w:rsid w:val="001E372A"/>
    <w:rsid w:val="001E3D3D"/>
    <w:rsid w:val="001E46E0"/>
    <w:rsid w:val="001E5B3E"/>
    <w:rsid w:val="001E7CE2"/>
    <w:rsid w:val="001F13C2"/>
    <w:rsid w:val="001F36BB"/>
    <w:rsid w:val="001F375F"/>
    <w:rsid w:val="001F3B65"/>
    <w:rsid w:val="001F435A"/>
    <w:rsid w:val="001F4546"/>
    <w:rsid w:val="001F52DA"/>
    <w:rsid w:val="001F5FD3"/>
    <w:rsid w:val="001F60D7"/>
    <w:rsid w:val="001F6970"/>
    <w:rsid w:val="001F7C7F"/>
    <w:rsid w:val="00201368"/>
    <w:rsid w:val="00201F87"/>
    <w:rsid w:val="002038F2"/>
    <w:rsid w:val="0020463A"/>
    <w:rsid w:val="002062D8"/>
    <w:rsid w:val="002062E2"/>
    <w:rsid w:val="0021007B"/>
    <w:rsid w:val="00214A5E"/>
    <w:rsid w:val="00215F81"/>
    <w:rsid w:val="00216630"/>
    <w:rsid w:val="002203E6"/>
    <w:rsid w:val="00222A48"/>
    <w:rsid w:val="00222CB9"/>
    <w:rsid w:val="00224088"/>
    <w:rsid w:val="002240C6"/>
    <w:rsid w:val="002249EF"/>
    <w:rsid w:val="00225AAC"/>
    <w:rsid w:val="0022630A"/>
    <w:rsid w:val="002277AC"/>
    <w:rsid w:val="00230FA5"/>
    <w:rsid w:val="0023217B"/>
    <w:rsid w:val="00232F58"/>
    <w:rsid w:val="00233827"/>
    <w:rsid w:val="00233873"/>
    <w:rsid w:val="0023596E"/>
    <w:rsid w:val="00237CC9"/>
    <w:rsid w:val="00237FA2"/>
    <w:rsid w:val="002400D8"/>
    <w:rsid w:val="00241471"/>
    <w:rsid w:val="00241E18"/>
    <w:rsid w:val="00242EFD"/>
    <w:rsid w:val="00243E31"/>
    <w:rsid w:val="002475C0"/>
    <w:rsid w:val="00247814"/>
    <w:rsid w:val="002507DC"/>
    <w:rsid w:val="0025097F"/>
    <w:rsid w:val="00250E3E"/>
    <w:rsid w:val="002515D0"/>
    <w:rsid w:val="00254F07"/>
    <w:rsid w:val="00254FB4"/>
    <w:rsid w:val="002560E6"/>
    <w:rsid w:val="00260893"/>
    <w:rsid w:val="00261175"/>
    <w:rsid w:val="00262C34"/>
    <w:rsid w:val="00266B08"/>
    <w:rsid w:val="00266D38"/>
    <w:rsid w:val="00270521"/>
    <w:rsid w:val="00270739"/>
    <w:rsid w:val="00272E59"/>
    <w:rsid w:val="0027613F"/>
    <w:rsid w:val="002775AE"/>
    <w:rsid w:val="0028002E"/>
    <w:rsid w:val="00280588"/>
    <w:rsid w:val="00280AF1"/>
    <w:rsid w:val="00280EEA"/>
    <w:rsid w:val="00281FC1"/>
    <w:rsid w:val="0028558A"/>
    <w:rsid w:val="0028685D"/>
    <w:rsid w:val="0028758F"/>
    <w:rsid w:val="002913EB"/>
    <w:rsid w:val="0029454B"/>
    <w:rsid w:val="00296998"/>
    <w:rsid w:val="002A0BD9"/>
    <w:rsid w:val="002A242B"/>
    <w:rsid w:val="002A332D"/>
    <w:rsid w:val="002A3E94"/>
    <w:rsid w:val="002A64C2"/>
    <w:rsid w:val="002B22A5"/>
    <w:rsid w:val="002B382A"/>
    <w:rsid w:val="002B4225"/>
    <w:rsid w:val="002B4398"/>
    <w:rsid w:val="002B6D7D"/>
    <w:rsid w:val="002B7107"/>
    <w:rsid w:val="002B7380"/>
    <w:rsid w:val="002B782A"/>
    <w:rsid w:val="002B7B5E"/>
    <w:rsid w:val="002C009D"/>
    <w:rsid w:val="002C01CE"/>
    <w:rsid w:val="002C0504"/>
    <w:rsid w:val="002C191B"/>
    <w:rsid w:val="002C2E0B"/>
    <w:rsid w:val="002C2E11"/>
    <w:rsid w:val="002C2E5A"/>
    <w:rsid w:val="002C36FA"/>
    <w:rsid w:val="002C5303"/>
    <w:rsid w:val="002C6775"/>
    <w:rsid w:val="002C6D06"/>
    <w:rsid w:val="002C6D7D"/>
    <w:rsid w:val="002C6EBB"/>
    <w:rsid w:val="002C70B0"/>
    <w:rsid w:val="002D0682"/>
    <w:rsid w:val="002D0FEB"/>
    <w:rsid w:val="002D22B2"/>
    <w:rsid w:val="002D2D42"/>
    <w:rsid w:val="002D3B5E"/>
    <w:rsid w:val="002D4C7A"/>
    <w:rsid w:val="002D6555"/>
    <w:rsid w:val="002D7F82"/>
    <w:rsid w:val="002E003B"/>
    <w:rsid w:val="002E0205"/>
    <w:rsid w:val="002E0D2F"/>
    <w:rsid w:val="002E0E55"/>
    <w:rsid w:val="002E1787"/>
    <w:rsid w:val="002E1DCD"/>
    <w:rsid w:val="002E2937"/>
    <w:rsid w:val="002E56C7"/>
    <w:rsid w:val="002E56FF"/>
    <w:rsid w:val="002E5921"/>
    <w:rsid w:val="002F3CFB"/>
    <w:rsid w:val="002F3DFF"/>
    <w:rsid w:val="002F3FEB"/>
    <w:rsid w:val="002F5C65"/>
    <w:rsid w:val="00300D9E"/>
    <w:rsid w:val="003012C6"/>
    <w:rsid w:val="003015A5"/>
    <w:rsid w:val="00303163"/>
    <w:rsid w:val="0030604B"/>
    <w:rsid w:val="00306C5E"/>
    <w:rsid w:val="00307BB5"/>
    <w:rsid w:val="00311C08"/>
    <w:rsid w:val="003123DE"/>
    <w:rsid w:val="003132DF"/>
    <w:rsid w:val="00313E0D"/>
    <w:rsid w:val="00314288"/>
    <w:rsid w:val="00316611"/>
    <w:rsid w:val="0031747E"/>
    <w:rsid w:val="00321B6F"/>
    <w:rsid w:val="00322194"/>
    <w:rsid w:val="003227EB"/>
    <w:rsid w:val="00324EDC"/>
    <w:rsid w:val="00325D52"/>
    <w:rsid w:val="00326466"/>
    <w:rsid w:val="00327D16"/>
    <w:rsid w:val="00331A64"/>
    <w:rsid w:val="003337AA"/>
    <w:rsid w:val="00333D59"/>
    <w:rsid w:val="00335DF4"/>
    <w:rsid w:val="0033648B"/>
    <w:rsid w:val="003401C9"/>
    <w:rsid w:val="00341D83"/>
    <w:rsid w:val="00341EC8"/>
    <w:rsid w:val="00343986"/>
    <w:rsid w:val="00344383"/>
    <w:rsid w:val="00344A00"/>
    <w:rsid w:val="00344FFB"/>
    <w:rsid w:val="003476C6"/>
    <w:rsid w:val="00347FE1"/>
    <w:rsid w:val="00353049"/>
    <w:rsid w:val="00353B4B"/>
    <w:rsid w:val="0035540B"/>
    <w:rsid w:val="003567A5"/>
    <w:rsid w:val="00357324"/>
    <w:rsid w:val="003577C8"/>
    <w:rsid w:val="003600E9"/>
    <w:rsid w:val="003616DF"/>
    <w:rsid w:val="00362DCA"/>
    <w:rsid w:val="003644B1"/>
    <w:rsid w:val="00365561"/>
    <w:rsid w:val="00365EA8"/>
    <w:rsid w:val="003667FE"/>
    <w:rsid w:val="00366C00"/>
    <w:rsid w:val="00367817"/>
    <w:rsid w:val="003679A4"/>
    <w:rsid w:val="00370607"/>
    <w:rsid w:val="003717FF"/>
    <w:rsid w:val="00373BF8"/>
    <w:rsid w:val="00376156"/>
    <w:rsid w:val="00377029"/>
    <w:rsid w:val="00377BBB"/>
    <w:rsid w:val="0038482C"/>
    <w:rsid w:val="00384E4E"/>
    <w:rsid w:val="0038595A"/>
    <w:rsid w:val="00386992"/>
    <w:rsid w:val="00386EDA"/>
    <w:rsid w:val="00390558"/>
    <w:rsid w:val="00390FAB"/>
    <w:rsid w:val="0039229B"/>
    <w:rsid w:val="0039314B"/>
    <w:rsid w:val="0039351B"/>
    <w:rsid w:val="003947D7"/>
    <w:rsid w:val="00395744"/>
    <w:rsid w:val="00395F51"/>
    <w:rsid w:val="00396B5E"/>
    <w:rsid w:val="003A0016"/>
    <w:rsid w:val="003A03B8"/>
    <w:rsid w:val="003A167C"/>
    <w:rsid w:val="003A2610"/>
    <w:rsid w:val="003A4629"/>
    <w:rsid w:val="003A5E52"/>
    <w:rsid w:val="003A647C"/>
    <w:rsid w:val="003A656C"/>
    <w:rsid w:val="003A731C"/>
    <w:rsid w:val="003B042C"/>
    <w:rsid w:val="003B1346"/>
    <w:rsid w:val="003B142B"/>
    <w:rsid w:val="003B142D"/>
    <w:rsid w:val="003B2377"/>
    <w:rsid w:val="003B2713"/>
    <w:rsid w:val="003B2A9F"/>
    <w:rsid w:val="003B3B5F"/>
    <w:rsid w:val="003B5D62"/>
    <w:rsid w:val="003B5DC9"/>
    <w:rsid w:val="003B7688"/>
    <w:rsid w:val="003C1774"/>
    <w:rsid w:val="003C26B8"/>
    <w:rsid w:val="003C2DEC"/>
    <w:rsid w:val="003C5938"/>
    <w:rsid w:val="003C59EC"/>
    <w:rsid w:val="003C640F"/>
    <w:rsid w:val="003C778D"/>
    <w:rsid w:val="003C7C0B"/>
    <w:rsid w:val="003D18A0"/>
    <w:rsid w:val="003D5DB1"/>
    <w:rsid w:val="003D6ED0"/>
    <w:rsid w:val="003D700C"/>
    <w:rsid w:val="003D7C8B"/>
    <w:rsid w:val="003E0DFC"/>
    <w:rsid w:val="003E4410"/>
    <w:rsid w:val="003E567C"/>
    <w:rsid w:val="003F03B6"/>
    <w:rsid w:val="003F0895"/>
    <w:rsid w:val="003F2916"/>
    <w:rsid w:val="003F5B4A"/>
    <w:rsid w:val="003F6153"/>
    <w:rsid w:val="003F6919"/>
    <w:rsid w:val="004008CF"/>
    <w:rsid w:val="00402E21"/>
    <w:rsid w:val="0040325C"/>
    <w:rsid w:val="0040348A"/>
    <w:rsid w:val="004059F2"/>
    <w:rsid w:val="00406686"/>
    <w:rsid w:val="004066F9"/>
    <w:rsid w:val="00407752"/>
    <w:rsid w:val="00411499"/>
    <w:rsid w:val="00411551"/>
    <w:rsid w:val="00412B88"/>
    <w:rsid w:val="004134F6"/>
    <w:rsid w:val="00414270"/>
    <w:rsid w:val="00414BCB"/>
    <w:rsid w:val="00414C89"/>
    <w:rsid w:val="0041625A"/>
    <w:rsid w:val="00423ACE"/>
    <w:rsid w:val="004254A2"/>
    <w:rsid w:val="004256B7"/>
    <w:rsid w:val="00426C6B"/>
    <w:rsid w:val="00427BB8"/>
    <w:rsid w:val="00430F59"/>
    <w:rsid w:val="004311DD"/>
    <w:rsid w:val="0043259C"/>
    <w:rsid w:val="00432D24"/>
    <w:rsid w:val="004339EF"/>
    <w:rsid w:val="00433B55"/>
    <w:rsid w:val="00435D9F"/>
    <w:rsid w:val="00435EEC"/>
    <w:rsid w:val="00436523"/>
    <w:rsid w:val="00437169"/>
    <w:rsid w:val="00441023"/>
    <w:rsid w:val="00443D7D"/>
    <w:rsid w:val="0044508A"/>
    <w:rsid w:val="00447AA3"/>
    <w:rsid w:val="004519FE"/>
    <w:rsid w:val="00451AB3"/>
    <w:rsid w:val="00451BD4"/>
    <w:rsid w:val="0045290D"/>
    <w:rsid w:val="004532FE"/>
    <w:rsid w:val="004538E8"/>
    <w:rsid w:val="00454FD7"/>
    <w:rsid w:val="004555C4"/>
    <w:rsid w:val="004561C0"/>
    <w:rsid w:val="00456995"/>
    <w:rsid w:val="00456DAE"/>
    <w:rsid w:val="00461CF8"/>
    <w:rsid w:val="00462940"/>
    <w:rsid w:val="004649D0"/>
    <w:rsid w:val="00467ADC"/>
    <w:rsid w:val="00470C5A"/>
    <w:rsid w:val="004724B5"/>
    <w:rsid w:val="00473A11"/>
    <w:rsid w:val="004744A4"/>
    <w:rsid w:val="00475384"/>
    <w:rsid w:val="00476233"/>
    <w:rsid w:val="004763C2"/>
    <w:rsid w:val="00477CEC"/>
    <w:rsid w:val="00480C7D"/>
    <w:rsid w:val="004837C9"/>
    <w:rsid w:val="00484983"/>
    <w:rsid w:val="00486735"/>
    <w:rsid w:val="00486C1E"/>
    <w:rsid w:val="00487080"/>
    <w:rsid w:val="004901C2"/>
    <w:rsid w:val="004908AB"/>
    <w:rsid w:val="004916A1"/>
    <w:rsid w:val="00491C37"/>
    <w:rsid w:val="004959BE"/>
    <w:rsid w:val="00496A78"/>
    <w:rsid w:val="00497F97"/>
    <w:rsid w:val="004A0708"/>
    <w:rsid w:val="004A07DC"/>
    <w:rsid w:val="004A17E6"/>
    <w:rsid w:val="004A3F73"/>
    <w:rsid w:val="004A4ABB"/>
    <w:rsid w:val="004A5882"/>
    <w:rsid w:val="004B0554"/>
    <w:rsid w:val="004B1B7D"/>
    <w:rsid w:val="004B24A7"/>
    <w:rsid w:val="004B3EAD"/>
    <w:rsid w:val="004B559D"/>
    <w:rsid w:val="004B639C"/>
    <w:rsid w:val="004B7332"/>
    <w:rsid w:val="004C1A06"/>
    <w:rsid w:val="004C2117"/>
    <w:rsid w:val="004C2209"/>
    <w:rsid w:val="004C2983"/>
    <w:rsid w:val="004C2A96"/>
    <w:rsid w:val="004C5AD9"/>
    <w:rsid w:val="004C741D"/>
    <w:rsid w:val="004D09F3"/>
    <w:rsid w:val="004D0A31"/>
    <w:rsid w:val="004D0A79"/>
    <w:rsid w:val="004D1554"/>
    <w:rsid w:val="004D37DC"/>
    <w:rsid w:val="004D3DDF"/>
    <w:rsid w:val="004D4637"/>
    <w:rsid w:val="004D5937"/>
    <w:rsid w:val="004D7486"/>
    <w:rsid w:val="004E0067"/>
    <w:rsid w:val="004E11BF"/>
    <w:rsid w:val="004E2598"/>
    <w:rsid w:val="004E6374"/>
    <w:rsid w:val="004E675C"/>
    <w:rsid w:val="004E7922"/>
    <w:rsid w:val="004F1420"/>
    <w:rsid w:val="004F2641"/>
    <w:rsid w:val="004F3DFE"/>
    <w:rsid w:val="004F4489"/>
    <w:rsid w:val="004F6477"/>
    <w:rsid w:val="004F672B"/>
    <w:rsid w:val="0050032A"/>
    <w:rsid w:val="005012FC"/>
    <w:rsid w:val="005016DE"/>
    <w:rsid w:val="00506024"/>
    <w:rsid w:val="00511654"/>
    <w:rsid w:val="00513DBE"/>
    <w:rsid w:val="00515AD5"/>
    <w:rsid w:val="00516548"/>
    <w:rsid w:val="00516AA9"/>
    <w:rsid w:val="0051722D"/>
    <w:rsid w:val="00517BAA"/>
    <w:rsid w:val="005203E3"/>
    <w:rsid w:val="005206FA"/>
    <w:rsid w:val="00520BC5"/>
    <w:rsid w:val="005213EA"/>
    <w:rsid w:val="0052168F"/>
    <w:rsid w:val="005219EE"/>
    <w:rsid w:val="00521DED"/>
    <w:rsid w:val="00522746"/>
    <w:rsid w:val="005230BD"/>
    <w:rsid w:val="005231B9"/>
    <w:rsid w:val="00524951"/>
    <w:rsid w:val="00525274"/>
    <w:rsid w:val="005274F2"/>
    <w:rsid w:val="005325BD"/>
    <w:rsid w:val="005338EB"/>
    <w:rsid w:val="005349A5"/>
    <w:rsid w:val="0053639C"/>
    <w:rsid w:val="00536647"/>
    <w:rsid w:val="005372AC"/>
    <w:rsid w:val="00537EC5"/>
    <w:rsid w:val="00540343"/>
    <w:rsid w:val="00540489"/>
    <w:rsid w:val="0054105D"/>
    <w:rsid w:val="00542651"/>
    <w:rsid w:val="0054444A"/>
    <w:rsid w:val="00544969"/>
    <w:rsid w:val="005449E8"/>
    <w:rsid w:val="0054714D"/>
    <w:rsid w:val="00547258"/>
    <w:rsid w:val="005504B7"/>
    <w:rsid w:val="005539EF"/>
    <w:rsid w:val="00553AF4"/>
    <w:rsid w:val="00553FA1"/>
    <w:rsid w:val="00554931"/>
    <w:rsid w:val="00557887"/>
    <w:rsid w:val="00557895"/>
    <w:rsid w:val="00557D1B"/>
    <w:rsid w:val="00563309"/>
    <w:rsid w:val="00565D00"/>
    <w:rsid w:val="00566CBC"/>
    <w:rsid w:val="0057027E"/>
    <w:rsid w:val="005709A6"/>
    <w:rsid w:val="005721FB"/>
    <w:rsid w:val="00572435"/>
    <w:rsid w:val="00572940"/>
    <w:rsid w:val="00572F50"/>
    <w:rsid w:val="0057528F"/>
    <w:rsid w:val="00576123"/>
    <w:rsid w:val="00583968"/>
    <w:rsid w:val="00584AB3"/>
    <w:rsid w:val="0058578C"/>
    <w:rsid w:val="005866DF"/>
    <w:rsid w:val="005877E7"/>
    <w:rsid w:val="00587814"/>
    <w:rsid w:val="00590314"/>
    <w:rsid w:val="005928FE"/>
    <w:rsid w:val="00595A54"/>
    <w:rsid w:val="00595E95"/>
    <w:rsid w:val="0059621E"/>
    <w:rsid w:val="00597B7B"/>
    <w:rsid w:val="005A05A1"/>
    <w:rsid w:val="005A0CDF"/>
    <w:rsid w:val="005A29C4"/>
    <w:rsid w:val="005A5668"/>
    <w:rsid w:val="005A5FEA"/>
    <w:rsid w:val="005A6E43"/>
    <w:rsid w:val="005A731D"/>
    <w:rsid w:val="005B16B1"/>
    <w:rsid w:val="005B16F2"/>
    <w:rsid w:val="005B18ED"/>
    <w:rsid w:val="005B2524"/>
    <w:rsid w:val="005B6C49"/>
    <w:rsid w:val="005B7DAE"/>
    <w:rsid w:val="005C01F7"/>
    <w:rsid w:val="005C1ED6"/>
    <w:rsid w:val="005C2A49"/>
    <w:rsid w:val="005C33D4"/>
    <w:rsid w:val="005C35AA"/>
    <w:rsid w:val="005C5D61"/>
    <w:rsid w:val="005C63A8"/>
    <w:rsid w:val="005C7EC7"/>
    <w:rsid w:val="005D0841"/>
    <w:rsid w:val="005D0BA0"/>
    <w:rsid w:val="005D3301"/>
    <w:rsid w:val="005D4888"/>
    <w:rsid w:val="005E07E5"/>
    <w:rsid w:val="005E0B3F"/>
    <w:rsid w:val="005E42E5"/>
    <w:rsid w:val="005E4972"/>
    <w:rsid w:val="005E57E4"/>
    <w:rsid w:val="005E5BA7"/>
    <w:rsid w:val="005E6650"/>
    <w:rsid w:val="005E785F"/>
    <w:rsid w:val="005F0F5D"/>
    <w:rsid w:val="005F1DB5"/>
    <w:rsid w:val="005F2698"/>
    <w:rsid w:val="005F30C7"/>
    <w:rsid w:val="005F341B"/>
    <w:rsid w:val="005F48BB"/>
    <w:rsid w:val="005F5737"/>
    <w:rsid w:val="005F5A73"/>
    <w:rsid w:val="005F65C2"/>
    <w:rsid w:val="005F7887"/>
    <w:rsid w:val="0060154D"/>
    <w:rsid w:val="006018C8"/>
    <w:rsid w:val="00602379"/>
    <w:rsid w:val="00602CFA"/>
    <w:rsid w:val="0060466E"/>
    <w:rsid w:val="00604C90"/>
    <w:rsid w:val="0060500C"/>
    <w:rsid w:val="0061068F"/>
    <w:rsid w:val="006106B6"/>
    <w:rsid w:val="00610D85"/>
    <w:rsid w:val="00612A1F"/>
    <w:rsid w:val="00614767"/>
    <w:rsid w:val="00616AE6"/>
    <w:rsid w:val="00621909"/>
    <w:rsid w:val="00622026"/>
    <w:rsid w:val="00623F5B"/>
    <w:rsid w:val="00624477"/>
    <w:rsid w:val="006272B1"/>
    <w:rsid w:val="0062731B"/>
    <w:rsid w:val="00627546"/>
    <w:rsid w:val="00627B1E"/>
    <w:rsid w:val="00630510"/>
    <w:rsid w:val="00630943"/>
    <w:rsid w:val="006309FF"/>
    <w:rsid w:val="00630DC1"/>
    <w:rsid w:val="00632180"/>
    <w:rsid w:val="00632D8B"/>
    <w:rsid w:val="00642910"/>
    <w:rsid w:val="0064497E"/>
    <w:rsid w:val="006450A7"/>
    <w:rsid w:val="00647E41"/>
    <w:rsid w:val="00650169"/>
    <w:rsid w:val="006503CD"/>
    <w:rsid w:val="00651531"/>
    <w:rsid w:val="006538D5"/>
    <w:rsid w:val="0065425B"/>
    <w:rsid w:val="00654745"/>
    <w:rsid w:val="00654CC5"/>
    <w:rsid w:val="00654CC7"/>
    <w:rsid w:val="006577D3"/>
    <w:rsid w:val="00661CC6"/>
    <w:rsid w:val="00663FEE"/>
    <w:rsid w:val="006649A7"/>
    <w:rsid w:val="00665082"/>
    <w:rsid w:val="0066595F"/>
    <w:rsid w:val="0067156D"/>
    <w:rsid w:val="00672804"/>
    <w:rsid w:val="006739DF"/>
    <w:rsid w:val="0067460B"/>
    <w:rsid w:val="00675299"/>
    <w:rsid w:val="006801A0"/>
    <w:rsid w:val="00680A14"/>
    <w:rsid w:val="006832C7"/>
    <w:rsid w:val="00683B66"/>
    <w:rsid w:val="0068607D"/>
    <w:rsid w:val="0068783E"/>
    <w:rsid w:val="00690881"/>
    <w:rsid w:val="00690B25"/>
    <w:rsid w:val="00690D78"/>
    <w:rsid w:val="00691AA9"/>
    <w:rsid w:val="00695DB3"/>
    <w:rsid w:val="00695F00"/>
    <w:rsid w:val="0069602D"/>
    <w:rsid w:val="0069611D"/>
    <w:rsid w:val="00696C55"/>
    <w:rsid w:val="006A1247"/>
    <w:rsid w:val="006A348E"/>
    <w:rsid w:val="006A5E9C"/>
    <w:rsid w:val="006A6158"/>
    <w:rsid w:val="006B30A9"/>
    <w:rsid w:val="006B33F8"/>
    <w:rsid w:val="006B3F14"/>
    <w:rsid w:val="006B49C5"/>
    <w:rsid w:val="006B579B"/>
    <w:rsid w:val="006B5A9A"/>
    <w:rsid w:val="006B6D3E"/>
    <w:rsid w:val="006B707B"/>
    <w:rsid w:val="006C124D"/>
    <w:rsid w:val="006C31D0"/>
    <w:rsid w:val="006C32F9"/>
    <w:rsid w:val="006C37BC"/>
    <w:rsid w:val="006C4C33"/>
    <w:rsid w:val="006C7F1D"/>
    <w:rsid w:val="006D1261"/>
    <w:rsid w:val="006D2907"/>
    <w:rsid w:val="006D4309"/>
    <w:rsid w:val="006D44BF"/>
    <w:rsid w:val="006D53F6"/>
    <w:rsid w:val="006D5723"/>
    <w:rsid w:val="006D6DE9"/>
    <w:rsid w:val="006E052C"/>
    <w:rsid w:val="006E18CB"/>
    <w:rsid w:val="006E3C46"/>
    <w:rsid w:val="006E4A50"/>
    <w:rsid w:val="006E5ECC"/>
    <w:rsid w:val="006F1EB6"/>
    <w:rsid w:val="006F2CBA"/>
    <w:rsid w:val="006F31B3"/>
    <w:rsid w:val="006F3852"/>
    <w:rsid w:val="006F3EFD"/>
    <w:rsid w:val="006F54B2"/>
    <w:rsid w:val="006F7C45"/>
    <w:rsid w:val="006F7E0B"/>
    <w:rsid w:val="0070010E"/>
    <w:rsid w:val="00700199"/>
    <w:rsid w:val="00700E25"/>
    <w:rsid w:val="007014EC"/>
    <w:rsid w:val="00701FD3"/>
    <w:rsid w:val="007046F2"/>
    <w:rsid w:val="00704706"/>
    <w:rsid w:val="00704808"/>
    <w:rsid w:val="00706F52"/>
    <w:rsid w:val="00711509"/>
    <w:rsid w:val="007124F0"/>
    <w:rsid w:val="00713233"/>
    <w:rsid w:val="007145C1"/>
    <w:rsid w:val="00715986"/>
    <w:rsid w:val="00715A3A"/>
    <w:rsid w:val="007161A1"/>
    <w:rsid w:val="007163D0"/>
    <w:rsid w:val="00717395"/>
    <w:rsid w:val="0072125B"/>
    <w:rsid w:val="00722354"/>
    <w:rsid w:val="007225AA"/>
    <w:rsid w:val="007254D3"/>
    <w:rsid w:val="007255B8"/>
    <w:rsid w:val="00730D05"/>
    <w:rsid w:val="00732C07"/>
    <w:rsid w:val="00733259"/>
    <w:rsid w:val="00734A82"/>
    <w:rsid w:val="00734AE0"/>
    <w:rsid w:val="00735BB3"/>
    <w:rsid w:val="00735CBF"/>
    <w:rsid w:val="00740B88"/>
    <w:rsid w:val="00741D44"/>
    <w:rsid w:val="00742D43"/>
    <w:rsid w:val="00743ADC"/>
    <w:rsid w:val="00744EC1"/>
    <w:rsid w:val="00745823"/>
    <w:rsid w:val="00746D17"/>
    <w:rsid w:val="00747E6E"/>
    <w:rsid w:val="00747F0E"/>
    <w:rsid w:val="00750FCE"/>
    <w:rsid w:val="00755517"/>
    <w:rsid w:val="00756182"/>
    <w:rsid w:val="00756F31"/>
    <w:rsid w:val="00757587"/>
    <w:rsid w:val="007578DE"/>
    <w:rsid w:val="00762037"/>
    <w:rsid w:val="007631B6"/>
    <w:rsid w:val="007632A3"/>
    <w:rsid w:val="0076612F"/>
    <w:rsid w:val="00766C2B"/>
    <w:rsid w:val="00767136"/>
    <w:rsid w:val="007671EE"/>
    <w:rsid w:val="0077025A"/>
    <w:rsid w:val="007709BF"/>
    <w:rsid w:val="00770D5D"/>
    <w:rsid w:val="007733B2"/>
    <w:rsid w:val="00773553"/>
    <w:rsid w:val="00774A6E"/>
    <w:rsid w:val="00775088"/>
    <w:rsid w:val="00775F53"/>
    <w:rsid w:val="0077609F"/>
    <w:rsid w:val="007767B0"/>
    <w:rsid w:val="007768DC"/>
    <w:rsid w:val="00780B25"/>
    <w:rsid w:val="0078199B"/>
    <w:rsid w:val="00781B41"/>
    <w:rsid w:val="00783483"/>
    <w:rsid w:val="00783FA0"/>
    <w:rsid w:val="00783FA8"/>
    <w:rsid w:val="0079083D"/>
    <w:rsid w:val="00791571"/>
    <w:rsid w:val="00791A80"/>
    <w:rsid w:val="00794DB9"/>
    <w:rsid w:val="00795894"/>
    <w:rsid w:val="00796081"/>
    <w:rsid w:val="007969BF"/>
    <w:rsid w:val="00796C22"/>
    <w:rsid w:val="00796CF6"/>
    <w:rsid w:val="007A2A54"/>
    <w:rsid w:val="007A45DA"/>
    <w:rsid w:val="007A4752"/>
    <w:rsid w:val="007A5071"/>
    <w:rsid w:val="007A593B"/>
    <w:rsid w:val="007A5F92"/>
    <w:rsid w:val="007A62DE"/>
    <w:rsid w:val="007B43F7"/>
    <w:rsid w:val="007B46B0"/>
    <w:rsid w:val="007B5FF5"/>
    <w:rsid w:val="007B6B67"/>
    <w:rsid w:val="007B6DC8"/>
    <w:rsid w:val="007B76BD"/>
    <w:rsid w:val="007B7702"/>
    <w:rsid w:val="007C3561"/>
    <w:rsid w:val="007C36D5"/>
    <w:rsid w:val="007C3AFC"/>
    <w:rsid w:val="007C5101"/>
    <w:rsid w:val="007C5965"/>
    <w:rsid w:val="007C6813"/>
    <w:rsid w:val="007D0801"/>
    <w:rsid w:val="007D311E"/>
    <w:rsid w:val="007D3F84"/>
    <w:rsid w:val="007D684A"/>
    <w:rsid w:val="007D685E"/>
    <w:rsid w:val="007D6D07"/>
    <w:rsid w:val="007D7DF4"/>
    <w:rsid w:val="007E14A4"/>
    <w:rsid w:val="007E1B80"/>
    <w:rsid w:val="007E229E"/>
    <w:rsid w:val="007E298E"/>
    <w:rsid w:val="007E2B28"/>
    <w:rsid w:val="007E38DC"/>
    <w:rsid w:val="007E3E46"/>
    <w:rsid w:val="007E3E8B"/>
    <w:rsid w:val="007E5B79"/>
    <w:rsid w:val="007E5DFD"/>
    <w:rsid w:val="007E60E9"/>
    <w:rsid w:val="007E745D"/>
    <w:rsid w:val="007F0425"/>
    <w:rsid w:val="007F1437"/>
    <w:rsid w:val="007F1FFE"/>
    <w:rsid w:val="007F2F86"/>
    <w:rsid w:val="007F3200"/>
    <w:rsid w:val="007F3D46"/>
    <w:rsid w:val="007F3DAD"/>
    <w:rsid w:val="007F4BD3"/>
    <w:rsid w:val="007F4ECB"/>
    <w:rsid w:val="007F7A7D"/>
    <w:rsid w:val="007F7E27"/>
    <w:rsid w:val="007F7F0D"/>
    <w:rsid w:val="00801C63"/>
    <w:rsid w:val="00806431"/>
    <w:rsid w:val="0081043F"/>
    <w:rsid w:val="00814268"/>
    <w:rsid w:val="00815759"/>
    <w:rsid w:val="00816354"/>
    <w:rsid w:val="00820313"/>
    <w:rsid w:val="00821853"/>
    <w:rsid w:val="00822EF2"/>
    <w:rsid w:val="0082305A"/>
    <w:rsid w:val="00823E3B"/>
    <w:rsid w:val="00826766"/>
    <w:rsid w:val="00827B60"/>
    <w:rsid w:val="00830DCA"/>
    <w:rsid w:val="008331F2"/>
    <w:rsid w:val="0083533E"/>
    <w:rsid w:val="00835859"/>
    <w:rsid w:val="00841A73"/>
    <w:rsid w:val="008425C0"/>
    <w:rsid w:val="00843EF7"/>
    <w:rsid w:val="008477AA"/>
    <w:rsid w:val="00852644"/>
    <w:rsid w:val="00853637"/>
    <w:rsid w:val="0085418B"/>
    <w:rsid w:val="008545DB"/>
    <w:rsid w:val="00857BFC"/>
    <w:rsid w:val="008618FA"/>
    <w:rsid w:val="008624A9"/>
    <w:rsid w:val="00862DC2"/>
    <w:rsid w:val="00863975"/>
    <w:rsid w:val="00864944"/>
    <w:rsid w:val="00864A5F"/>
    <w:rsid w:val="00865101"/>
    <w:rsid w:val="00865D06"/>
    <w:rsid w:val="00867586"/>
    <w:rsid w:val="00870D81"/>
    <w:rsid w:val="0087116A"/>
    <w:rsid w:val="008733BE"/>
    <w:rsid w:val="00873774"/>
    <w:rsid w:val="00874934"/>
    <w:rsid w:val="00875082"/>
    <w:rsid w:val="0087637D"/>
    <w:rsid w:val="008768C9"/>
    <w:rsid w:val="00880ABB"/>
    <w:rsid w:val="008819CE"/>
    <w:rsid w:val="00882C85"/>
    <w:rsid w:val="00882DA2"/>
    <w:rsid w:val="00883057"/>
    <w:rsid w:val="00886BB8"/>
    <w:rsid w:val="00890B4F"/>
    <w:rsid w:val="00890D8A"/>
    <w:rsid w:val="0089133C"/>
    <w:rsid w:val="00891DD4"/>
    <w:rsid w:val="00891F80"/>
    <w:rsid w:val="00895D85"/>
    <w:rsid w:val="00896509"/>
    <w:rsid w:val="00897138"/>
    <w:rsid w:val="008977F2"/>
    <w:rsid w:val="008A03E6"/>
    <w:rsid w:val="008A35D2"/>
    <w:rsid w:val="008A3CB5"/>
    <w:rsid w:val="008A6F23"/>
    <w:rsid w:val="008A73C9"/>
    <w:rsid w:val="008A74BA"/>
    <w:rsid w:val="008B0056"/>
    <w:rsid w:val="008B0FDA"/>
    <w:rsid w:val="008B3191"/>
    <w:rsid w:val="008B4B20"/>
    <w:rsid w:val="008B6AEF"/>
    <w:rsid w:val="008B756D"/>
    <w:rsid w:val="008C1036"/>
    <w:rsid w:val="008C50AA"/>
    <w:rsid w:val="008C58C2"/>
    <w:rsid w:val="008C5B50"/>
    <w:rsid w:val="008D0508"/>
    <w:rsid w:val="008D23D2"/>
    <w:rsid w:val="008D38CC"/>
    <w:rsid w:val="008D4499"/>
    <w:rsid w:val="008D57B7"/>
    <w:rsid w:val="008D5B63"/>
    <w:rsid w:val="008D67A3"/>
    <w:rsid w:val="008D6BB1"/>
    <w:rsid w:val="008D710F"/>
    <w:rsid w:val="008D74E5"/>
    <w:rsid w:val="008D7635"/>
    <w:rsid w:val="008D76B0"/>
    <w:rsid w:val="008D76DF"/>
    <w:rsid w:val="008E0131"/>
    <w:rsid w:val="008E1F1F"/>
    <w:rsid w:val="008E3ECF"/>
    <w:rsid w:val="008E6B5E"/>
    <w:rsid w:val="008E7A40"/>
    <w:rsid w:val="008F07AD"/>
    <w:rsid w:val="008F2781"/>
    <w:rsid w:val="008F3499"/>
    <w:rsid w:val="008F3526"/>
    <w:rsid w:val="008F3580"/>
    <w:rsid w:val="008F50AC"/>
    <w:rsid w:val="008F6F3D"/>
    <w:rsid w:val="008F7136"/>
    <w:rsid w:val="008F73F7"/>
    <w:rsid w:val="00904C8D"/>
    <w:rsid w:val="00910748"/>
    <w:rsid w:val="00913F88"/>
    <w:rsid w:val="00913FFE"/>
    <w:rsid w:val="00914EE1"/>
    <w:rsid w:val="00920E4E"/>
    <w:rsid w:val="00921DEA"/>
    <w:rsid w:val="00922F1A"/>
    <w:rsid w:val="00924052"/>
    <w:rsid w:val="009240EB"/>
    <w:rsid w:val="009268D7"/>
    <w:rsid w:val="00927212"/>
    <w:rsid w:val="0093176F"/>
    <w:rsid w:val="00931BA2"/>
    <w:rsid w:val="00935080"/>
    <w:rsid w:val="00935A2B"/>
    <w:rsid w:val="00936079"/>
    <w:rsid w:val="00936AC8"/>
    <w:rsid w:val="009378DB"/>
    <w:rsid w:val="00943241"/>
    <w:rsid w:val="00946FCD"/>
    <w:rsid w:val="00947636"/>
    <w:rsid w:val="00947F17"/>
    <w:rsid w:val="0095055F"/>
    <w:rsid w:val="00953B1E"/>
    <w:rsid w:val="00954B12"/>
    <w:rsid w:val="00955446"/>
    <w:rsid w:val="00955DA8"/>
    <w:rsid w:val="0095729C"/>
    <w:rsid w:val="00957F3D"/>
    <w:rsid w:val="00957FF5"/>
    <w:rsid w:val="009607BA"/>
    <w:rsid w:val="00960A38"/>
    <w:rsid w:val="00961DFE"/>
    <w:rsid w:val="00962822"/>
    <w:rsid w:val="0096389E"/>
    <w:rsid w:val="0096610E"/>
    <w:rsid w:val="0096699F"/>
    <w:rsid w:val="00971FCE"/>
    <w:rsid w:val="009724A6"/>
    <w:rsid w:val="00972A4D"/>
    <w:rsid w:val="00973E0B"/>
    <w:rsid w:val="009741AA"/>
    <w:rsid w:val="009752E8"/>
    <w:rsid w:val="00975470"/>
    <w:rsid w:val="00976234"/>
    <w:rsid w:val="009806D1"/>
    <w:rsid w:val="00982312"/>
    <w:rsid w:val="00982457"/>
    <w:rsid w:val="00983810"/>
    <w:rsid w:val="009847D0"/>
    <w:rsid w:val="0098658C"/>
    <w:rsid w:val="00990487"/>
    <w:rsid w:val="009905F1"/>
    <w:rsid w:val="00991335"/>
    <w:rsid w:val="00992EFF"/>
    <w:rsid w:val="0099384E"/>
    <w:rsid w:val="00994DA2"/>
    <w:rsid w:val="00995140"/>
    <w:rsid w:val="009954D1"/>
    <w:rsid w:val="009957BA"/>
    <w:rsid w:val="00996680"/>
    <w:rsid w:val="009A00B1"/>
    <w:rsid w:val="009A3240"/>
    <w:rsid w:val="009A5444"/>
    <w:rsid w:val="009A7671"/>
    <w:rsid w:val="009B0423"/>
    <w:rsid w:val="009B1F76"/>
    <w:rsid w:val="009B27C9"/>
    <w:rsid w:val="009B4C05"/>
    <w:rsid w:val="009B7403"/>
    <w:rsid w:val="009C0BBB"/>
    <w:rsid w:val="009C15DD"/>
    <w:rsid w:val="009C5650"/>
    <w:rsid w:val="009C6A29"/>
    <w:rsid w:val="009D0D7C"/>
    <w:rsid w:val="009D3362"/>
    <w:rsid w:val="009D4B89"/>
    <w:rsid w:val="009D4F1D"/>
    <w:rsid w:val="009D6D13"/>
    <w:rsid w:val="009E077D"/>
    <w:rsid w:val="009E254E"/>
    <w:rsid w:val="009E3636"/>
    <w:rsid w:val="009E470E"/>
    <w:rsid w:val="009E7E61"/>
    <w:rsid w:val="009F0E03"/>
    <w:rsid w:val="009F133B"/>
    <w:rsid w:val="009F3DD2"/>
    <w:rsid w:val="009F439A"/>
    <w:rsid w:val="009F54D9"/>
    <w:rsid w:val="009F67EB"/>
    <w:rsid w:val="009F6ADD"/>
    <w:rsid w:val="00A00C20"/>
    <w:rsid w:val="00A0570A"/>
    <w:rsid w:val="00A05B97"/>
    <w:rsid w:val="00A05D24"/>
    <w:rsid w:val="00A065A7"/>
    <w:rsid w:val="00A078AA"/>
    <w:rsid w:val="00A07D65"/>
    <w:rsid w:val="00A07EBF"/>
    <w:rsid w:val="00A1016C"/>
    <w:rsid w:val="00A1112A"/>
    <w:rsid w:val="00A136D6"/>
    <w:rsid w:val="00A14C33"/>
    <w:rsid w:val="00A15D69"/>
    <w:rsid w:val="00A161BD"/>
    <w:rsid w:val="00A177C2"/>
    <w:rsid w:val="00A20B6C"/>
    <w:rsid w:val="00A211B4"/>
    <w:rsid w:val="00A226A8"/>
    <w:rsid w:val="00A230BA"/>
    <w:rsid w:val="00A2435B"/>
    <w:rsid w:val="00A267E7"/>
    <w:rsid w:val="00A26C14"/>
    <w:rsid w:val="00A31A3D"/>
    <w:rsid w:val="00A31BC1"/>
    <w:rsid w:val="00A31D84"/>
    <w:rsid w:val="00A344C2"/>
    <w:rsid w:val="00A35D41"/>
    <w:rsid w:val="00A40156"/>
    <w:rsid w:val="00A40B56"/>
    <w:rsid w:val="00A41E19"/>
    <w:rsid w:val="00A42C65"/>
    <w:rsid w:val="00A42FA8"/>
    <w:rsid w:val="00A455B3"/>
    <w:rsid w:val="00A45629"/>
    <w:rsid w:val="00A47193"/>
    <w:rsid w:val="00A47AB8"/>
    <w:rsid w:val="00A47C81"/>
    <w:rsid w:val="00A50675"/>
    <w:rsid w:val="00A51200"/>
    <w:rsid w:val="00A52326"/>
    <w:rsid w:val="00A525AF"/>
    <w:rsid w:val="00A54B54"/>
    <w:rsid w:val="00A54DC9"/>
    <w:rsid w:val="00A57C7F"/>
    <w:rsid w:val="00A606C0"/>
    <w:rsid w:val="00A609D7"/>
    <w:rsid w:val="00A60A09"/>
    <w:rsid w:val="00A60DBF"/>
    <w:rsid w:val="00A644C5"/>
    <w:rsid w:val="00A65750"/>
    <w:rsid w:val="00A672D5"/>
    <w:rsid w:val="00A716D9"/>
    <w:rsid w:val="00A71CD5"/>
    <w:rsid w:val="00A7536F"/>
    <w:rsid w:val="00A772FC"/>
    <w:rsid w:val="00A77DBC"/>
    <w:rsid w:val="00A77FF7"/>
    <w:rsid w:val="00A802A5"/>
    <w:rsid w:val="00A811FD"/>
    <w:rsid w:val="00A8304C"/>
    <w:rsid w:val="00A84514"/>
    <w:rsid w:val="00A865EA"/>
    <w:rsid w:val="00A87412"/>
    <w:rsid w:val="00A911C8"/>
    <w:rsid w:val="00A914AE"/>
    <w:rsid w:val="00A92513"/>
    <w:rsid w:val="00A93465"/>
    <w:rsid w:val="00A94051"/>
    <w:rsid w:val="00A94AA7"/>
    <w:rsid w:val="00A97021"/>
    <w:rsid w:val="00A97B3E"/>
    <w:rsid w:val="00AA0178"/>
    <w:rsid w:val="00AA101C"/>
    <w:rsid w:val="00AA1A76"/>
    <w:rsid w:val="00AA1B81"/>
    <w:rsid w:val="00AA25D2"/>
    <w:rsid w:val="00AA2D22"/>
    <w:rsid w:val="00AA343A"/>
    <w:rsid w:val="00AA3605"/>
    <w:rsid w:val="00AA37C8"/>
    <w:rsid w:val="00AA42E2"/>
    <w:rsid w:val="00AA5B98"/>
    <w:rsid w:val="00AA5EAD"/>
    <w:rsid w:val="00AB04F0"/>
    <w:rsid w:val="00AB1F38"/>
    <w:rsid w:val="00AB20AA"/>
    <w:rsid w:val="00AB4406"/>
    <w:rsid w:val="00AB5618"/>
    <w:rsid w:val="00AB5932"/>
    <w:rsid w:val="00AB6ADE"/>
    <w:rsid w:val="00AB7AA1"/>
    <w:rsid w:val="00AC0232"/>
    <w:rsid w:val="00AC0A59"/>
    <w:rsid w:val="00AC0ABF"/>
    <w:rsid w:val="00AC29E5"/>
    <w:rsid w:val="00AC47C6"/>
    <w:rsid w:val="00AC4F77"/>
    <w:rsid w:val="00AC531C"/>
    <w:rsid w:val="00AC66D5"/>
    <w:rsid w:val="00AD16D1"/>
    <w:rsid w:val="00AD1C6F"/>
    <w:rsid w:val="00AD1D06"/>
    <w:rsid w:val="00AD2577"/>
    <w:rsid w:val="00AD479B"/>
    <w:rsid w:val="00AE374B"/>
    <w:rsid w:val="00AE3F72"/>
    <w:rsid w:val="00AE5925"/>
    <w:rsid w:val="00AE5F09"/>
    <w:rsid w:val="00AE7549"/>
    <w:rsid w:val="00AE7CAF"/>
    <w:rsid w:val="00AE7DF3"/>
    <w:rsid w:val="00AF0172"/>
    <w:rsid w:val="00AF0D51"/>
    <w:rsid w:val="00AF3457"/>
    <w:rsid w:val="00AF4462"/>
    <w:rsid w:val="00AF4FF6"/>
    <w:rsid w:val="00AF5547"/>
    <w:rsid w:val="00AF5568"/>
    <w:rsid w:val="00AF736E"/>
    <w:rsid w:val="00B001DD"/>
    <w:rsid w:val="00B01BF0"/>
    <w:rsid w:val="00B0250F"/>
    <w:rsid w:val="00B046F2"/>
    <w:rsid w:val="00B05772"/>
    <w:rsid w:val="00B066BF"/>
    <w:rsid w:val="00B07687"/>
    <w:rsid w:val="00B10B5B"/>
    <w:rsid w:val="00B11B0C"/>
    <w:rsid w:val="00B12100"/>
    <w:rsid w:val="00B12417"/>
    <w:rsid w:val="00B1249C"/>
    <w:rsid w:val="00B12DDC"/>
    <w:rsid w:val="00B14F9D"/>
    <w:rsid w:val="00B15E0A"/>
    <w:rsid w:val="00B16FA9"/>
    <w:rsid w:val="00B1707D"/>
    <w:rsid w:val="00B20A80"/>
    <w:rsid w:val="00B2114C"/>
    <w:rsid w:val="00B227BC"/>
    <w:rsid w:val="00B22F22"/>
    <w:rsid w:val="00B26A6E"/>
    <w:rsid w:val="00B27890"/>
    <w:rsid w:val="00B30F35"/>
    <w:rsid w:val="00B312AC"/>
    <w:rsid w:val="00B31F1C"/>
    <w:rsid w:val="00B32E53"/>
    <w:rsid w:val="00B33037"/>
    <w:rsid w:val="00B36206"/>
    <w:rsid w:val="00B363C3"/>
    <w:rsid w:val="00B3686D"/>
    <w:rsid w:val="00B37DF4"/>
    <w:rsid w:val="00B401D9"/>
    <w:rsid w:val="00B41BC0"/>
    <w:rsid w:val="00B446A6"/>
    <w:rsid w:val="00B44E1C"/>
    <w:rsid w:val="00B450DF"/>
    <w:rsid w:val="00B4525A"/>
    <w:rsid w:val="00B45559"/>
    <w:rsid w:val="00B45890"/>
    <w:rsid w:val="00B45C77"/>
    <w:rsid w:val="00B45CCA"/>
    <w:rsid w:val="00B45F3C"/>
    <w:rsid w:val="00B50573"/>
    <w:rsid w:val="00B52947"/>
    <w:rsid w:val="00B5430D"/>
    <w:rsid w:val="00B552AE"/>
    <w:rsid w:val="00B55319"/>
    <w:rsid w:val="00B57E9C"/>
    <w:rsid w:val="00B6018C"/>
    <w:rsid w:val="00B654EC"/>
    <w:rsid w:val="00B67A72"/>
    <w:rsid w:val="00B70C50"/>
    <w:rsid w:val="00B71925"/>
    <w:rsid w:val="00B72012"/>
    <w:rsid w:val="00B72A3D"/>
    <w:rsid w:val="00B765BF"/>
    <w:rsid w:val="00B83915"/>
    <w:rsid w:val="00B83EFB"/>
    <w:rsid w:val="00B84DF2"/>
    <w:rsid w:val="00B875B7"/>
    <w:rsid w:val="00B87ADD"/>
    <w:rsid w:val="00B9070E"/>
    <w:rsid w:val="00B91650"/>
    <w:rsid w:val="00B9398F"/>
    <w:rsid w:val="00B93B19"/>
    <w:rsid w:val="00B95C7F"/>
    <w:rsid w:val="00B9633C"/>
    <w:rsid w:val="00BA0345"/>
    <w:rsid w:val="00BA12B3"/>
    <w:rsid w:val="00BA14DA"/>
    <w:rsid w:val="00BA20EB"/>
    <w:rsid w:val="00BA3B27"/>
    <w:rsid w:val="00BA5A6E"/>
    <w:rsid w:val="00BA7FE8"/>
    <w:rsid w:val="00BB01BF"/>
    <w:rsid w:val="00BB1CA2"/>
    <w:rsid w:val="00BB288F"/>
    <w:rsid w:val="00BB2A45"/>
    <w:rsid w:val="00BB2AA8"/>
    <w:rsid w:val="00BB4786"/>
    <w:rsid w:val="00BB5F6C"/>
    <w:rsid w:val="00BB6BA2"/>
    <w:rsid w:val="00BB7F8A"/>
    <w:rsid w:val="00BB7FDB"/>
    <w:rsid w:val="00BC01FA"/>
    <w:rsid w:val="00BC0C34"/>
    <w:rsid w:val="00BC1948"/>
    <w:rsid w:val="00BC2658"/>
    <w:rsid w:val="00BC4D2A"/>
    <w:rsid w:val="00BC6409"/>
    <w:rsid w:val="00BC7623"/>
    <w:rsid w:val="00BD012E"/>
    <w:rsid w:val="00BD0877"/>
    <w:rsid w:val="00BD28D3"/>
    <w:rsid w:val="00BD67CD"/>
    <w:rsid w:val="00BD69C1"/>
    <w:rsid w:val="00BD70DB"/>
    <w:rsid w:val="00BD782F"/>
    <w:rsid w:val="00BD7DD7"/>
    <w:rsid w:val="00BD7DEC"/>
    <w:rsid w:val="00BE4CA1"/>
    <w:rsid w:val="00BE50EB"/>
    <w:rsid w:val="00BE551C"/>
    <w:rsid w:val="00BE63AD"/>
    <w:rsid w:val="00BE642B"/>
    <w:rsid w:val="00BF0F89"/>
    <w:rsid w:val="00BF112F"/>
    <w:rsid w:val="00BF1B83"/>
    <w:rsid w:val="00BF2D23"/>
    <w:rsid w:val="00BF369B"/>
    <w:rsid w:val="00BF463B"/>
    <w:rsid w:val="00BF48F7"/>
    <w:rsid w:val="00BF4982"/>
    <w:rsid w:val="00BF4AFB"/>
    <w:rsid w:val="00BF5A38"/>
    <w:rsid w:val="00BF68E7"/>
    <w:rsid w:val="00C008D9"/>
    <w:rsid w:val="00C04E04"/>
    <w:rsid w:val="00C058AF"/>
    <w:rsid w:val="00C06A9F"/>
    <w:rsid w:val="00C07420"/>
    <w:rsid w:val="00C07C89"/>
    <w:rsid w:val="00C1011D"/>
    <w:rsid w:val="00C105A8"/>
    <w:rsid w:val="00C1189C"/>
    <w:rsid w:val="00C118C6"/>
    <w:rsid w:val="00C129FE"/>
    <w:rsid w:val="00C130AB"/>
    <w:rsid w:val="00C147B2"/>
    <w:rsid w:val="00C16099"/>
    <w:rsid w:val="00C16EBB"/>
    <w:rsid w:val="00C16FAF"/>
    <w:rsid w:val="00C203A4"/>
    <w:rsid w:val="00C20A51"/>
    <w:rsid w:val="00C22A16"/>
    <w:rsid w:val="00C2400E"/>
    <w:rsid w:val="00C24142"/>
    <w:rsid w:val="00C25933"/>
    <w:rsid w:val="00C26EC3"/>
    <w:rsid w:val="00C31AB5"/>
    <w:rsid w:val="00C327AD"/>
    <w:rsid w:val="00C3507F"/>
    <w:rsid w:val="00C3513D"/>
    <w:rsid w:val="00C36609"/>
    <w:rsid w:val="00C413E2"/>
    <w:rsid w:val="00C41FD6"/>
    <w:rsid w:val="00C42695"/>
    <w:rsid w:val="00C42E5D"/>
    <w:rsid w:val="00C4322B"/>
    <w:rsid w:val="00C43F7F"/>
    <w:rsid w:val="00C447F5"/>
    <w:rsid w:val="00C44F12"/>
    <w:rsid w:val="00C476C6"/>
    <w:rsid w:val="00C50697"/>
    <w:rsid w:val="00C524B4"/>
    <w:rsid w:val="00C54CEB"/>
    <w:rsid w:val="00C553DC"/>
    <w:rsid w:val="00C578F6"/>
    <w:rsid w:val="00C61807"/>
    <w:rsid w:val="00C6431D"/>
    <w:rsid w:val="00C65CF0"/>
    <w:rsid w:val="00C67268"/>
    <w:rsid w:val="00C709C7"/>
    <w:rsid w:val="00C73CC6"/>
    <w:rsid w:val="00C74344"/>
    <w:rsid w:val="00C8049F"/>
    <w:rsid w:val="00C8203C"/>
    <w:rsid w:val="00C8294E"/>
    <w:rsid w:val="00C829B0"/>
    <w:rsid w:val="00C8366C"/>
    <w:rsid w:val="00C83A75"/>
    <w:rsid w:val="00C841A5"/>
    <w:rsid w:val="00C876A4"/>
    <w:rsid w:val="00C92D78"/>
    <w:rsid w:val="00C93847"/>
    <w:rsid w:val="00C9405B"/>
    <w:rsid w:val="00C942C4"/>
    <w:rsid w:val="00C95827"/>
    <w:rsid w:val="00C970E1"/>
    <w:rsid w:val="00CA0EE9"/>
    <w:rsid w:val="00CA125D"/>
    <w:rsid w:val="00CA155C"/>
    <w:rsid w:val="00CA1A6D"/>
    <w:rsid w:val="00CA5749"/>
    <w:rsid w:val="00CA5879"/>
    <w:rsid w:val="00CA7088"/>
    <w:rsid w:val="00CB1101"/>
    <w:rsid w:val="00CB14CC"/>
    <w:rsid w:val="00CB19C7"/>
    <w:rsid w:val="00CB1E5A"/>
    <w:rsid w:val="00CB3C35"/>
    <w:rsid w:val="00CB5FE9"/>
    <w:rsid w:val="00CB79B4"/>
    <w:rsid w:val="00CC09C1"/>
    <w:rsid w:val="00CC1D89"/>
    <w:rsid w:val="00CC27F2"/>
    <w:rsid w:val="00CC3BF4"/>
    <w:rsid w:val="00CC4C23"/>
    <w:rsid w:val="00CC612B"/>
    <w:rsid w:val="00CC684E"/>
    <w:rsid w:val="00CD0742"/>
    <w:rsid w:val="00CD1683"/>
    <w:rsid w:val="00CD2279"/>
    <w:rsid w:val="00CD39FD"/>
    <w:rsid w:val="00CD3F03"/>
    <w:rsid w:val="00CD4EA2"/>
    <w:rsid w:val="00CD6CDD"/>
    <w:rsid w:val="00CD6DDE"/>
    <w:rsid w:val="00CD7BD4"/>
    <w:rsid w:val="00CD7C77"/>
    <w:rsid w:val="00CE0842"/>
    <w:rsid w:val="00CE1D74"/>
    <w:rsid w:val="00CE20D2"/>
    <w:rsid w:val="00CE3BF3"/>
    <w:rsid w:val="00CE4ACC"/>
    <w:rsid w:val="00CE57DC"/>
    <w:rsid w:val="00CF0305"/>
    <w:rsid w:val="00CF037B"/>
    <w:rsid w:val="00CF0915"/>
    <w:rsid w:val="00CF3B81"/>
    <w:rsid w:val="00CF455B"/>
    <w:rsid w:val="00CF65DD"/>
    <w:rsid w:val="00CF7AC1"/>
    <w:rsid w:val="00D02413"/>
    <w:rsid w:val="00D025B9"/>
    <w:rsid w:val="00D03934"/>
    <w:rsid w:val="00D10CEE"/>
    <w:rsid w:val="00D130AD"/>
    <w:rsid w:val="00D131C4"/>
    <w:rsid w:val="00D13593"/>
    <w:rsid w:val="00D200BF"/>
    <w:rsid w:val="00D22DAD"/>
    <w:rsid w:val="00D30AB7"/>
    <w:rsid w:val="00D32CDC"/>
    <w:rsid w:val="00D33704"/>
    <w:rsid w:val="00D33A0F"/>
    <w:rsid w:val="00D3400A"/>
    <w:rsid w:val="00D345A8"/>
    <w:rsid w:val="00D353F6"/>
    <w:rsid w:val="00D36F94"/>
    <w:rsid w:val="00D378AB"/>
    <w:rsid w:val="00D379E1"/>
    <w:rsid w:val="00D37E48"/>
    <w:rsid w:val="00D40DBE"/>
    <w:rsid w:val="00D421E8"/>
    <w:rsid w:val="00D428D7"/>
    <w:rsid w:val="00D42D9C"/>
    <w:rsid w:val="00D44FF3"/>
    <w:rsid w:val="00D45382"/>
    <w:rsid w:val="00D45E5B"/>
    <w:rsid w:val="00D51A33"/>
    <w:rsid w:val="00D525B3"/>
    <w:rsid w:val="00D5502D"/>
    <w:rsid w:val="00D565A1"/>
    <w:rsid w:val="00D569F8"/>
    <w:rsid w:val="00D57227"/>
    <w:rsid w:val="00D6505A"/>
    <w:rsid w:val="00D65136"/>
    <w:rsid w:val="00D66271"/>
    <w:rsid w:val="00D666CE"/>
    <w:rsid w:val="00D66E21"/>
    <w:rsid w:val="00D675E4"/>
    <w:rsid w:val="00D67F58"/>
    <w:rsid w:val="00D70722"/>
    <w:rsid w:val="00D718AB"/>
    <w:rsid w:val="00D727EB"/>
    <w:rsid w:val="00D72D37"/>
    <w:rsid w:val="00D73200"/>
    <w:rsid w:val="00D73486"/>
    <w:rsid w:val="00D73488"/>
    <w:rsid w:val="00D746F2"/>
    <w:rsid w:val="00D760E0"/>
    <w:rsid w:val="00D76C22"/>
    <w:rsid w:val="00D77669"/>
    <w:rsid w:val="00D77CB7"/>
    <w:rsid w:val="00D80A3B"/>
    <w:rsid w:val="00D81041"/>
    <w:rsid w:val="00D81B7E"/>
    <w:rsid w:val="00D81B8D"/>
    <w:rsid w:val="00D827F4"/>
    <w:rsid w:val="00D86EC7"/>
    <w:rsid w:val="00D87508"/>
    <w:rsid w:val="00D87A7D"/>
    <w:rsid w:val="00D91F0E"/>
    <w:rsid w:val="00D922CA"/>
    <w:rsid w:val="00D92B76"/>
    <w:rsid w:val="00D933CE"/>
    <w:rsid w:val="00D94654"/>
    <w:rsid w:val="00D94F08"/>
    <w:rsid w:val="00D95FFF"/>
    <w:rsid w:val="00D9758A"/>
    <w:rsid w:val="00DA0FF4"/>
    <w:rsid w:val="00DA1874"/>
    <w:rsid w:val="00DA23FB"/>
    <w:rsid w:val="00DA2E16"/>
    <w:rsid w:val="00DA3948"/>
    <w:rsid w:val="00DA4043"/>
    <w:rsid w:val="00DA4B1D"/>
    <w:rsid w:val="00DA5075"/>
    <w:rsid w:val="00DA529B"/>
    <w:rsid w:val="00DA5415"/>
    <w:rsid w:val="00DA639B"/>
    <w:rsid w:val="00DA717D"/>
    <w:rsid w:val="00DA7551"/>
    <w:rsid w:val="00DB0FEA"/>
    <w:rsid w:val="00DB1D41"/>
    <w:rsid w:val="00DB3ED0"/>
    <w:rsid w:val="00DB4695"/>
    <w:rsid w:val="00DB5368"/>
    <w:rsid w:val="00DB6820"/>
    <w:rsid w:val="00DB6C19"/>
    <w:rsid w:val="00DB7533"/>
    <w:rsid w:val="00DB76EA"/>
    <w:rsid w:val="00DC3FDF"/>
    <w:rsid w:val="00DC5A1A"/>
    <w:rsid w:val="00DC5C0A"/>
    <w:rsid w:val="00DC767B"/>
    <w:rsid w:val="00DD0344"/>
    <w:rsid w:val="00DD105C"/>
    <w:rsid w:val="00DD1C5A"/>
    <w:rsid w:val="00DD24C8"/>
    <w:rsid w:val="00DD27E9"/>
    <w:rsid w:val="00DD28CF"/>
    <w:rsid w:val="00DD4079"/>
    <w:rsid w:val="00DD682F"/>
    <w:rsid w:val="00DD6B8A"/>
    <w:rsid w:val="00DD750C"/>
    <w:rsid w:val="00DD76E4"/>
    <w:rsid w:val="00DD7906"/>
    <w:rsid w:val="00DE02A9"/>
    <w:rsid w:val="00DE1C78"/>
    <w:rsid w:val="00DE2CA0"/>
    <w:rsid w:val="00DE49AD"/>
    <w:rsid w:val="00DE5D49"/>
    <w:rsid w:val="00DE72B4"/>
    <w:rsid w:val="00DE72D2"/>
    <w:rsid w:val="00DF07E2"/>
    <w:rsid w:val="00DF0BC4"/>
    <w:rsid w:val="00DF1B52"/>
    <w:rsid w:val="00DF39A0"/>
    <w:rsid w:val="00DF3E3B"/>
    <w:rsid w:val="00DF40EF"/>
    <w:rsid w:val="00DF5A79"/>
    <w:rsid w:val="00DF5DD2"/>
    <w:rsid w:val="00DF78C4"/>
    <w:rsid w:val="00DF7C1B"/>
    <w:rsid w:val="00E0114B"/>
    <w:rsid w:val="00E02552"/>
    <w:rsid w:val="00E0399A"/>
    <w:rsid w:val="00E03B3F"/>
    <w:rsid w:val="00E0456B"/>
    <w:rsid w:val="00E059F0"/>
    <w:rsid w:val="00E06687"/>
    <w:rsid w:val="00E10059"/>
    <w:rsid w:val="00E14F4D"/>
    <w:rsid w:val="00E15A23"/>
    <w:rsid w:val="00E16E29"/>
    <w:rsid w:val="00E16FBF"/>
    <w:rsid w:val="00E17F8A"/>
    <w:rsid w:val="00E21EC4"/>
    <w:rsid w:val="00E22379"/>
    <w:rsid w:val="00E22B4C"/>
    <w:rsid w:val="00E23853"/>
    <w:rsid w:val="00E24A40"/>
    <w:rsid w:val="00E25409"/>
    <w:rsid w:val="00E25587"/>
    <w:rsid w:val="00E26634"/>
    <w:rsid w:val="00E303A4"/>
    <w:rsid w:val="00E30BBD"/>
    <w:rsid w:val="00E31489"/>
    <w:rsid w:val="00E325FA"/>
    <w:rsid w:val="00E34142"/>
    <w:rsid w:val="00E346AA"/>
    <w:rsid w:val="00E3624F"/>
    <w:rsid w:val="00E363F7"/>
    <w:rsid w:val="00E3643B"/>
    <w:rsid w:val="00E3670D"/>
    <w:rsid w:val="00E42D5D"/>
    <w:rsid w:val="00E44EC7"/>
    <w:rsid w:val="00E465CA"/>
    <w:rsid w:val="00E468BE"/>
    <w:rsid w:val="00E47B07"/>
    <w:rsid w:val="00E52C9D"/>
    <w:rsid w:val="00E5379C"/>
    <w:rsid w:val="00E541ED"/>
    <w:rsid w:val="00E54248"/>
    <w:rsid w:val="00E549B7"/>
    <w:rsid w:val="00E55AA4"/>
    <w:rsid w:val="00E55FD1"/>
    <w:rsid w:val="00E61A5D"/>
    <w:rsid w:val="00E62451"/>
    <w:rsid w:val="00E63AAC"/>
    <w:rsid w:val="00E63CAA"/>
    <w:rsid w:val="00E65660"/>
    <w:rsid w:val="00E65FDB"/>
    <w:rsid w:val="00E66716"/>
    <w:rsid w:val="00E66EF2"/>
    <w:rsid w:val="00E67D6B"/>
    <w:rsid w:val="00E70B20"/>
    <w:rsid w:val="00E73A60"/>
    <w:rsid w:val="00E76124"/>
    <w:rsid w:val="00E771E4"/>
    <w:rsid w:val="00E77941"/>
    <w:rsid w:val="00E8041A"/>
    <w:rsid w:val="00E81A96"/>
    <w:rsid w:val="00E828DD"/>
    <w:rsid w:val="00E82E01"/>
    <w:rsid w:val="00E8415D"/>
    <w:rsid w:val="00E84335"/>
    <w:rsid w:val="00E8636D"/>
    <w:rsid w:val="00E874DC"/>
    <w:rsid w:val="00E87EBA"/>
    <w:rsid w:val="00E905F1"/>
    <w:rsid w:val="00E90C5C"/>
    <w:rsid w:val="00E93763"/>
    <w:rsid w:val="00E94083"/>
    <w:rsid w:val="00E94CAF"/>
    <w:rsid w:val="00E95245"/>
    <w:rsid w:val="00E97302"/>
    <w:rsid w:val="00E9745C"/>
    <w:rsid w:val="00E97DCA"/>
    <w:rsid w:val="00EA0D1B"/>
    <w:rsid w:val="00EA1347"/>
    <w:rsid w:val="00EA146A"/>
    <w:rsid w:val="00EA35D0"/>
    <w:rsid w:val="00EA6C01"/>
    <w:rsid w:val="00EB3B09"/>
    <w:rsid w:val="00EB48F4"/>
    <w:rsid w:val="00EB7FC8"/>
    <w:rsid w:val="00EC63CE"/>
    <w:rsid w:val="00EC6DF1"/>
    <w:rsid w:val="00ED0524"/>
    <w:rsid w:val="00ED0748"/>
    <w:rsid w:val="00ED0D3F"/>
    <w:rsid w:val="00ED1EF0"/>
    <w:rsid w:val="00ED28A9"/>
    <w:rsid w:val="00ED2C0B"/>
    <w:rsid w:val="00ED3D61"/>
    <w:rsid w:val="00ED4652"/>
    <w:rsid w:val="00ED6F0D"/>
    <w:rsid w:val="00EE059A"/>
    <w:rsid w:val="00EE1481"/>
    <w:rsid w:val="00EE220E"/>
    <w:rsid w:val="00EE3902"/>
    <w:rsid w:val="00EE3F28"/>
    <w:rsid w:val="00EE3F2F"/>
    <w:rsid w:val="00EE4EC2"/>
    <w:rsid w:val="00EE5002"/>
    <w:rsid w:val="00EE5662"/>
    <w:rsid w:val="00EE5933"/>
    <w:rsid w:val="00EE648E"/>
    <w:rsid w:val="00EE64E6"/>
    <w:rsid w:val="00EF164C"/>
    <w:rsid w:val="00EF2BC0"/>
    <w:rsid w:val="00EF319A"/>
    <w:rsid w:val="00EF4821"/>
    <w:rsid w:val="00EF4C56"/>
    <w:rsid w:val="00F030DF"/>
    <w:rsid w:val="00F0321C"/>
    <w:rsid w:val="00F037E9"/>
    <w:rsid w:val="00F054BD"/>
    <w:rsid w:val="00F07207"/>
    <w:rsid w:val="00F1052E"/>
    <w:rsid w:val="00F121C8"/>
    <w:rsid w:val="00F12F2C"/>
    <w:rsid w:val="00F14C4D"/>
    <w:rsid w:val="00F2004F"/>
    <w:rsid w:val="00F205BC"/>
    <w:rsid w:val="00F215B9"/>
    <w:rsid w:val="00F250FC"/>
    <w:rsid w:val="00F25169"/>
    <w:rsid w:val="00F25B40"/>
    <w:rsid w:val="00F31D3C"/>
    <w:rsid w:val="00F3220E"/>
    <w:rsid w:val="00F32C7D"/>
    <w:rsid w:val="00F34851"/>
    <w:rsid w:val="00F34F61"/>
    <w:rsid w:val="00F3691F"/>
    <w:rsid w:val="00F40032"/>
    <w:rsid w:val="00F41F23"/>
    <w:rsid w:val="00F42152"/>
    <w:rsid w:val="00F42511"/>
    <w:rsid w:val="00F4686C"/>
    <w:rsid w:val="00F51847"/>
    <w:rsid w:val="00F5279E"/>
    <w:rsid w:val="00F54A4E"/>
    <w:rsid w:val="00F56168"/>
    <w:rsid w:val="00F5684C"/>
    <w:rsid w:val="00F6277D"/>
    <w:rsid w:val="00F635D3"/>
    <w:rsid w:val="00F63716"/>
    <w:rsid w:val="00F63FCE"/>
    <w:rsid w:val="00F6460C"/>
    <w:rsid w:val="00F6526D"/>
    <w:rsid w:val="00F65669"/>
    <w:rsid w:val="00F6729B"/>
    <w:rsid w:val="00F70EEC"/>
    <w:rsid w:val="00F726A5"/>
    <w:rsid w:val="00F72BDC"/>
    <w:rsid w:val="00F76269"/>
    <w:rsid w:val="00F7742C"/>
    <w:rsid w:val="00F804A0"/>
    <w:rsid w:val="00F81D80"/>
    <w:rsid w:val="00F8295C"/>
    <w:rsid w:val="00F83234"/>
    <w:rsid w:val="00F84B45"/>
    <w:rsid w:val="00F85713"/>
    <w:rsid w:val="00F86383"/>
    <w:rsid w:val="00F863D0"/>
    <w:rsid w:val="00F866F0"/>
    <w:rsid w:val="00F93C54"/>
    <w:rsid w:val="00F94CC4"/>
    <w:rsid w:val="00F95FA0"/>
    <w:rsid w:val="00FA10C9"/>
    <w:rsid w:val="00FA1E91"/>
    <w:rsid w:val="00FA2281"/>
    <w:rsid w:val="00FA4D2B"/>
    <w:rsid w:val="00FA50D3"/>
    <w:rsid w:val="00FA544D"/>
    <w:rsid w:val="00FA6925"/>
    <w:rsid w:val="00FA6A81"/>
    <w:rsid w:val="00FA70BE"/>
    <w:rsid w:val="00FA7704"/>
    <w:rsid w:val="00FA7B44"/>
    <w:rsid w:val="00FB16E9"/>
    <w:rsid w:val="00FB1E11"/>
    <w:rsid w:val="00FB2009"/>
    <w:rsid w:val="00FB279A"/>
    <w:rsid w:val="00FB36AD"/>
    <w:rsid w:val="00FB3844"/>
    <w:rsid w:val="00FB4480"/>
    <w:rsid w:val="00FB54D8"/>
    <w:rsid w:val="00FB6212"/>
    <w:rsid w:val="00FC0FBC"/>
    <w:rsid w:val="00FC2A17"/>
    <w:rsid w:val="00FC5CFA"/>
    <w:rsid w:val="00FC63AF"/>
    <w:rsid w:val="00FC6EB7"/>
    <w:rsid w:val="00FC7571"/>
    <w:rsid w:val="00FC7DF7"/>
    <w:rsid w:val="00FD16B7"/>
    <w:rsid w:val="00FD17A8"/>
    <w:rsid w:val="00FD38A9"/>
    <w:rsid w:val="00FD3C1D"/>
    <w:rsid w:val="00FD4A1B"/>
    <w:rsid w:val="00FD5C8F"/>
    <w:rsid w:val="00FE0504"/>
    <w:rsid w:val="00FE0B62"/>
    <w:rsid w:val="00FF0149"/>
    <w:rsid w:val="00FF0499"/>
    <w:rsid w:val="00FF0863"/>
    <w:rsid w:val="00FF206A"/>
    <w:rsid w:val="00FF25CA"/>
    <w:rsid w:val="00FF2D8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E959DE"/>
  <w15:chartTrackingRefBased/>
  <w15:docId w15:val="{73BE172E-BAE5-4C24-B3EC-25D7C57F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4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741D4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741D4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741D44"/>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741D44"/>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741D44"/>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741D4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741D4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741D4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741D4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D44"/>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741D44"/>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741D44"/>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741D44"/>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741D44"/>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741D44"/>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741D44"/>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741D44"/>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741D44"/>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741D44"/>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741D44"/>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741D44"/>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741D44"/>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R"/>
    <w:basedOn w:val="DefaultParagraphFont"/>
    <w:link w:val="BVIfnrChar"/>
    <w:uiPriority w:val="99"/>
    <w:unhideWhenUsed/>
    <w:qFormat/>
    <w:rsid w:val="00741D44"/>
    <w:rPr>
      <w:vertAlign w:val="superscript"/>
      <w:lang w:val="en-GB"/>
    </w:rPr>
  </w:style>
  <w:style w:type="paragraph" w:customStyle="1" w:styleId="Footnote">
    <w:name w:val="Footnote"/>
    <w:basedOn w:val="FootnoteText"/>
    <w:semiHidden/>
    <w:qFormat/>
    <w:rsid w:val="00741D44"/>
    <w:rPr>
      <w:szCs w:val="18"/>
    </w:rPr>
  </w:style>
  <w:style w:type="paragraph" w:styleId="Header">
    <w:name w:val="header"/>
    <w:basedOn w:val="Normal"/>
    <w:link w:val="HeaderChar"/>
    <w:semiHidden/>
    <w:rsid w:val="00741D4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741D44"/>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741D44"/>
    <w:pPr>
      <w:tabs>
        <w:tab w:val="center" w:pos="4680"/>
        <w:tab w:val="right" w:pos="9360"/>
      </w:tabs>
    </w:pPr>
    <w:rPr>
      <w:sz w:val="20"/>
    </w:rPr>
  </w:style>
  <w:style w:type="character" w:customStyle="1" w:styleId="FooterChar">
    <w:name w:val="Footer Char"/>
    <w:basedOn w:val="DefaultParagraphFont"/>
    <w:link w:val="Footer"/>
    <w:uiPriority w:val="99"/>
    <w:semiHidden/>
    <w:rsid w:val="00741D44"/>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741D44"/>
    <w:pPr>
      <w:spacing w:after="240"/>
    </w:pPr>
    <w:rPr>
      <w:b/>
      <w:sz w:val="28"/>
    </w:rPr>
  </w:style>
  <w:style w:type="paragraph" w:customStyle="1" w:styleId="ABSymbol">
    <w:name w:val="AB_Symbol"/>
    <w:basedOn w:val="Normal"/>
    <w:qFormat/>
    <w:rsid w:val="00741D4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741D44"/>
    <w:pPr>
      <w:numPr>
        <w:numId w:val="4"/>
      </w:numPr>
      <w:tabs>
        <w:tab w:val="left" w:pos="3969"/>
      </w:tabs>
      <w:spacing w:before="120" w:after="120"/>
    </w:pPr>
  </w:style>
  <w:style w:type="paragraph" w:customStyle="1" w:styleId="AFCorNNormal">
    <w:name w:val="AF_CorNNormal"/>
    <w:basedOn w:val="Normal"/>
    <w:unhideWhenUsed/>
    <w:rsid w:val="00741D44"/>
    <w:pPr>
      <w:jc w:val="left"/>
    </w:pPr>
  </w:style>
  <w:style w:type="paragraph" w:customStyle="1" w:styleId="AEDistrNormal">
    <w:name w:val="AE_DistrNormal"/>
    <w:basedOn w:val="Normal"/>
    <w:unhideWhenUsed/>
    <w:rsid w:val="00741D44"/>
    <w:pPr>
      <w:jc w:val="left"/>
    </w:pPr>
  </w:style>
  <w:style w:type="paragraph" w:customStyle="1" w:styleId="AASmallLogo">
    <w:name w:val="AA_SmallLogo"/>
    <w:basedOn w:val="AEDistrNormal"/>
    <w:unhideWhenUsed/>
    <w:rsid w:val="00741D44"/>
    <w:pPr>
      <w:spacing w:before="40"/>
    </w:pPr>
    <w:rPr>
      <w:sz w:val="4"/>
    </w:rPr>
  </w:style>
  <w:style w:type="paragraph" w:customStyle="1" w:styleId="ACLargeLogo">
    <w:name w:val="AC_LargeLogo"/>
    <w:basedOn w:val="AFCorNNormal"/>
    <w:next w:val="AISpacer"/>
    <w:unhideWhenUsed/>
    <w:rsid w:val="00741D44"/>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741D4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41D44"/>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741D4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741D44"/>
    <w:rPr>
      <w:sz w:val="22"/>
      <w:szCs w:val="22"/>
      <w:lang w:val="en-GB"/>
    </w:rPr>
  </w:style>
  <w:style w:type="character" w:styleId="CommentReference">
    <w:name w:val="annotation reference"/>
    <w:basedOn w:val="DefaultParagraphFont"/>
    <w:uiPriority w:val="99"/>
    <w:semiHidden/>
    <w:unhideWhenUsed/>
    <w:rsid w:val="00741D44"/>
    <w:rPr>
      <w:sz w:val="16"/>
      <w:szCs w:val="16"/>
      <w:lang w:val="en-GB"/>
    </w:rPr>
  </w:style>
  <w:style w:type="paragraph" w:styleId="CommentText">
    <w:name w:val="annotation text"/>
    <w:basedOn w:val="Normal"/>
    <w:link w:val="CommentTextChar"/>
    <w:uiPriority w:val="99"/>
    <w:semiHidden/>
    <w:rsid w:val="00741D44"/>
    <w:rPr>
      <w:sz w:val="20"/>
      <w:szCs w:val="20"/>
    </w:rPr>
  </w:style>
  <w:style w:type="character" w:customStyle="1" w:styleId="CommentTextChar">
    <w:name w:val="Comment Text Char"/>
    <w:basedOn w:val="DefaultParagraphFont"/>
    <w:link w:val="CommentText"/>
    <w:uiPriority w:val="99"/>
    <w:semiHidden/>
    <w:rsid w:val="00741D4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41D44"/>
    <w:rPr>
      <w:b/>
      <w:bCs/>
    </w:rPr>
  </w:style>
  <w:style w:type="character" w:customStyle="1" w:styleId="CommentSubjectChar">
    <w:name w:val="Comment Subject Char"/>
    <w:basedOn w:val="CommentTextChar"/>
    <w:link w:val="CommentSubject"/>
    <w:uiPriority w:val="99"/>
    <w:semiHidden/>
    <w:rsid w:val="00741D44"/>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741D4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741D4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741D44"/>
    <w:pPr>
      <w:contextualSpacing/>
    </w:pPr>
  </w:style>
  <w:style w:type="numbering" w:customStyle="1" w:styleId="ListCBD">
    <w:name w:val="ListCBD"/>
    <w:basedOn w:val="NoList"/>
    <w:uiPriority w:val="99"/>
    <w:rsid w:val="00741D44"/>
    <w:pPr>
      <w:numPr>
        <w:numId w:val="2"/>
      </w:numPr>
    </w:pPr>
  </w:style>
  <w:style w:type="numbering" w:customStyle="1" w:styleId="CBDHeadings">
    <w:name w:val="CBD_Headings"/>
    <w:basedOn w:val="ListCBD"/>
    <w:uiPriority w:val="99"/>
    <w:rsid w:val="00741D44"/>
    <w:pPr>
      <w:numPr>
        <w:numId w:val="3"/>
      </w:numPr>
    </w:pPr>
  </w:style>
  <w:style w:type="paragraph" w:customStyle="1" w:styleId="AISpacer">
    <w:name w:val="AI_Spacer"/>
    <w:next w:val="Normal"/>
    <w:unhideWhenUsed/>
    <w:qFormat/>
    <w:rsid w:val="00741D44"/>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741D44"/>
    <w:pPr>
      <w:spacing w:before="120"/>
    </w:pPr>
  </w:style>
  <w:style w:type="paragraph" w:customStyle="1" w:styleId="AFCorNBold">
    <w:name w:val="AF_CorNBold"/>
    <w:basedOn w:val="AFCorNNormal"/>
    <w:next w:val="AFCorNNormal"/>
    <w:unhideWhenUsed/>
    <w:qFormat/>
    <w:rsid w:val="00741D44"/>
    <w:rPr>
      <w:b/>
    </w:rPr>
  </w:style>
  <w:style w:type="paragraph" w:customStyle="1" w:styleId="AFCorN12Bold">
    <w:name w:val="AF_CorN12Bold"/>
    <w:basedOn w:val="AFCorNNormal"/>
    <w:next w:val="AFCorNNormal"/>
    <w:unhideWhenUsed/>
    <w:qFormat/>
    <w:rsid w:val="00741D44"/>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741D44"/>
    <w:pPr>
      <w:spacing w:after="120"/>
      <w:ind w:left="567" w:firstLine="567"/>
    </w:pPr>
  </w:style>
  <w:style w:type="paragraph" w:customStyle="1" w:styleId="CBDDesicionAnnex">
    <w:name w:val="CBD_DesicionAnnex"/>
    <w:basedOn w:val="CBDNormal"/>
    <w:next w:val="CBDDesicionText"/>
    <w:qFormat/>
    <w:rsid w:val="00741D44"/>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741D44"/>
    <w:rPr>
      <w:rFonts w:ascii="Times New Roman" w:hAnsi="Times New Roman"/>
      <w:color w:val="467886" w:themeColor="hyperlink"/>
      <w:u w:val="single"/>
      <w:lang w:val="en-GB"/>
    </w:rPr>
  </w:style>
  <w:style w:type="paragraph" w:customStyle="1" w:styleId="CBDAnnex">
    <w:name w:val="CBD_Annex"/>
    <w:basedOn w:val="CBDNormal"/>
    <w:next w:val="CBDTitle"/>
    <w:qFormat/>
    <w:rsid w:val="00741D44"/>
    <w:pPr>
      <w:keepNext/>
      <w:keepLines/>
      <w:spacing w:after="240"/>
      <w:jc w:val="left"/>
    </w:pPr>
    <w:rPr>
      <w:b/>
      <w:sz w:val="28"/>
      <w:lang w:bidi="ar-SY"/>
    </w:rPr>
  </w:style>
  <w:style w:type="paragraph" w:customStyle="1" w:styleId="CBDSubTitle">
    <w:name w:val="CBD_SubTitle"/>
    <w:basedOn w:val="CBDNormal"/>
    <w:qFormat/>
    <w:rsid w:val="00741D44"/>
    <w:pPr>
      <w:keepNext/>
      <w:keepLines/>
      <w:spacing w:before="240" w:after="240"/>
      <w:ind w:left="567"/>
      <w:jc w:val="left"/>
    </w:pPr>
    <w:rPr>
      <w:b/>
    </w:rPr>
  </w:style>
  <w:style w:type="paragraph" w:customStyle="1" w:styleId="CBDTitle">
    <w:name w:val="CBD_Title"/>
    <w:basedOn w:val="CBDNormal"/>
    <w:next w:val="CBDSubTitle"/>
    <w:qFormat/>
    <w:rsid w:val="00741D44"/>
    <w:pPr>
      <w:keepNext/>
      <w:keepLines/>
      <w:spacing w:before="240" w:after="240"/>
      <w:ind w:left="567"/>
      <w:jc w:val="left"/>
    </w:pPr>
    <w:rPr>
      <w:b/>
      <w:sz w:val="28"/>
    </w:rPr>
  </w:style>
  <w:style w:type="paragraph" w:customStyle="1" w:styleId="AENormal">
    <w:name w:val="AE_Normal"/>
    <w:basedOn w:val="Normal"/>
    <w:rsid w:val="00741D44"/>
  </w:style>
  <w:style w:type="paragraph" w:customStyle="1" w:styleId="CBDH1">
    <w:name w:val="CBD_H1"/>
    <w:basedOn w:val="CBDNormal"/>
    <w:qFormat/>
    <w:rsid w:val="00741D44"/>
    <w:pPr>
      <w:keepNext/>
      <w:keepLines/>
      <w:spacing w:before="240" w:after="120"/>
      <w:ind w:left="567" w:hanging="567"/>
      <w:jc w:val="left"/>
      <w:outlineLvl w:val="0"/>
    </w:pPr>
    <w:rPr>
      <w:b/>
      <w:sz w:val="28"/>
    </w:rPr>
  </w:style>
  <w:style w:type="paragraph" w:customStyle="1" w:styleId="CBDH2">
    <w:name w:val="CBD_H2"/>
    <w:basedOn w:val="CBDNormal"/>
    <w:qFormat/>
    <w:rsid w:val="00741D44"/>
    <w:pPr>
      <w:keepNext/>
      <w:keepLines/>
      <w:ind w:left="567" w:hanging="567"/>
    </w:pPr>
    <w:rPr>
      <w:b/>
      <w:sz w:val="24"/>
    </w:rPr>
  </w:style>
  <w:style w:type="paragraph" w:customStyle="1" w:styleId="CBDFootnoteText">
    <w:name w:val="CBD_Footnote_Text"/>
    <w:basedOn w:val="CBDNormal"/>
    <w:qFormat/>
    <w:rsid w:val="00741D44"/>
    <w:pPr>
      <w:jc w:val="left"/>
    </w:pPr>
    <w:rPr>
      <w:sz w:val="18"/>
    </w:rPr>
  </w:style>
  <w:style w:type="paragraph" w:customStyle="1" w:styleId="CBDFooter">
    <w:name w:val="CBD_Footer"/>
    <w:basedOn w:val="CBDNormal"/>
    <w:qFormat/>
    <w:rsid w:val="00741D44"/>
    <w:rPr>
      <w:sz w:val="20"/>
    </w:rPr>
  </w:style>
  <w:style w:type="paragraph" w:customStyle="1" w:styleId="CBDHeader">
    <w:name w:val="CBD_Header"/>
    <w:basedOn w:val="CBDNormal"/>
    <w:next w:val="CBDFooter"/>
    <w:qFormat/>
    <w:rsid w:val="00741D4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741D44"/>
    <w:pPr>
      <w:keepNext/>
      <w:keepLines/>
      <w:spacing w:before="120" w:after="120"/>
      <w:ind w:left="567" w:hanging="567"/>
      <w:jc w:val="left"/>
    </w:pPr>
    <w:rPr>
      <w:b/>
    </w:rPr>
  </w:style>
  <w:style w:type="paragraph" w:customStyle="1" w:styleId="CBDH4">
    <w:name w:val="CBD_H4"/>
    <w:basedOn w:val="CBDNormal"/>
    <w:rsid w:val="00741D44"/>
    <w:pPr>
      <w:keepNext/>
      <w:keepLines/>
      <w:spacing w:before="120" w:after="120"/>
      <w:ind w:left="567" w:hanging="567"/>
      <w:jc w:val="left"/>
    </w:pPr>
    <w:rPr>
      <w:b/>
    </w:rPr>
  </w:style>
  <w:style w:type="paragraph" w:customStyle="1" w:styleId="CBDH5">
    <w:name w:val="CBD_H5"/>
    <w:basedOn w:val="CBDNormal"/>
    <w:qFormat/>
    <w:rsid w:val="00741D44"/>
    <w:pPr>
      <w:keepNext/>
      <w:keepLines/>
      <w:spacing w:before="120" w:after="120"/>
      <w:ind w:left="567" w:hanging="567"/>
      <w:jc w:val="left"/>
    </w:pPr>
    <w:rPr>
      <w:i/>
    </w:rPr>
  </w:style>
  <w:style w:type="paragraph" w:customStyle="1" w:styleId="CBDTableNormal">
    <w:name w:val="CBD_TableNormal"/>
    <w:basedOn w:val="CBDNormal"/>
    <w:qFormat/>
    <w:rsid w:val="00741D44"/>
    <w:pPr>
      <w:spacing w:before="40" w:after="80"/>
      <w:jc w:val="left"/>
    </w:pPr>
    <w:rPr>
      <w:sz w:val="20"/>
    </w:rPr>
  </w:style>
  <w:style w:type="paragraph" w:customStyle="1" w:styleId="CBDTableTitle">
    <w:name w:val="CBD_TableTitle"/>
    <w:basedOn w:val="CBDNormal"/>
    <w:qFormat/>
    <w:rsid w:val="00741D44"/>
    <w:pPr>
      <w:keepNext/>
      <w:keepLines/>
      <w:spacing w:before="120" w:after="60"/>
      <w:ind w:left="567"/>
      <w:jc w:val="left"/>
    </w:pPr>
    <w:rPr>
      <w:b/>
    </w:rPr>
  </w:style>
  <w:style w:type="paragraph" w:customStyle="1" w:styleId="CBDFigureTitle">
    <w:name w:val="CBD_FigureTitle"/>
    <w:basedOn w:val="CBDNormal"/>
    <w:next w:val="CBDNormalNoNumber"/>
    <w:qFormat/>
    <w:rsid w:val="00741D44"/>
    <w:pPr>
      <w:keepNext/>
      <w:keepLines/>
      <w:spacing w:before="120" w:after="60"/>
      <w:ind w:left="567"/>
      <w:jc w:val="left"/>
    </w:pPr>
    <w:rPr>
      <w:b/>
    </w:rPr>
  </w:style>
  <w:style w:type="paragraph" w:styleId="TOC1">
    <w:name w:val="toc 1"/>
    <w:basedOn w:val="CBDNormal"/>
    <w:next w:val="Normal"/>
    <w:autoRedefine/>
    <w:uiPriority w:val="39"/>
    <w:unhideWhenUsed/>
    <w:rsid w:val="00741D4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741D4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CBDAgendaItemReport">
    <w:name w:val="CBD_AgendaItem_Report"/>
    <w:basedOn w:val="Normal"/>
    <w:qFormat/>
    <w:rsid w:val="00741D44"/>
    <w:pPr>
      <w:keepNext/>
      <w:keepLines/>
      <w:spacing w:before="240" w:after="120"/>
      <w:jc w:val="left"/>
    </w:pPr>
    <w:rPr>
      <w:b/>
      <w:sz w:val="24"/>
    </w:rPr>
  </w:style>
  <w:style w:type="paragraph" w:customStyle="1" w:styleId="CBDagendaItem0">
    <w:name w:val="CBD_agenda_Item"/>
    <w:basedOn w:val="CBDNormalNumber"/>
    <w:qFormat/>
    <w:rsid w:val="00741D44"/>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6F7E0B"/>
    <w:pPr>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uiPriority w:val="99"/>
    <w:rsid w:val="00927212"/>
    <w:pPr>
      <w:tabs>
        <w:tab w:val="clear" w:pos="567"/>
        <w:tab w:val="clear" w:pos="1134"/>
        <w:tab w:val="clear" w:pos="1701"/>
        <w:tab w:val="clear" w:pos="2268"/>
        <w:tab w:val="num" w:pos="1800"/>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Cornernotation">
    <w:name w:val="Corner notation"/>
    <w:basedOn w:val="Normal"/>
    <w:rsid w:val="00927212"/>
    <w:pPr>
      <w:tabs>
        <w:tab w:val="clear" w:pos="567"/>
        <w:tab w:val="clear" w:pos="1134"/>
        <w:tab w:val="clear" w:pos="1701"/>
        <w:tab w:val="clear" w:pos="2268"/>
      </w:tabs>
      <w:ind w:right="3119"/>
      <w:jc w:val="left"/>
    </w:pPr>
    <w:rPr>
      <w:rFonts w:eastAsia="Times New Roman"/>
      <w:b/>
      <w:sz w:val="24"/>
      <w:szCs w:val="24"/>
    </w:rPr>
  </w:style>
  <w:style w:type="paragraph" w:customStyle="1" w:styleId="Cornernotation-Item">
    <w:name w:val="Corner notation - Item"/>
    <w:basedOn w:val="Normal"/>
    <w:qFormat/>
    <w:rsid w:val="00927212"/>
    <w:pPr>
      <w:tabs>
        <w:tab w:val="clear" w:pos="567"/>
        <w:tab w:val="clear" w:pos="1134"/>
        <w:tab w:val="clear" w:pos="1701"/>
        <w:tab w:val="clear" w:pos="2268"/>
      </w:tabs>
      <w:ind w:right="3119"/>
      <w:jc w:val="left"/>
    </w:pPr>
    <w:rPr>
      <w:rFonts w:eastAsia="Times New Roman"/>
      <w:b/>
      <w:bCs/>
    </w:rPr>
  </w:style>
  <w:style w:type="paragraph" w:customStyle="1" w:styleId="Para1">
    <w:name w:val="Para 1"/>
    <w:basedOn w:val="Normal"/>
    <w:qFormat/>
    <w:rsid w:val="004B3EAD"/>
    <w:pPr>
      <w:spacing w:before="120" w:after="120"/>
      <w:ind w:left="567"/>
    </w:pPr>
    <w:rPr>
      <w:lang w:val="en-CA"/>
    </w:rPr>
  </w:style>
  <w:style w:type="numbering" w:customStyle="1" w:styleId="ListCBD1">
    <w:name w:val="ListCBD1"/>
    <w:uiPriority w:val="99"/>
    <w:rsid w:val="00E66716"/>
  </w:style>
  <w:style w:type="character" w:styleId="UnresolvedMention">
    <w:name w:val="Unresolved Mention"/>
    <w:basedOn w:val="DefaultParagraphFont"/>
    <w:uiPriority w:val="99"/>
    <w:semiHidden/>
    <w:unhideWhenUsed/>
    <w:rsid w:val="00EB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09-fr.pdf" TargetMode="External"/><Relationship Id="rId22" Type="http://schemas.openxmlformats.org/officeDocument/2006/relationships/hyperlink" Target="https://www.cbd.int/decisions/cop/?m=cop-1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7\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C7BA9DDEA44A0A9C303EC0E6B031B0"/>
        <w:category>
          <w:name w:val="General"/>
          <w:gallery w:val="placeholder"/>
        </w:category>
        <w:types>
          <w:type w:val="bbPlcHdr"/>
        </w:types>
        <w:behaviors>
          <w:behavior w:val="content"/>
        </w:behaviors>
        <w:guid w:val="{66DA9789-3649-44BB-BD72-600FC38678BE}"/>
      </w:docPartPr>
      <w:docPartBody>
        <w:p w:rsidR="005738A7" w:rsidRDefault="005738A7">
          <w:pPr>
            <w:pStyle w:val="B4C7BA9DDEA44A0A9C303EC0E6B031B0"/>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8A7"/>
    <w:rsid w:val="00083204"/>
    <w:rsid w:val="00160521"/>
    <w:rsid w:val="00177254"/>
    <w:rsid w:val="00377BBB"/>
    <w:rsid w:val="00396B5E"/>
    <w:rsid w:val="00451AB3"/>
    <w:rsid w:val="0048062B"/>
    <w:rsid w:val="00482737"/>
    <w:rsid w:val="004E1002"/>
    <w:rsid w:val="004F774F"/>
    <w:rsid w:val="005738A7"/>
    <w:rsid w:val="005C1ED6"/>
    <w:rsid w:val="005F65C2"/>
    <w:rsid w:val="00654CC5"/>
    <w:rsid w:val="0068558B"/>
    <w:rsid w:val="006908F9"/>
    <w:rsid w:val="006B2543"/>
    <w:rsid w:val="007F3D46"/>
    <w:rsid w:val="007F683E"/>
    <w:rsid w:val="008137C0"/>
    <w:rsid w:val="008218D6"/>
    <w:rsid w:val="00835848"/>
    <w:rsid w:val="00865D06"/>
    <w:rsid w:val="00920E4E"/>
    <w:rsid w:val="00983810"/>
    <w:rsid w:val="00AE7DF3"/>
    <w:rsid w:val="00B97EE4"/>
    <w:rsid w:val="00CA417B"/>
    <w:rsid w:val="00CD25CD"/>
    <w:rsid w:val="00CE4ACC"/>
    <w:rsid w:val="00CF455B"/>
    <w:rsid w:val="00D03934"/>
    <w:rsid w:val="00D17FC0"/>
    <w:rsid w:val="00D76C22"/>
    <w:rsid w:val="00E63AAC"/>
    <w:rsid w:val="00F26C42"/>
    <w:rsid w:val="00F41EAC"/>
    <w:rsid w:val="00F52391"/>
    <w:rsid w:val="00FB2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002"/>
    <w:rPr>
      <w:color w:val="666666"/>
      <w:lang w:val="en-GB"/>
    </w:rPr>
  </w:style>
  <w:style w:type="paragraph" w:customStyle="1" w:styleId="B4C7BA9DDEA44A0A9C303EC0E6B031B0">
    <w:name w:val="B4C7BA9DDEA44A0A9C303EC0E6B0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A45B017D-94B4-464E-BC4A-678142419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6148F-D33E-46A8-BEB1-E1D46F861F3A}">
  <ds:schemaRefs>
    <ds:schemaRef ds:uri="http://schemas.openxmlformats.org/officeDocument/2006/bibliography"/>
  </ds:schemaRefs>
</ds:datastoreItem>
</file>

<file path=customXml/itemProps4.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sbstta-27-template-en.dotm</Template>
  <TotalTime>3</TotalTime>
  <Pages>7</Pages>
  <Words>2851</Words>
  <Characters>17225</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Domaines dans lesquels des travaux plus poussés pourraient être menés dans le contexte du Cadre mondial de la biodiversité de Kunming-Montréal</vt:lpstr>
      <vt:lpstr>Areas of potential further work</vt:lpstr>
    </vt:vector>
  </TitlesOfParts>
  <Company/>
  <LinksUpToDate>false</LinksUpToDate>
  <CharactersWithSpaces>20036</CharactersWithSpaces>
  <SharedDoc>false</SharedDoc>
  <HLinks>
    <vt:vector size="420" baseType="variant">
      <vt:variant>
        <vt:i4>7209057</vt:i4>
      </vt:variant>
      <vt:variant>
        <vt:i4>102</vt:i4>
      </vt:variant>
      <vt:variant>
        <vt:i4>0</vt:i4>
      </vt:variant>
      <vt:variant>
        <vt:i4>5</vt:i4>
      </vt:variant>
      <vt:variant>
        <vt:lpwstr>https://www.cbd.int/decisions/cop/?m=cop-15</vt:lpwstr>
      </vt:variant>
      <vt:variant>
        <vt:lpwstr/>
      </vt:variant>
      <vt:variant>
        <vt:i4>7209057</vt:i4>
      </vt:variant>
      <vt:variant>
        <vt:i4>99</vt:i4>
      </vt:variant>
      <vt:variant>
        <vt:i4>0</vt:i4>
      </vt:variant>
      <vt:variant>
        <vt:i4>5</vt:i4>
      </vt:variant>
      <vt:variant>
        <vt:lpwstr>https://www.cbd.int/decisions/cop/?m=cop-16</vt:lpwstr>
      </vt:variant>
      <vt:variant>
        <vt:lpwstr/>
      </vt:variant>
      <vt:variant>
        <vt:i4>7209057</vt:i4>
      </vt:variant>
      <vt:variant>
        <vt:i4>96</vt:i4>
      </vt:variant>
      <vt:variant>
        <vt:i4>0</vt:i4>
      </vt:variant>
      <vt:variant>
        <vt:i4>5</vt:i4>
      </vt:variant>
      <vt:variant>
        <vt:lpwstr>https://www.cbd.int/decisions/cop/?m=cop-16</vt:lpwstr>
      </vt:variant>
      <vt:variant>
        <vt:lpwstr/>
      </vt:variant>
      <vt:variant>
        <vt:i4>7209057</vt:i4>
      </vt:variant>
      <vt:variant>
        <vt:i4>93</vt:i4>
      </vt:variant>
      <vt:variant>
        <vt:i4>0</vt:i4>
      </vt:variant>
      <vt:variant>
        <vt:i4>5</vt:i4>
      </vt:variant>
      <vt:variant>
        <vt:lpwstr>https://www.cbd.int/decisions/cop/?m=cop-16</vt:lpwstr>
      </vt:variant>
      <vt:variant>
        <vt:lpwstr/>
      </vt:variant>
      <vt:variant>
        <vt:i4>7209057</vt:i4>
      </vt:variant>
      <vt:variant>
        <vt:i4>90</vt:i4>
      </vt:variant>
      <vt:variant>
        <vt:i4>0</vt:i4>
      </vt:variant>
      <vt:variant>
        <vt:i4>5</vt:i4>
      </vt:variant>
      <vt:variant>
        <vt:lpwstr>https://www.cbd.int/decisions/cop/?m=cop-16</vt:lpwstr>
      </vt:variant>
      <vt:variant>
        <vt:lpwstr/>
      </vt:variant>
      <vt:variant>
        <vt:i4>7209057</vt:i4>
      </vt:variant>
      <vt:variant>
        <vt:i4>87</vt:i4>
      </vt:variant>
      <vt:variant>
        <vt:i4>0</vt:i4>
      </vt:variant>
      <vt:variant>
        <vt:i4>5</vt:i4>
      </vt:variant>
      <vt:variant>
        <vt:lpwstr>https://www.cbd.int/decisions/cop/?m=cop-16</vt:lpwstr>
      </vt:variant>
      <vt:variant>
        <vt:lpwstr/>
      </vt:variant>
      <vt:variant>
        <vt:i4>7209057</vt:i4>
      </vt:variant>
      <vt:variant>
        <vt:i4>84</vt:i4>
      </vt:variant>
      <vt:variant>
        <vt:i4>0</vt:i4>
      </vt:variant>
      <vt:variant>
        <vt:i4>5</vt:i4>
      </vt:variant>
      <vt:variant>
        <vt:lpwstr>https://www.cbd.int/decisions/cop/?m=cop-16</vt:lpwstr>
      </vt:variant>
      <vt:variant>
        <vt:lpwstr/>
      </vt:variant>
      <vt:variant>
        <vt:i4>4128876</vt:i4>
      </vt:variant>
      <vt:variant>
        <vt:i4>81</vt:i4>
      </vt:variant>
      <vt:variant>
        <vt:i4>0</vt:i4>
      </vt:variant>
      <vt:variant>
        <vt:i4>5</vt:i4>
      </vt:variant>
      <vt:variant>
        <vt:lpwstr>https://www.cbd.int/decisions/?id=13491</vt:lpwstr>
      </vt:variant>
      <vt:variant>
        <vt:lpwstr/>
      </vt:variant>
      <vt:variant>
        <vt:i4>7209057</vt:i4>
      </vt:variant>
      <vt:variant>
        <vt:i4>78</vt:i4>
      </vt:variant>
      <vt:variant>
        <vt:i4>0</vt:i4>
      </vt:variant>
      <vt:variant>
        <vt:i4>5</vt:i4>
      </vt:variant>
      <vt:variant>
        <vt:lpwstr>https://www.cbd.int/decisions/cop/?m=cop-16</vt:lpwstr>
      </vt:variant>
      <vt:variant>
        <vt:lpwstr/>
      </vt:variant>
      <vt:variant>
        <vt:i4>7209057</vt:i4>
      </vt:variant>
      <vt:variant>
        <vt:i4>75</vt:i4>
      </vt:variant>
      <vt:variant>
        <vt:i4>0</vt:i4>
      </vt:variant>
      <vt:variant>
        <vt:i4>5</vt:i4>
      </vt:variant>
      <vt:variant>
        <vt:lpwstr>https://www.cbd.int/decisions/cop/?m=cop-15</vt:lpwstr>
      </vt:variant>
      <vt:variant>
        <vt:lpwstr/>
      </vt:variant>
      <vt:variant>
        <vt:i4>7209057</vt:i4>
      </vt:variant>
      <vt:variant>
        <vt:i4>66</vt:i4>
      </vt:variant>
      <vt:variant>
        <vt:i4>0</vt:i4>
      </vt:variant>
      <vt:variant>
        <vt:i4>5</vt:i4>
      </vt:variant>
      <vt:variant>
        <vt:lpwstr>https://www.cbd.int/decisions/cop/?m=cop-16</vt:lpwstr>
      </vt:variant>
      <vt:variant>
        <vt:lpwstr/>
      </vt:variant>
      <vt:variant>
        <vt:i4>3276921</vt:i4>
      </vt:variant>
      <vt:variant>
        <vt:i4>63</vt:i4>
      </vt:variant>
      <vt:variant>
        <vt:i4>0</vt:i4>
      </vt:variant>
      <vt:variant>
        <vt:i4>5</vt:i4>
      </vt:variant>
      <vt:variant>
        <vt:lpwstr>https://www.cbd.int/documents/CBD/SBSTTA/26/INF/15</vt:lpwstr>
      </vt:variant>
      <vt:variant>
        <vt:lpwstr/>
      </vt:variant>
      <vt:variant>
        <vt:i4>7209057</vt:i4>
      </vt:variant>
      <vt:variant>
        <vt:i4>60</vt:i4>
      </vt:variant>
      <vt:variant>
        <vt:i4>0</vt:i4>
      </vt:variant>
      <vt:variant>
        <vt:i4>5</vt:i4>
      </vt:variant>
      <vt:variant>
        <vt:lpwstr>https://www.cbd.int/decisions/cop/?m=cop-16</vt:lpwstr>
      </vt:variant>
      <vt:variant>
        <vt:lpwstr/>
      </vt:variant>
      <vt:variant>
        <vt:i4>7209057</vt:i4>
      </vt:variant>
      <vt:variant>
        <vt:i4>57</vt:i4>
      </vt:variant>
      <vt:variant>
        <vt:i4>0</vt:i4>
      </vt:variant>
      <vt:variant>
        <vt:i4>5</vt:i4>
      </vt:variant>
      <vt:variant>
        <vt:lpwstr>https://www.cbd.int/decisions/cop/?m=cop-16</vt:lpwstr>
      </vt:variant>
      <vt:variant>
        <vt:lpwstr/>
      </vt:variant>
      <vt:variant>
        <vt:i4>3276921</vt:i4>
      </vt:variant>
      <vt:variant>
        <vt:i4>54</vt:i4>
      </vt:variant>
      <vt:variant>
        <vt:i4>0</vt:i4>
      </vt:variant>
      <vt:variant>
        <vt:i4>5</vt:i4>
      </vt:variant>
      <vt:variant>
        <vt:lpwstr>https://www.cbd.int/documents/CBD/SBSTTA/26/INF/15</vt:lpwstr>
      </vt:variant>
      <vt:variant>
        <vt:lpwstr/>
      </vt:variant>
      <vt:variant>
        <vt:i4>4587591</vt:i4>
      </vt:variant>
      <vt:variant>
        <vt:i4>51</vt:i4>
      </vt:variant>
      <vt:variant>
        <vt:i4>0</vt:i4>
      </vt:variant>
      <vt:variant>
        <vt:i4>5</vt:i4>
      </vt:variant>
      <vt:variant>
        <vt:lpwstr>https://www.cbd.int/documents/CBD/SBSTTA/26/3</vt:lpwstr>
      </vt:variant>
      <vt:variant>
        <vt:lpwstr/>
      </vt:variant>
      <vt:variant>
        <vt:i4>7209057</vt:i4>
      </vt:variant>
      <vt:variant>
        <vt:i4>48</vt:i4>
      </vt:variant>
      <vt:variant>
        <vt:i4>0</vt:i4>
      </vt:variant>
      <vt:variant>
        <vt:i4>5</vt:i4>
      </vt:variant>
      <vt:variant>
        <vt:lpwstr>https://www.cbd.int/decisions/cop/?m=cop-16</vt:lpwstr>
      </vt:variant>
      <vt:variant>
        <vt:lpwstr/>
      </vt:variant>
      <vt:variant>
        <vt:i4>3276921</vt:i4>
      </vt:variant>
      <vt:variant>
        <vt:i4>45</vt:i4>
      </vt:variant>
      <vt:variant>
        <vt:i4>0</vt:i4>
      </vt:variant>
      <vt:variant>
        <vt:i4>5</vt:i4>
      </vt:variant>
      <vt:variant>
        <vt:lpwstr>https://www.cbd.int/documents/CBD/SBSTTA/26/INF/15</vt:lpwstr>
      </vt:variant>
      <vt:variant>
        <vt:lpwstr/>
      </vt:variant>
      <vt:variant>
        <vt:i4>3276921</vt:i4>
      </vt:variant>
      <vt:variant>
        <vt:i4>42</vt:i4>
      </vt:variant>
      <vt:variant>
        <vt:i4>0</vt:i4>
      </vt:variant>
      <vt:variant>
        <vt:i4>5</vt:i4>
      </vt:variant>
      <vt:variant>
        <vt:lpwstr>https://www.cbd.int/documents/CBD/SBSTTA/26/INF/15</vt:lpwstr>
      </vt:variant>
      <vt:variant>
        <vt:lpwstr/>
      </vt:variant>
      <vt:variant>
        <vt:i4>4587591</vt:i4>
      </vt:variant>
      <vt:variant>
        <vt:i4>39</vt:i4>
      </vt:variant>
      <vt:variant>
        <vt:i4>0</vt:i4>
      </vt:variant>
      <vt:variant>
        <vt:i4>5</vt:i4>
      </vt:variant>
      <vt:variant>
        <vt:lpwstr>https://www.cbd.int/documents/CBD/SBSTTA/26/3</vt:lpwstr>
      </vt:variant>
      <vt:variant>
        <vt:lpwstr/>
      </vt:variant>
      <vt:variant>
        <vt:i4>3276921</vt:i4>
      </vt:variant>
      <vt:variant>
        <vt:i4>36</vt:i4>
      </vt:variant>
      <vt:variant>
        <vt:i4>0</vt:i4>
      </vt:variant>
      <vt:variant>
        <vt:i4>5</vt:i4>
      </vt:variant>
      <vt:variant>
        <vt:lpwstr>https://www.cbd.int/documents/CBD/SBSTTA/26/INF/15</vt:lpwstr>
      </vt:variant>
      <vt:variant>
        <vt:lpwstr/>
      </vt:variant>
      <vt:variant>
        <vt:i4>4587591</vt:i4>
      </vt:variant>
      <vt:variant>
        <vt:i4>33</vt:i4>
      </vt:variant>
      <vt:variant>
        <vt:i4>0</vt:i4>
      </vt:variant>
      <vt:variant>
        <vt:i4>5</vt:i4>
      </vt:variant>
      <vt:variant>
        <vt:lpwstr>https://www.cbd.int/documents/CBD/SBSTTA/26/3</vt:lpwstr>
      </vt:variant>
      <vt:variant>
        <vt:lpwstr/>
      </vt:variant>
      <vt:variant>
        <vt:i4>7209057</vt:i4>
      </vt:variant>
      <vt:variant>
        <vt:i4>30</vt:i4>
      </vt:variant>
      <vt:variant>
        <vt:i4>0</vt:i4>
      </vt:variant>
      <vt:variant>
        <vt:i4>5</vt:i4>
      </vt:variant>
      <vt:variant>
        <vt:lpwstr>https://www.cbd.int/decisions/cop/?m=cop-16</vt:lpwstr>
      </vt:variant>
      <vt:variant>
        <vt:lpwstr/>
      </vt:variant>
      <vt:variant>
        <vt:i4>7209057</vt:i4>
      </vt:variant>
      <vt:variant>
        <vt:i4>27</vt:i4>
      </vt:variant>
      <vt:variant>
        <vt:i4>0</vt:i4>
      </vt:variant>
      <vt:variant>
        <vt:i4>5</vt:i4>
      </vt:variant>
      <vt:variant>
        <vt:lpwstr>https://www.cbd.int/decisions/cop/?m=cop-15</vt:lpwstr>
      </vt:variant>
      <vt:variant>
        <vt:lpwstr/>
      </vt:variant>
      <vt:variant>
        <vt:i4>4259860</vt:i4>
      </vt:variant>
      <vt:variant>
        <vt:i4>24</vt:i4>
      </vt:variant>
      <vt:variant>
        <vt:i4>0</vt:i4>
      </vt:variant>
      <vt:variant>
        <vt:i4>5</vt:i4>
      </vt:variant>
      <vt:variant>
        <vt:lpwstr>https://www.cbd.int/doc/notifications/2025/ntf-2025-058-kmgbf-en.pdf</vt:lpwstr>
      </vt:variant>
      <vt:variant>
        <vt:lpwstr/>
      </vt:variant>
      <vt:variant>
        <vt:i4>7209057</vt:i4>
      </vt:variant>
      <vt:variant>
        <vt:i4>21</vt:i4>
      </vt:variant>
      <vt:variant>
        <vt:i4>0</vt:i4>
      </vt:variant>
      <vt:variant>
        <vt:i4>5</vt:i4>
      </vt:variant>
      <vt:variant>
        <vt:lpwstr>https://www.cbd.int/decisions/cop/?m=cop-16</vt:lpwstr>
      </vt:variant>
      <vt:variant>
        <vt:lpwstr/>
      </vt:variant>
      <vt:variant>
        <vt:i4>4587591</vt:i4>
      </vt:variant>
      <vt:variant>
        <vt:i4>18</vt:i4>
      </vt:variant>
      <vt:variant>
        <vt:i4>0</vt:i4>
      </vt:variant>
      <vt:variant>
        <vt:i4>5</vt:i4>
      </vt:variant>
      <vt:variant>
        <vt:lpwstr>https://www.cbd.int/documents/CBD/SBSTTA/26/3</vt:lpwstr>
      </vt:variant>
      <vt:variant>
        <vt:lpwstr/>
      </vt:variant>
      <vt:variant>
        <vt:i4>3473440</vt:i4>
      </vt:variant>
      <vt:variant>
        <vt:i4>3</vt:i4>
      </vt:variant>
      <vt:variant>
        <vt:i4>0</vt:i4>
      </vt:variant>
      <vt:variant>
        <vt:i4>5</vt:i4>
      </vt:variant>
      <vt:variant>
        <vt:lpwstr>https://www.cbd.int/recommendations/sbstta/?m=sbstta-25</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7209057</vt:i4>
      </vt:variant>
      <vt:variant>
        <vt:i4>120</vt:i4>
      </vt:variant>
      <vt:variant>
        <vt:i4>0</vt:i4>
      </vt:variant>
      <vt:variant>
        <vt:i4>5</vt:i4>
      </vt:variant>
      <vt:variant>
        <vt:lpwstr>https://www.cbd.int/decisions/cop/?m=cop-15</vt:lpwstr>
      </vt:variant>
      <vt:variant>
        <vt:lpwstr/>
      </vt:variant>
      <vt:variant>
        <vt:i4>7209057</vt:i4>
      </vt:variant>
      <vt:variant>
        <vt:i4>117</vt:i4>
      </vt:variant>
      <vt:variant>
        <vt:i4>0</vt:i4>
      </vt:variant>
      <vt:variant>
        <vt:i4>5</vt:i4>
      </vt:variant>
      <vt:variant>
        <vt:lpwstr>https://www.cbd.int/decisions/cop/?m=cop-15</vt:lpwstr>
      </vt:variant>
      <vt:variant>
        <vt:lpwstr/>
      </vt:variant>
      <vt:variant>
        <vt:i4>7209057</vt:i4>
      </vt:variant>
      <vt:variant>
        <vt:i4>114</vt:i4>
      </vt:variant>
      <vt:variant>
        <vt:i4>0</vt:i4>
      </vt:variant>
      <vt:variant>
        <vt:i4>5</vt:i4>
      </vt:variant>
      <vt:variant>
        <vt:lpwstr>https://www.cbd.int/decisions/cop/?m=cop-15</vt:lpwstr>
      </vt:variant>
      <vt:variant>
        <vt:lpwstr/>
      </vt:variant>
      <vt:variant>
        <vt:i4>7209057</vt:i4>
      </vt:variant>
      <vt:variant>
        <vt:i4>111</vt:i4>
      </vt:variant>
      <vt:variant>
        <vt:i4>0</vt:i4>
      </vt:variant>
      <vt:variant>
        <vt:i4>5</vt:i4>
      </vt:variant>
      <vt:variant>
        <vt:lpwstr>https://www.cbd.int/decisions/cop/?m=cop-15</vt:lpwstr>
      </vt:variant>
      <vt:variant>
        <vt:lpwstr/>
      </vt:variant>
      <vt:variant>
        <vt:i4>7209057</vt:i4>
      </vt:variant>
      <vt:variant>
        <vt:i4>108</vt:i4>
      </vt:variant>
      <vt:variant>
        <vt:i4>0</vt:i4>
      </vt:variant>
      <vt:variant>
        <vt:i4>5</vt:i4>
      </vt:variant>
      <vt:variant>
        <vt:lpwstr>https://www.cbd.int/decisions/cop/?m=cop-15</vt:lpwstr>
      </vt:variant>
      <vt:variant>
        <vt:lpwstr/>
      </vt:variant>
      <vt:variant>
        <vt:i4>7209057</vt:i4>
      </vt:variant>
      <vt:variant>
        <vt:i4>105</vt:i4>
      </vt:variant>
      <vt:variant>
        <vt:i4>0</vt:i4>
      </vt:variant>
      <vt:variant>
        <vt:i4>5</vt:i4>
      </vt:variant>
      <vt:variant>
        <vt:lpwstr>https://www.cbd.int/decisions/cop/?m=cop-15</vt:lpwstr>
      </vt:variant>
      <vt:variant>
        <vt:lpwstr/>
      </vt:variant>
      <vt:variant>
        <vt:i4>7209057</vt:i4>
      </vt:variant>
      <vt:variant>
        <vt:i4>102</vt:i4>
      </vt:variant>
      <vt:variant>
        <vt:i4>0</vt:i4>
      </vt:variant>
      <vt:variant>
        <vt:i4>5</vt:i4>
      </vt:variant>
      <vt:variant>
        <vt:lpwstr>https://www.cbd.int/decisions/cop/?m=cop-15</vt:lpwstr>
      </vt:variant>
      <vt:variant>
        <vt:lpwstr/>
      </vt:variant>
      <vt:variant>
        <vt:i4>7209057</vt:i4>
      </vt:variant>
      <vt:variant>
        <vt:i4>99</vt:i4>
      </vt:variant>
      <vt:variant>
        <vt:i4>0</vt:i4>
      </vt:variant>
      <vt:variant>
        <vt:i4>5</vt:i4>
      </vt:variant>
      <vt:variant>
        <vt:lpwstr>https://www.cbd.int/decisions/cop/?m=cop-16</vt:lpwstr>
      </vt:variant>
      <vt:variant>
        <vt:lpwstr/>
      </vt:variant>
      <vt:variant>
        <vt:i4>4587584</vt:i4>
      </vt:variant>
      <vt:variant>
        <vt:i4>93</vt:i4>
      </vt:variant>
      <vt:variant>
        <vt:i4>0</vt:i4>
      </vt:variant>
      <vt:variant>
        <vt:i4>5</vt:i4>
      </vt:variant>
      <vt:variant>
        <vt:lpwstr>https://www.cbd.int/documents/CBD/SBSTTA/21/3</vt:lpwstr>
      </vt:variant>
      <vt:variant>
        <vt:lpwstr/>
      </vt:variant>
      <vt:variant>
        <vt:i4>6291560</vt:i4>
      </vt:variant>
      <vt:variant>
        <vt:i4>90</vt:i4>
      </vt:variant>
      <vt:variant>
        <vt:i4>0</vt:i4>
      </vt:variant>
      <vt:variant>
        <vt:i4>5</vt:i4>
      </vt:variant>
      <vt:variant>
        <vt:lpwstr>https://www.ipbes.net/transformative-change-assessment</vt:lpwstr>
      </vt:variant>
      <vt:variant>
        <vt:lpwstr/>
      </vt:variant>
      <vt:variant>
        <vt:i4>3342391</vt:i4>
      </vt:variant>
      <vt:variant>
        <vt:i4>87</vt:i4>
      </vt:variant>
      <vt:variant>
        <vt:i4>0</vt:i4>
      </vt:variant>
      <vt:variant>
        <vt:i4>5</vt:i4>
      </vt:variant>
      <vt:variant>
        <vt:lpwstr>http://www.ipbes.net/sustainable-use-assessment</vt:lpwstr>
      </vt:variant>
      <vt:variant>
        <vt:lpwstr/>
      </vt:variant>
      <vt:variant>
        <vt:i4>7209057</vt:i4>
      </vt:variant>
      <vt:variant>
        <vt:i4>84</vt:i4>
      </vt:variant>
      <vt:variant>
        <vt:i4>0</vt:i4>
      </vt:variant>
      <vt:variant>
        <vt:i4>5</vt:i4>
      </vt:variant>
      <vt:variant>
        <vt:lpwstr>https://www.cbd.int/decisions/cop/?m=cop-16</vt:lpwstr>
      </vt:variant>
      <vt:variant>
        <vt:lpwstr/>
      </vt:variant>
      <vt:variant>
        <vt:i4>2621483</vt:i4>
      </vt:variant>
      <vt:variant>
        <vt:i4>81</vt:i4>
      </vt:variant>
      <vt:variant>
        <vt:i4>0</vt:i4>
      </vt:variant>
      <vt:variant>
        <vt:i4>5</vt:i4>
      </vt:variant>
      <vt:variant>
        <vt:lpwstr>https://www.cbd.int/marine</vt:lpwstr>
      </vt:variant>
      <vt:variant>
        <vt:lpwstr/>
      </vt:variant>
      <vt:variant>
        <vt:i4>7209057</vt:i4>
      </vt:variant>
      <vt:variant>
        <vt:i4>78</vt:i4>
      </vt:variant>
      <vt:variant>
        <vt:i4>0</vt:i4>
      </vt:variant>
      <vt:variant>
        <vt:i4>5</vt:i4>
      </vt:variant>
      <vt:variant>
        <vt:lpwstr>https://www.cbd.int/decisions/cop/?m=cop-15</vt:lpwstr>
      </vt:variant>
      <vt:variant>
        <vt:lpwstr/>
      </vt:variant>
      <vt:variant>
        <vt:i4>3276910</vt:i4>
      </vt:variant>
      <vt:variant>
        <vt:i4>75</vt:i4>
      </vt:variant>
      <vt:variant>
        <vt:i4>0</vt:i4>
      </vt:variant>
      <vt:variant>
        <vt:i4>5</vt:i4>
      </vt:variant>
      <vt:variant>
        <vt:lpwstr>https://www.cbd.int/decisions/?id=13642</vt:lpwstr>
      </vt:variant>
      <vt:variant>
        <vt:lpwstr/>
      </vt:variant>
      <vt:variant>
        <vt:i4>393216</vt:i4>
      </vt:variant>
      <vt:variant>
        <vt:i4>72</vt:i4>
      </vt:variant>
      <vt:variant>
        <vt:i4>0</vt:i4>
      </vt:variant>
      <vt:variant>
        <vt:i4>5</vt:i4>
      </vt:variant>
      <vt:variant>
        <vt:lpwstr>http://www.unccd.int/news-stories/notifications/call-requests-support-assist-countries-strengthening-ldn-targets</vt:lpwstr>
      </vt:variant>
      <vt:variant>
        <vt:lpwstr/>
      </vt:variant>
      <vt:variant>
        <vt:i4>8126523</vt:i4>
      </vt:variant>
      <vt:variant>
        <vt:i4>69</vt:i4>
      </vt:variant>
      <vt:variant>
        <vt:i4>0</vt:i4>
      </vt:variant>
      <vt:variant>
        <vt:i4>5</vt:i4>
      </vt:variant>
      <vt:variant>
        <vt:lpwstr>https://geo-ldn.org/ldn/about-toolbox/</vt:lpwstr>
      </vt:variant>
      <vt:variant>
        <vt:lpwstr/>
      </vt:variant>
      <vt:variant>
        <vt:i4>6225931</vt:i4>
      </vt:variant>
      <vt:variant>
        <vt:i4>66</vt:i4>
      </vt:variant>
      <vt:variant>
        <vt:i4>0</vt:i4>
      </vt:variant>
      <vt:variant>
        <vt:i4>5</vt:i4>
      </vt:variant>
      <vt:variant>
        <vt:lpwstr>https://www.unccd.int/resources/brief/science-policy-brief-integrated-land-use-planning-and-integrated-landscape</vt:lpwstr>
      </vt:variant>
      <vt:variant>
        <vt:lpwstr/>
      </vt:variant>
      <vt:variant>
        <vt:i4>1114189</vt:i4>
      </vt:variant>
      <vt:variant>
        <vt:i4>63</vt:i4>
      </vt:variant>
      <vt:variant>
        <vt:i4>0</vt:i4>
      </vt:variant>
      <vt:variant>
        <vt:i4>5</vt:i4>
      </vt:variant>
      <vt:variant>
        <vt:lpwstr>https://unu.edu/sites/default/files/2024-07/Indicators of Resilience in SEPLS 2024 Edition_V2_0.pdf</vt:lpwstr>
      </vt:variant>
      <vt:variant>
        <vt:lpwstr/>
      </vt:variant>
      <vt:variant>
        <vt:i4>5636184</vt:i4>
      </vt:variant>
      <vt:variant>
        <vt:i4>57</vt:i4>
      </vt:variant>
      <vt:variant>
        <vt:i4>0</vt:i4>
      </vt:variant>
      <vt:variant>
        <vt:i4>5</vt:i4>
      </vt:variant>
      <vt:variant>
        <vt:lpwstr>https://digitalx.undp.org/catalogs/elsa.html</vt:lpwstr>
      </vt:variant>
      <vt:variant>
        <vt:lpwstr/>
      </vt:variant>
      <vt:variant>
        <vt:i4>6815853</vt:i4>
      </vt:variant>
      <vt:variant>
        <vt:i4>54</vt:i4>
      </vt:variant>
      <vt:variant>
        <vt:i4>0</vt:i4>
      </vt:variant>
      <vt:variant>
        <vt:i4>5</vt:i4>
      </vt:variant>
      <vt:variant>
        <vt:lpwstr>https://iucn.org/our-union/commissions/group/iucn-wcpa-spatial-planning-task-force</vt:lpwstr>
      </vt:variant>
      <vt:variant>
        <vt:lpwstr/>
      </vt:variant>
      <vt:variant>
        <vt:i4>1638474</vt:i4>
      </vt:variant>
      <vt:variant>
        <vt:i4>51</vt:i4>
      </vt:variant>
      <vt:variant>
        <vt:i4>0</vt:i4>
      </vt:variant>
      <vt:variant>
        <vt:i4>5</vt:i4>
      </vt:variant>
      <vt:variant>
        <vt:lpwstr>http://www.mspglobal2030.org/biodiversity-inclusive-marine-spatial-planning/</vt:lpwstr>
      </vt:variant>
      <vt:variant>
        <vt:lpwstr/>
      </vt:variant>
      <vt:variant>
        <vt:i4>7209057</vt:i4>
      </vt:variant>
      <vt:variant>
        <vt:i4>45</vt:i4>
      </vt:variant>
      <vt:variant>
        <vt:i4>0</vt:i4>
      </vt:variant>
      <vt:variant>
        <vt:i4>5</vt:i4>
      </vt:variant>
      <vt:variant>
        <vt:lpwstr>https://www.cbd.int/decisions/cop/?m=cop-16</vt:lpwstr>
      </vt:variant>
      <vt:variant>
        <vt:lpwstr/>
      </vt:variant>
      <vt:variant>
        <vt:i4>7209057</vt:i4>
      </vt:variant>
      <vt:variant>
        <vt:i4>42</vt:i4>
      </vt:variant>
      <vt:variant>
        <vt:i4>0</vt:i4>
      </vt:variant>
      <vt:variant>
        <vt:i4>5</vt:i4>
      </vt:variant>
      <vt:variant>
        <vt:lpwstr>https://www.cbd.int/decisions/cop/?m=cop-15</vt:lpwstr>
      </vt:variant>
      <vt:variant>
        <vt:lpwstr/>
      </vt:variant>
      <vt:variant>
        <vt:i4>3276910</vt:i4>
      </vt:variant>
      <vt:variant>
        <vt:i4>39</vt:i4>
      </vt:variant>
      <vt:variant>
        <vt:i4>0</vt:i4>
      </vt:variant>
      <vt:variant>
        <vt:i4>5</vt:i4>
      </vt:variant>
      <vt:variant>
        <vt:lpwstr>https://www.cbd.int/decisions/?id=13645</vt:lpwstr>
      </vt:variant>
      <vt:variant>
        <vt:lpwstr/>
      </vt:variant>
      <vt:variant>
        <vt:i4>65613</vt:i4>
      </vt:variant>
      <vt:variant>
        <vt:i4>36</vt:i4>
      </vt:variant>
      <vt:variant>
        <vt:i4>0</vt:i4>
      </vt:variant>
      <vt:variant>
        <vt:i4>5</vt:i4>
      </vt:variant>
      <vt:variant>
        <vt:lpwstr>https://www.cbd.int/doc/decisions/cop-13/cop-13-dec-09-en.pdf</vt:lpwstr>
      </vt:variant>
      <vt:variant>
        <vt:lpwstr/>
      </vt:variant>
      <vt:variant>
        <vt:i4>4063339</vt:i4>
      </vt:variant>
      <vt:variant>
        <vt:i4>33</vt:i4>
      </vt:variant>
      <vt:variant>
        <vt:i4>0</vt:i4>
      </vt:variant>
      <vt:variant>
        <vt:i4>5</vt:i4>
      </vt:variant>
      <vt:variant>
        <vt:lpwstr>https://www.cbd.int/decisions/?id=13386</vt:lpwstr>
      </vt:variant>
      <vt:variant>
        <vt:lpwstr/>
      </vt:variant>
      <vt:variant>
        <vt:i4>3211369</vt:i4>
      </vt:variant>
      <vt:variant>
        <vt:i4>30</vt:i4>
      </vt:variant>
      <vt:variant>
        <vt:i4>0</vt:i4>
      </vt:variant>
      <vt:variant>
        <vt:i4>5</vt:i4>
      </vt:variant>
      <vt:variant>
        <vt:lpwstr>https://www.cbd.int/decisions/?id=13179</vt:lpwstr>
      </vt:variant>
      <vt:variant>
        <vt:lpwstr/>
      </vt:variant>
      <vt:variant>
        <vt:i4>4063338</vt:i4>
      </vt:variant>
      <vt:variant>
        <vt:i4>27</vt:i4>
      </vt:variant>
      <vt:variant>
        <vt:i4>0</vt:i4>
      </vt:variant>
      <vt:variant>
        <vt:i4>5</vt:i4>
      </vt:variant>
      <vt:variant>
        <vt:lpwstr>https://www.cbd.int/decisions/?id=12295</vt:lpwstr>
      </vt:variant>
      <vt:variant>
        <vt:lpwstr/>
      </vt:variant>
      <vt:variant>
        <vt:i4>7209013</vt:i4>
      </vt:variant>
      <vt:variant>
        <vt:i4>24</vt:i4>
      </vt:variant>
      <vt:variant>
        <vt:i4>0</vt:i4>
      </vt:variant>
      <vt:variant>
        <vt:i4>5</vt:i4>
      </vt:variant>
      <vt:variant>
        <vt:lpwstr>https://www.cbd.int/notifications/2025-058</vt:lpwstr>
      </vt:variant>
      <vt:variant>
        <vt:lpwstr/>
      </vt:variant>
      <vt:variant>
        <vt:i4>262173</vt:i4>
      </vt:variant>
      <vt:variant>
        <vt:i4>18</vt:i4>
      </vt:variant>
      <vt:variant>
        <vt:i4>0</vt:i4>
      </vt:variant>
      <vt:variant>
        <vt:i4>5</vt:i4>
      </vt:variant>
      <vt:variant>
        <vt:lpwstr>https://www.cbd.int/documents/CBD/SBSTTA/26/INF/16/Rev.1</vt:lpwstr>
      </vt:variant>
      <vt:variant>
        <vt:lpwstr/>
      </vt:variant>
      <vt:variant>
        <vt:i4>3276921</vt:i4>
      </vt:variant>
      <vt:variant>
        <vt:i4>15</vt:i4>
      </vt:variant>
      <vt:variant>
        <vt:i4>0</vt:i4>
      </vt:variant>
      <vt:variant>
        <vt:i4>5</vt:i4>
      </vt:variant>
      <vt:variant>
        <vt:lpwstr>https://www.cbd.int/documents/CBD/SBSTTA/26/INF/15</vt:lpwstr>
      </vt:variant>
      <vt:variant>
        <vt:lpwstr/>
      </vt:variant>
      <vt:variant>
        <vt:i4>4587591</vt:i4>
      </vt:variant>
      <vt:variant>
        <vt:i4>12</vt:i4>
      </vt:variant>
      <vt:variant>
        <vt:i4>0</vt:i4>
      </vt:variant>
      <vt:variant>
        <vt:i4>5</vt:i4>
      </vt:variant>
      <vt:variant>
        <vt:lpwstr>https://www.cbd.int/documents/CBD/SBSTTA/26/3</vt:lpwstr>
      </vt:variant>
      <vt:variant>
        <vt:lpwstr/>
      </vt:variant>
      <vt:variant>
        <vt:i4>4587588</vt:i4>
      </vt:variant>
      <vt:variant>
        <vt:i4>9</vt:i4>
      </vt:variant>
      <vt:variant>
        <vt:i4>0</vt:i4>
      </vt:variant>
      <vt:variant>
        <vt:i4>5</vt:i4>
      </vt:variant>
      <vt:variant>
        <vt:lpwstr>https://www.cbd.int/documents/CBD/SBSTTA/25/4</vt:lpwstr>
      </vt:variant>
      <vt:variant>
        <vt:lpwstr/>
      </vt:variant>
      <vt:variant>
        <vt:i4>458827</vt:i4>
      </vt:variant>
      <vt:variant>
        <vt:i4>6</vt:i4>
      </vt:variant>
      <vt:variant>
        <vt:i4>0</vt:i4>
      </vt:variant>
      <vt:variant>
        <vt:i4>5</vt:i4>
      </vt:variant>
      <vt:variant>
        <vt:lpwstr>https://www.cbd.int/documents/CBD/SBSTTA/25/INF/1</vt:lpwstr>
      </vt:variant>
      <vt:variant>
        <vt:lpwstr/>
      </vt:variant>
      <vt:variant>
        <vt:i4>4587590</vt:i4>
      </vt:variant>
      <vt:variant>
        <vt:i4>0</vt:i4>
      </vt:variant>
      <vt:variant>
        <vt:i4>0</vt:i4>
      </vt:variant>
      <vt:variant>
        <vt:i4>5</vt:i4>
      </vt:variant>
      <vt:variant>
        <vt:lpwstr>https://www.cbd.int/documents/CBD/SBSTTA/27/1</vt:lpwstr>
      </vt:variant>
      <vt:variant>
        <vt:lpwstr/>
      </vt:variant>
      <vt:variant>
        <vt:i4>7405681</vt:i4>
      </vt:variant>
      <vt:variant>
        <vt:i4>12</vt:i4>
      </vt:variant>
      <vt:variant>
        <vt:i4>0</vt:i4>
      </vt:variant>
      <vt:variant>
        <vt:i4>5</vt:i4>
      </vt:variant>
      <vt:variant>
        <vt:lpwstr>https://www.cbd.int/decisions/mop/?m=cp-mop-11</vt:lpwstr>
      </vt:variant>
      <vt:variant>
        <vt:lpwstr/>
      </vt:variant>
      <vt:variant>
        <vt:i4>5963864</vt:i4>
      </vt:variant>
      <vt:variant>
        <vt:i4>9</vt:i4>
      </vt:variant>
      <vt:variant>
        <vt:i4>0</vt:i4>
      </vt:variant>
      <vt:variant>
        <vt:i4>5</vt:i4>
      </vt:variant>
      <vt:variant>
        <vt:lpwstr>https://www.ipbes.net/sustainable-use-assessment</vt:lpwstr>
      </vt:variant>
      <vt:variant>
        <vt:lpwstr/>
      </vt:variant>
      <vt:variant>
        <vt:i4>5439569</vt:i4>
      </vt:variant>
      <vt:variant>
        <vt:i4>6</vt:i4>
      </vt:variant>
      <vt:variant>
        <vt:i4>0</vt:i4>
      </vt:variant>
      <vt:variant>
        <vt:i4>5</vt:i4>
      </vt:variant>
      <vt:variant>
        <vt:lpwstr>https://www.undp.org/publications/dfs-mapping-essential-life-support-areas-achieve-sustainable-development-goals</vt:lpwstr>
      </vt:variant>
      <vt:variant>
        <vt:lpwstr/>
      </vt:variant>
      <vt:variant>
        <vt:i4>7471220</vt:i4>
      </vt:variant>
      <vt:variant>
        <vt:i4>3</vt:i4>
      </vt:variant>
      <vt:variant>
        <vt:i4>0</vt:i4>
      </vt:variant>
      <vt:variant>
        <vt:i4>5</vt:i4>
      </vt:variant>
      <vt:variant>
        <vt:lpwstr>https://iucn.org/our-union/commissions/group/iucn-wcpa-spatial-planning-task-force</vt:lpwstr>
      </vt:variant>
      <vt:variant>
        <vt:lpwstr>overview</vt:lpwstr>
      </vt:variant>
      <vt:variant>
        <vt:i4>4587525</vt:i4>
      </vt:variant>
      <vt:variant>
        <vt:i4>0</vt:i4>
      </vt:variant>
      <vt:variant>
        <vt:i4>0</vt:i4>
      </vt:variant>
      <vt:variant>
        <vt:i4>5</vt:i4>
      </vt:variant>
      <vt:variant>
        <vt:lpwstr>https://www.ipbes.net/events/ipbes-10-plenary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 le 24 octobre 2025</dc:title>
  <dc:subject/>
  <dc:creator>Secretariat of the Convention on Biological Diversity</dc:creator>
  <cp:keywords>Subsidiary Body on Scientific, Technical and Technological Advice, twenty-seventh meeting</cp:keywords>
  <dc:description/>
  <cp:lastModifiedBy>Tatiana Zavarzina</cp:lastModifiedBy>
  <cp:revision>6</cp:revision>
  <cp:lastPrinted>2025-09-09T14:32:00Z</cp:lastPrinted>
  <dcterms:created xsi:type="dcterms:W3CDTF">2025-11-25T15:05:00Z</dcterms:created>
  <dcterms:modified xsi:type="dcterms:W3CDTF">2025-11-25T20:20:00Z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