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D235C1" w:rsidRPr="00F01139" w14:paraId="38C82E21" w14:textId="77777777" w:rsidTr="003C51DC">
        <w:trPr>
          <w:cantSplit/>
          <w:trHeight w:val="900"/>
        </w:trPr>
        <w:tc>
          <w:tcPr>
            <w:tcW w:w="6588" w:type="dxa"/>
            <w:gridSpan w:val="2"/>
            <w:tcBorders>
              <w:top w:val="nil"/>
              <w:left w:val="nil"/>
              <w:bottom w:val="single" w:sz="12" w:space="0" w:color="auto"/>
              <w:right w:val="nil"/>
            </w:tcBorders>
            <w:vAlign w:val="center"/>
          </w:tcPr>
          <w:p w14:paraId="4AB434E2" w14:textId="5BB6A078" w:rsidR="00D235C1" w:rsidRPr="008B3580" w:rsidRDefault="00D235C1" w:rsidP="003C51DC">
            <w:pPr>
              <w:spacing w:before="360"/>
              <w:rPr>
                <w:rFonts w:cs="Simplified Arabic"/>
                <w:b/>
                <w:bCs/>
                <w:szCs w:val="22"/>
                <w:lang w:val="en-US"/>
              </w:rPr>
            </w:pPr>
            <w:r w:rsidRPr="001C7EBB">
              <w:rPr>
                <w:rFonts w:cs="Simplified Arabic"/>
                <w:b/>
                <w:bCs/>
                <w:sz w:val="40"/>
                <w:szCs w:val="40"/>
                <w:lang w:val="en-US"/>
              </w:rPr>
              <w:t>CBD</w:t>
            </w:r>
            <w:r w:rsidRPr="00F01139">
              <w:rPr>
                <w:rFonts w:cs="Simplified Arabic"/>
                <w:szCs w:val="22"/>
              </w:rPr>
              <w:t>/SBSTTA/</w:t>
            </w:r>
            <w:r w:rsidR="005E3BE3">
              <w:rPr>
                <w:rFonts w:cs="Simplified Arabic"/>
                <w:szCs w:val="22"/>
                <w:lang w:val="en-CA"/>
              </w:rPr>
              <w:t>REC/</w:t>
            </w:r>
            <w:r w:rsidRPr="00F01139">
              <w:rPr>
                <w:rFonts w:cs="Simplified Arabic"/>
                <w:szCs w:val="22"/>
              </w:rPr>
              <w:t>27/</w:t>
            </w:r>
            <w:r w:rsidR="005E3BE3">
              <w:rPr>
                <w:rFonts w:cs="Simplified Arabic"/>
                <w:szCs w:val="22"/>
                <w:lang w:val="en-US"/>
              </w:rPr>
              <w:t>7</w:t>
            </w:r>
          </w:p>
        </w:tc>
        <w:tc>
          <w:tcPr>
            <w:tcW w:w="1917" w:type="dxa"/>
            <w:tcBorders>
              <w:top w:val="nil"/>
              <w:left w:val="nil"/>
              <w:bottom w:val="single" w:sz="12" w:space="0" w:color="auto"/>
              <w:right w:val="nil"/>
            </w:tcBorders>
          </w:tcPr>
          <w:p w14:paraId="7E5DA754" w14:textId="77777777" w:rsidR="00D235C1" w:rsidRPr="00F01139" w:rsidRDefault="00D235C1" w:rsidP="003C51DC">
            <w:pPr>
              <w:tabs>
                <w:tab w:val="left" w:pos="-720"/>
                <w:tab w:val="left" w:pos="0"/>
              </w:tabs>
              <w:suppressAutoHyphens/>
              <w:jc w:val="center"/>
              <w:rPr>
                <w:rFonts w:cs="Simplified Arabic"/>
                <w:b/>
                <w:bCs/>
                <w:rtl/>
              </w:rPr>
            </w:pPr>
            <w:r w:rsidRPr="00F01139">
              <w:rPr>
                <w:rFonts w:cs="Simplified Arabic"/>
                <w:b/>
                <w:bCs/>
                <w:noProof/>
                <w:rtl/>
                <w:lang w:eastAsia="en-GB"/>
              </w:rPr>
              <w:drawing>
                <wp:anchor distT="0" distB="0" distL="114300" distR="114300" simplePos="0" relativeHeight="251660288" behindDoc="0" locked="0" layoutInCell="1" allowOverlap="1" wp14:anchorId="30A2DC9E" wp14:editId="72F67868">
                  <wp:simplePos x="0" y="0"/>
                  <wp:positionH relativeFrom="column">
                    <wp:posOffset>-792480</wp:posOffset>
                  </wp:positionH>
                  <wp:positionV relativeFrom="paragraph">
                    <wp:posOffset>5715</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01139">
              <w:rPr>
                <w:rFonts w:cs="Simplified Arabic"/>
                <w:noProof/>
                <w:lang w:val="en-US"/>
              </w:rPr>
              <w:drawing>
                <wp:anchor distT="0" distB="0" distL="114300" distR="114300" simplePos="0" relativeHeight="251661312" behindDoc="0" locked="0" layoutInCell="1" allowOverlap="1" wp14:anchorId="747613E8" wp14:editId="70E69B4C">
                  <wp:simplePos x="0" y="0"/>
                  <wp:positionH relativeFrom="column">
                    <wp:posOffset>1306830</wp:posOffset>
                  </wp:positionH>
                  <wp:positionV relativeFrom="paragraph">
                    <wp:posOffset>104775</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tc>
        <w:tc>
          <w:tcPr>
            <w:tcW w:w="1143" w:type="dxa"/>
            <w:tcBorders>
              <w:top w:val="nil"/>
              <w:left w:val="nil"/>
              <w:bottom w:val="single" w:sz="12" w:space="0" w:color="auto"/>
              <w:right w:val="nil"/>
            </w:tcBorders>
          </w:tcPr>
          <w:p w14:paraId="69E92A90" w14:textId="77777777" w:rsidR="00D235C1" w:rsidRPr="00F01139" w:rsidRDefault="00D235C1" w:rsidP="003C51DC">
            <w:pPr>
              <w:tabs>
                <w:tab w:val="left" w:pos="-720"/>
              </w:tabs>
              <w:suppressAutoHyphens/>
              <w:spacing w:before="120"/>
              <w:jc w:val="center"/>
              <w:rPr>
                <w:rFonts w:cs="Simplified Arabic"/>
              </w:rPr>
            </w:pPr>
          </w:p>
          <w:p w14:paraId="3112C97B" w14:textId="77777777" w:rsidR="00D235C1" w:rsidRPr="00F01139" w:rsidRDefault="00D235C1" w:rsidP="003C51DC">
            <w:pPr>
              <w:tabs>
                <w:tab w:val="left" w:pos="-720"/>
              </w:tabs>
              <w:suppressAutoHyphens/>
              <w:spacing w:line="120" w:lineRule="auto"/>
              <w:rPr>
                <w:rFonts w:cs="Simplified Arabic"/>
              </w:rPr>
            </w:pPr>
          </w:p>
        </w:tc>
      </w:tr>
      <w:tr w:rsidR="00D235C1" w:rsidRPr="00F01139" w14:paraId="1206F99E" w14:textId="77777777" w:rsidTr="003C51DC">
        <w:trPr>
          <w:cantSplit/>
          <w:trHeight w:val="1770"/>
        </w:trPr>
        <w:tc>
          <w:tcPr>
            <w:tcW w:w="4428" w:type="dxa"/>
            <w:tcBorders>
              <w:top w:val="nil"/>
              <w:left w:val="nil"/>
              <w:bottom w:val="single" w:sz="24" w:space="0" w:color="auto"/>
              <w:right w:val="nil"/>
            </w:tcBorders>
          </w:tcPr>
          <w:p w14:paraId="729E7589" w14:textId="75DEE2F9" w:rsidR="00D235C1" w:rsidRPr="00F01139" w:rsidRDefault="00D235C1" w:rsidP="003C51DC">
            <w:pPr>
              <w:spacing w:before="60"/>
              <w:ind w:left="881"/>
              <w:rPr>
                <w:rFonts w:cs="Simplified Arabic"/>
                <w:szCs w:val="22"/>
              </w:rPr>
            </w:pPr>
            <w:r w:rsidRPr="00F01139">
              <w:rPr>
                <w:rFonts w:cs="Simplified Arabic"/>
                <w:szCs w:val="22"/>
              </w:rPr>
              <w:t xml:space="preserve">Distr.: </w:t>
            </w:r>
            <w:r w:rsidR="005E3BE3">
              <w:rPr>
                <w:rFonts w:cs="Simplified Arabic"/>
                <w:szCs w:val="22"/>
              </w:rPr>
              <w:t>General</w:t>
            </w:r>
          </w:p>
          <w:p w14:paraId="441008E6" w14:textId="25B99C8B" w:rsidR="00D235C1" w:rsidRPr="00752990" w:rsidRDefault="00867852" w:rsidP="003C51DC">
            <w:pPr>
              <w:ind w:left="881"/>
              <w:rPr>
                <w:rFonts w:cs="Simplified Arabic"/>
                <w:szCs w:val="22"/>
                <w:rtl/>
              </w:rPr>
            </w:pPr>
            <w:r>
              <w:rPr>
                <w:rFonts w:cs="Simplified Arabic"/>
                <w:szCs w:val="22"/>
                <w:lang w:val="en-US"/>
              </w:rPr>
              <w:t>24</w:t>
            </w:r>
            <w:r w:rsidR="00D235C1">
              <w:rPr>
                <w:rFonts w:cs="Simplified Arabic"/>
                <w:szCs w:val="22"/>
              </w:rPr>
              <w:t xml:space="preserve"> </w:t>
            </w:r>
            <w:r w:rsidR="0062411A">
              <w:rPr>
                <w:rFonts w:cs="Simplified Arabic"/>
                <w:szCs w:val="22"/>
              </w:rPr>
              <w:t>October</w:t>
            </w:r>
            <w:r w:rsidR="00D235C1" w:rsidRPr="00F01139">
              <w:rPr>
                <w:rFonts w:cs="Simplified Arabic"/>
                <w:szCs w:val="22"/>
              </w:rPr>
              <w:t xml:space="preserve"> 2025</w:t>
            </w:r>
          </w:p>
          <w:p w14:paraId="36322A42" w14:textId="77777777" w:rsidR="00D235C1" w:rsidRPr="00F01139" w:rsidRDefault="00D235C1" w:rsidP="003C51DC">
            <w:pPr>
              <w:tabs>
                <w:tab w:val="left" w:pos="-720"/>
              </w:tabs>
              <w:suppressAutoHyphens/>
              <w:spacing w:after="40"/>
              <w:ind w:left="881"/>
              <w:rPr>
                <w:rFonts w:cs="Simplified Arabic"/>
                <w:szCs w:val="22"/>
              </w:rPr>
            </w:pPr>
            <w:r w:rsidRPr="00F01139">
              <w:rPr>
                <w:rFonts w:cs="Simplified Arabic"/>
                <w:szCs w:val="22"/>
              </w:rPr>
              <w:t>Arabic</w:t>
            </w:r>
          </w:p>
          <w:p w14:paraId="3D8C037D" w14:textId="77777777" w:rsidR="00D235C1" w:rsidRPr="00F01139" w:rsidRDefault="00D235C1" w:rsidP="003C51DC">
            <w:pPr>
              <w:tabs>
                <w:tab w:val="left" w:pos="-720"/>
              </w:tabs>
              <w:suppressAutoHyphens/>
              <w:spacing w:after="40"/>
              <w:ind w:left="881"/>
              <w:rPr>
                <w:rFonts w:cs="Simplified Arabic"/>
                <w:szCs w:val="22"/>
              </w:rPr>
            </w:pPr>
            <w:r w:rsidRPr="00F01139">
              <w:rPr>
                <w:rFonts w:cs="Simplified Arabic"/>
                <w:szCs w:val="22"/>
              </w:rPr>
              <w:t xml:space="preserve">Original: English </w:t>
            </w:r>
          </w:p>
        </w:tc>
        <w:tc>
          <w:tcPr>
            <w:tcW w:w="5220" w:type="dxa"/>
            <w:gridSpan w:val="3"/>
            <w:tcBorders>
              <w:top w:val="nil"/>
              <w:left w:val="nil"/>
              <w:bottom w:val="single" w:sz="24" w:space="0" w:color="auto"/>
              <w:right w:val="nil"/>
            </w:tcBorders>
          </w:tcPr>
          <w:p w14:paraId="3F6EA043" w14:textId="77777777" w:rsidR="00D235C1" w:rsidRPr="00F01139" w:rsidRDefault="00D235C1" w:rsidP="003C51DC">
            <w:pPr>
              <w:tabs>
                <w:tab w:val="left" w:pos="-720"/>
              </w:tabs>
              <w:suppressAutoHyphens/>
              <w:spacing w:before="120"/>
              <w:rPr>
                <w:rFonts w:cs="Simplified Arabic"/>
                <w:rtl/>
              </w:rPr>
            </w:pPr>
            <w:r w:rsidRPr="00F01139">
              <w:rPr>
                <w:rFonts w:cs="Simplified Arabic"/>
                <w:b/>
                <w:bCs/>
                <w:noProof/>
                <w:sz w:val="36"/>
                <w:szCs w:val="36"/>
                <w:rtl/>
                <w:lang w:val="en-US"/>
              </w:rPr>
              <w:drawing>
                <wp:anchor distT="0" distB="0" distL="114300" distR="114300" simplePos="0" relativeHeight="251659264" behindDoc="0" locked="0" layoutInCell="1" allowOverlap="1" wp14:anchorId="59E0A1BA" wp14:editId="19A944C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B86C6A2" w14:textId="77777777" w:rsidR="00755966" w:rsidRPr="00755966" w:rsidRDefault="00755966" w:rsidP="00755966">
      <w:pPr>
        <w:bidi/>
        <w:spacing w:line="216" w:lineRule="auto"/>
        <w:rPr>
          <w:rFonts w:cs="Simplified Arabic"/>
          <w:b/>
          <w:bCs/>
          <w:rtl/>
        </w:rPr>
      </w:pPr>
      <w:r w:rsidRPr="00755966">
        <w:rPr>
          <w:rFonts w:cs="Simplified Arabic"/>
          <w:b/>
          <w:bCs/>
          <w:rtl/>
        </w:rPr>
        <w:t>الهيئة الفرعية للمشورة العلمية</w:t>
      </w:r>
    </w:p>
    <w:p w14:paraId="1C7EFEE2" w14:textId="77777777" w:rsidR="00755966" w:rsidRPr="00755966" w:rsidRDefault="00755966" w:rsidP="00755966">
      <w:pPr>
        <w:bidi/>
        <w:spacing w:line="216" w:lineRule="auto"/>
        <w:rPr>
          <w:rFonts w:cs="Simplified Arabic"/>
          <w:b/>
          <w:bCs/>
          <w:rtl/>
        </w:rPr>
      </w:pPr>
      <w:r w:rsidRPr="00755966">
        <w:rPr>
          <w:rFonts w:cs="Simplified Arabic"/>
          <w:b/>
          <w:bCs/>
          <w:rtl/>
        </w:rPr>
        <w:t>والتقنية والتكنولوجية</w:t>
      </w:r>
    </w:p>
    <w:p w14:paraId="4F04E943" w14:textId="77777777" w:rsidR="00755966" w:rsidRPr="00755966" w:rsidRDefault="00755966" w:rsidP="00755966">
      <w:pPr>
        <w:bidi/>
        <w:spacing w:line="216" w:lineRule="auto"/>
        <w:rPr>
          <w:rFonts w:cs="Simplified Arabic"/>
          <w:b/>
          <w:bCs/>
          <w:rtl/>
        </w:rPr>
      </w:pPr>
      <w:r w:rsidRPr="00755966">
        <w:rPr>
          <w:rFonts w:cs="Simplified Arabic"/>
          <w:b/>
          <w:bCs/>
          <w:rtl/>
        </w:rPr>
        <w:t>الاجتماع السابع والعشرون</w:t>
      </w:r>
    </w:p>
    <w:p w14:paraId="0A757BEC" w14:textId="77777777" w:rsidR="00755966" w:rsidRPr="00755966" w:rsidRDefault="00755966" w:rsidP="00755966">
      <w:pPr>
        <w:bidi/>
        <w:spacing w:line="216" w:lineRule="auto"/>
        <w:jc w:val="left"/>
        <w:rPr>
          <w:rFonts w:cs="Simplified Arabic"/>
          <w:sz w:val="24"/>
          <w:rtl/>
          <w:lang w:val="en-CA" w:eastAsia="en-CA" w:bidi="ar-EG"/>
        </w:rPr>
      </w:pPr>
      <w:r w:rsidRPr="00755966">
        <w:rPr>
          <w:rFonts w:cs="Simplified Arabic"/>
          <w:sz w:val="24"/>
          <w:rtl/>
          <w:lang w:val="en-CA" w:eastAsia="en-CA"/>
        </w:rPr>
        <w:t>بنما سيتي،</w:t>
      </w:r>
      <w:r w:rsidRPr="00755966">
        <w:rPr>
          <w:rFonts w:cs="Simplified Arabic"/>
          <w:sz w:val="24"/>
          <w:rtl/>
          <w:lang w:val="en-CA" w:eastAsia="en-CA" w:bidi="ar-EG"/>
        </w:rPr>
        <w:t xml:space="preserve"> 20-24 أكتوبر/تشرين الأول 2025</w:t>
      </w:r>
    </w:p>
    <w:p w14:paraId="581FB246" w14:textId="51F25082" w:rsidR="00755966" w:rsidRPr="00755966" w:rsidRDefault="00755966" w:rsidP="00755966">
      <w:pPr>
        <w:suppressLineNumbers/>
        <w:suppressAutoHyphens/>
        <w:kinsoku w:val="0"/>
        <w:overflowPunct w:val="0"/>
        <w:autoSpaceDE w:val="0"/>
        <w:autoSpaceDN w:val="0"/>
        <w:bidi/>
        <w:adjustRightInd w:val="0"/>
        <w:snapToGrid w:val="0"/>
        <w:rPr>
          <w:rFonts w:cs="Simplified Arabic"/>
          <w:b/>
          <w:bCs/>
          <w:rtl/>
          <w:lang w:bidi="ar-EG"/>
        </w:rPr>
      </w:pPr>
      <w:r w:rsidRPr="00755966">
        <w:rPr>
          <w:rFonts w:cs="Simplified Arabic"/>
          <w:sz w:val="24"/>
          <w:rtl/>
        </w:rPr>
        <w:t xml:space="preserve">البند </w:t>
      </w:r>
      <w:r w:rsidR="007B7B36">
        <w:rPr>
          <w:rFonts w:cs="Simplified Arabic" w:hint="cs"/>
          <w:sz w:val="24"/>
          <w:rtl/>
        </w:rPr>
        <w:t>7</w:t>
      </w:r>
      <w:r w:rsidRPr="00755966">
        <w:rPr>
          <w:rFonts w:cs="Simplified Arabic"/>
          <w:sz w:val="24"/>
          <w:rtl/>
        </w:rPr>
        <w:t xml:space="preserve"> من جدول الأعمال</w:t>
      </w:r>
    </w:p>
    <w:p w14:paraId="3A50B381" w14:textId="7C9E9775" w:rsidR="005765BB" w:rsidRPr="00755966" w:rsidRDefault="007B7B36" w:rsidP="007F603D">
      <w:pPr>
        <w:bidi/>
        <w:spacing w:line="216" w:lineRule="auto"/>
        <w:ind w:right="5670"/>
        <w:rPr>
          <w:rFonts w:cs="Simplified Arabic"/>
          <w:b/>
          <w:bCs/>
          <w:rtl/>
        </w:rPr>
      </w:pPr>
      <w:r>
        <w:rPr>
          <w:rFonts w:cs="Simplified Arabic" w:hint="cs"/>
          <w:b/>
          <w:bCs/>
          <w:rtl/>
        </w:rPr>
        <w:t>تقييم المخاطر وإدارة المخاطر</w:t>
      </w:r>
    </w:p>
    <w:p w14:paraId="2BBD7D2D" w14:textId="77777777" w:rsidR="005E3BE3" w:rsidRPr="00DC3074" w:rsidRDefault="009B06C8" w:rsidP="005E3BE3">
      <w:pPr>
        <w:keepNext/>
        <w:keepLines/>
        <w:kinsoku w:val="0"/>
        <w:overflowPunct w:val="0"/>
        <w:autoSpaceDE w:val="0"/>
        <w:autoSpaceDN w:val="0"/>
        <w:bidi/>
        <w:adjustRightInd w:val="0"/>
        <w:snapToGrid w:val="0"/>
        <w:spacing w:before="240" w:after="120" w:line="216" w:lineRule="auto"/>
        <w:ind w:left="567" w:right="567"/>
        <w:rPr>
          <w:rStyle w:val="hps"/>
          <w:rFonts w:ascii="Simplified Arabic" w:hAnsi="Simplified Arabic" w:cs="Simplified Arabic"/>
          <w:b/>
          <w:bCs/>
          <w:sz w:val="24"/>
          <w:szCs w:val="28"/>
          <w:rtl/>
        </w:rPr>
      </w:pPr>
      <w:sdt>
        <w:sdtPr>
          <w:rPr>
            <w:rFonts w:ascii="Simplified Arabic" w:hAnsi="Simplified Arabic" w:cs="Simplified Arabic"/>
            <w:b/>
            <w:bCs/>
            <w:sz w:val="24"/>
            <w:szCs w:val="28"/>
            <w:rtl/>
            <w:lang w:bidi="ar-EG"/>
          </w:rPr>
          <w:alias w:val="Title"/>
          <w:tag w:val=""/>
          <w:id w:val="772832786"/>
          <w:placeholder>
            <w:docPart w:val="BBBAFB70E31247BCABC911C0F483B276"/>
          </w:placeholder>
          <w:dataBinding w:prefixMappings="xmlns:ns0='http://purl.org/dc/elements/1.1/' xmlns:ns1='http://schemas.openxmlformats.org/package/2006/metadata/core-properties' " w:xpath="/ns1:coreProperties[1]/ns0:title[1]" w:storeItemID="{6C3C8BC8-F283-45AE-878A-BAB7291924A1}"/>
          <w:text/>
        </w:sdtPr>
        <w:sdtEndPr/>
        <w:sdtContent>
          <w:r w:rsidR="005E3BE3" w:rsidRPr="00A07586">
            <w:rPr>
              <w:rFonts w:ascii="Simplified Arabic" w:hAnsi="Simplified Arabic" w:cs="Simplified Arabic" w:hint="cs"/>
              <w:b/>
              <w:bCs/>
              <w:sz w:val="24"/>
              <w:szCs w:val="28"/>
              <w:rtl/>
              <w:lang w:bidi="ar-EG"/>
            </w:rPr>
            <w:t xml:space="preserve">توصية اعتمدتها </w:t>
          </w:r>
          <w:r w:rsidR="005E3BE3" w:rsidRPr="00A07586">
            <w:rPr>
              <w:rFonts w:ascii="Simplified Arabic" w:hAnsi="Simplified Arabic" w:cs="Simplified Arabic"/>
              <w:b/>
              <w:bCs/>
              <w:sz w:val="24"/>
              <w:szCs w:val="28"/>
              <w:rtl/>
              <w:lang w:bidi="ar-EG"/>
            </w:rPr>
            <w:t>الهيئة الفرعية للمشورة العلمية والتقنية والتكنولوجية</w:t>
          </w:r>
          <w:r w:rsidR="005E3BE3" w:rsidRPr="00A07586">
            <w:rPr>
              <w:rFonts w:ascii="Simplified Arabic" w:hAnsi="Simplified Arabic" w:cs="Simplified Arabic" w:hint="cs"/>
              <w:b/>
              <w:bCs/>
              <w:sz w:val="24"/>
              <w:szCs w:val="28"/>
              <w:rtl/>
              <w:lang w:bidi="ar-EG"/>
            </w:rPr>
            <w:t xml:space="preserve"> في 24 </w:t>
          </w:r>
          <w:r w:rsidR="005E3BE3" w:rsidRPr="00A07586">
            <w:rPr>
              <w:rFonts w:ascii="Simplified Arabic" w:hAnsi="Simplified Arabic" w:cs="Simplified Arabic"/>
              <w:b/>
              <w:bCs/>
              <w:sz w:val="24"/>
              <w:szCs w:val="28"/>
              <w:rtl/>
              <w:lang w:bidi="ar-EG"/>
            </w:rPr>
            <w:t>أكتوبر/تشرين الأول 2025</w:t>
          </w:r>
        </w:sdtContent>
      </w:sdt>
    </w:p>
    <w:p w14:paraId="044FF27A" w14:textId="78C94993" w:rsidR="00755966" w:rsidRPr="00755966" w:rsidRDefault="0062205F" w:rsidP="0062205F">
      <w:pPr>
        <w:keepNext/>
        <w:keepLines/>
        <w:kinsoku w:val="0"/>
        <w:overflowPunct w:val="0"/>
        <w:autoSpaceDE w:val="0"/>
        <w:autoSpaceDN w:val="0"/>
        <w:bidi/>
        <w:adjustRightInd w:val="0"/>
        <w:snapToGrid w:val="0"/>
        <w:spacing w:before="240" w:after="240"/>
        <w:ind w:left="1989" w:hanging="1269"/>
        <w:rPr>
          <w:rFonts w:cs="Simplified Arabic"/>
          <w:b/>
          <w:bCs/>
          <w:sz w:val="28"/>
          <w:szCs w:val="28"/>
          <w:rtl/>
        </w:rPr>
      </w:pPr>
      <w:r>
        <w:rPr>
          <w:rFonts w:cs="Simplified Arabic" w:hint="cs"/>
          <w:b/>
          <w:bCs/>
          <w:sz w:val="28"/>
          <w:szCs w:val="28"/>
          <w:rtl/>
          <w:lang w:val="en-US" w:bidi="ar-EG"/>
        </w:rPr>
        <w:t>27/7-</w:t>
      </w:r>
      <w:r>
        <w:rPr>
          <w:rFonts w:cs="Simplified Arabic"/>
          <w:b/>
          <w:bCs/>
          <w:sz w:val="28"/>
          <w:szCs w:val="28"/>
          <w:rtl/>
          <w:lang w:val="en-US" w:bidi="ar-EG"/>
        </w:rPr>
        <w:tab/>
      </w:r>
      <w:r w:rsidR="00903CA7">
        <w:rPr>
          <w:rFonts w:cs="Simplified Arabic" w:hint="cs"/>
          <w:b/>
          <w:bCs/>
          <w:sz w:val="28"/>
          <w:szCs w:val="28"/>
          <w:rtl/>
        </w:rPr>
        <w:t>تقييم وإدارة مخاطر الكائنات الحية المحورة</w:t>
      </w:r>
    </w:p>
    <w:p w14:paraId="1C8E1394" w14:textId="5CB73578" w:rsidR="0076476F" w:rsidRDefault="0062411A" w:rsidP="00A0465E">
      <w:pPr>
        <w:tabs>
          <w:tab w:val="left" w:pos="1280"/>
        </w:tabs>
        <w:bidi/>
        <w:spacing w:before="120" w:line="216" w:lineRule="auto"/>
        <w:ind w:left="720" w:firstLine="720"/>
        <w:rPr>
          <w:rFonts w:cs="Simplified Arabic"/>
          <w:i/>
          <w:iCs/>
          <w:rtl/>
          <w:lang w:val="en-US" w:bidi="ar-EG"/>
        </w:rPr>
      </w:pPr>
      <w:r>
        <w:rPr>
          <w:rFonts w:cs="Simplified Arabic" w:hint="cs"/>
          <w:i/>
          <w:iCs/>
          <w:rtl/>
          <w:lang w:val="en-US"/>
        </w:rPr>
        <w:t>إن الهيئة الفرعية للمشورة العلمية والتقنية والتكنولوجية</w:t>
      </w:r>
      <w:r w:rsidR="00867852">
        <w:rPr>
          <w:rFonts w:cs="Simplified Arabic" w:hint="cs"/>
          <w:i/>
          <w:iCs/>
          <w:rtl/>
          <w:lang w:val="en-US" w:bidi="ar-EG"/>
        </w:rPr>
        <w:t>،</w:t>
      </w:r>
    </w:p>
    <w:p w14:paraId="0FF65E51" w14:textId="1E0136B3" w:rsidR="0062411A" w:rsidRDefault="0062411A" w:rsidP="00A0465E">
      <w:pPr>
        <w:tabs>
          <w:tab w:val="left" w:pos="1280"/>
        </w:tabs>
        <w:bidi/>
        <w:spacing w:before="120" w:line="216" w:lineRule="auto"/>
        <w:ind w:left="720" w:firstLine="720"/>
        <w:rPr>
          <w:rFonts w:cs="Simplified Arabic"/>
          <w:i/>
          <w:iCs/>
          <w:rtl/>
          <w:lang w:val="en-US"/>
        </w:rPr>
      </w:pPr>
      <w:r>
        <w:rPr>
          <w:rFonts w:cs="Simplified Arabic" w:hint="cs"/>
          <w:i/>
          <w:iCs/>
          <w:rtl/>
          <w:lang w:val="en-US"/>
        </w:rPr>
        <w:t xml:space="preserve">توصي </w:t>
      </w:r>
      <w:r w:rsidRPr="00BA29CB">
        <w:rPr>
          <w:rFonts w:cs="Simplified Arabic" w:hint="cs"/>
          <w:rtl/>
          <w:lang w:val="en-US"/>
        </w:rPr>
        <w:t>بأن يعتمد مؤتمر الأطراف</w:t>
      </w:r>
      <w:r w:rsidR="00903CA7">
        <w:rPr>
          <w:rFonts w:cs="Simplified Arabic" w:hint="cs"/>
          <w:rtl/>
          <w:lang w:val="en-US"/>
        </w:rPr>
        <w:t xml:space="preserve"> العامل كاجتماع للأطراف في بروتوكول قرطاجنة للسلامة الأحيائية،</w:t>
      </w:r>
      <w:r w:rsidR="00903CA7" w:rsidRPr="004C0D37">
        <w:rPr>
          <w:rStyle w:val="FootnoteReference"/>
          <w:rFonts w:cs="Simplified Arabic"/>
          <w:u w:val="none"/>
          <w:vertAlign w:val="superscript"/>
          <w:rtl/>
          <w:lang w:val="en-US"/>
        </w:rPr>
        <w:footnoteReference w:id="1"/>
      </w:r>
      <w:r w:rsidRPr="00BA29CB">
        <w:rPr>
          <w:rFonts w:cs="Simplified Arabic" w:hint="cs"/>
          <w:rtl/>
          <w:lang w:val="en-US"/>
        </w:rPr>
        <w:t xml:space="preserve"> في اجتماعه </w:t>
      </w:r>
      <w:r w:rsidR="00903CA7">
        <w:rPr>
          <w:rFonts w:cs="Simplified Arabic" w:hint="cs"/>
          <w:rtl/>
          <w:lang w:val="en-US"/>
        </w:rPr>
        <w:t>الثاني عشر،</w:t>
      </w:r>
      <w:r w:rsidRPr="00BA29CB">
        <w:rPr>
          <w:rFonts w:cs="Simplified Arabic" w:hint="cs"/>
          <w:rtl/>
          <w:lang w:val="en-US"/>
        </w:rPr>
        <w:t xml:space="preserve"> مقرر</w:t>
      </w:r>
      <w:r w:rsidR="00AB7CE2">
        <w:rPr>
          <w:rFonts w:cs="Simplified Arabic" w:hint="cs"/>
          <w:rtl/>
          <w:lang w:val="en-US"/>
        </w:rPr>
        <w:t>ا</w:t>
      </w:r>
      <w:r w:rsidRPr="00BA29CB">
        <w:rPr>
          <w:rFonts w:cs="Simplified Arabic" w:hint="cs"/>
          <w:rtl/>
          <w:lang w:val="en-US"/>
        </w:rPr>
        <w:t xml:space="preserve"> على غرار ما يلي:</w:t>
      </w:r>
    </w:p>
    <w:p w14:paraId="5001468E" w14:textId="2A3D0B02" w:rsidR="00A0465E" w:rsidRDefault="00A0465E" w:rsidP="00A0465E">
      <w:pPr>
        <w:tabs>
          <w:tab w:val="left" w:pos="1280"/>
        </w:tabs>
        <w:bidi/>
        <w:spacing w:before="120" w:line="216" w:lineRule="auto"/>
        <w:ind w:left="1440" w:firstLine="720"/>
        <w:rPr>
          <w:rFonts w:cs="Simplified Arabic"/>
          <w:i/>
          <w:iCs/>
          <w:rtl/>
          <w:lang w:val="en-US"/>
        </w:rPr>
      </w:pPr>
      <w:r>
        <w:rPr>
          <w:rFonts w:cs="Simplified Arabic" w:hint="cs"/>
          <w:i/>
          <w:iCs/>
          <w:rtl/>
          <w:lang w:val="en-US"/>
        </w:rPr>
        <w:t xml:space="preserve">إن مؤتمر </w:t>
      </w:r>
      <w:r w:rsidR="00903CA7" w:rsidRPr="00903CA7">
        <w:rPr>
          <w:rFonts w:cs="Simplified Arabic"/>
          <w:i/>
          <w:iCs/>
          <w:rtl/>
          <w:lang w:val="en-US"/>
        </w:rPr>
        <w:t>الأطراف العامل كاجتماع للأطراف في بروتوكول قرطاجنة</w:t>
      </w:r>
      <w:r>
        <w:rPr>
          <w:rFonts w:cs="Simplified Arabic" w:hint="cs"/>
          <w:i/>
          <w:iCs/>
          <w:rtl/>
          <w:lang w:val="en-US"/>
        </w:rPr>
        <w:t>،</w:t>
      </w:r>
    </w:p>
    <w:p w14:paraId="2414551E" w14:textId="585FC387" w:rsidR="00AB7CE2" w:rsidRDefault="00AB7CE2" w:rsidP="00AB7CE2">
      <w:pPr>
        <w:tabs>
          <w:tab w:val="left" w:pos="1280"/>
        </w:tabs>
        <w:bidi/>
        <w:spacing w:before="120" w:line="216" w:lineRule="auto"/>
        <w:ind w:left="1440" w:firstLine="720"/>
        <w:rPr>
          <w:rFonts w:cs="Simplified Arabic"/>
          <w:rtl/>
          <w:lang w:bidi="ar-EG"/>
        </w:rPr>
      </w:pPr>
      <w:r w:rsidRPr="00341ECD">
        <w:rPr>
          <w:rFonts w:cs="Simplified Arabic"/>
          <w:i/>
          <w:iCs/>
          <w:rtl/>
          <w:lang w:bidi="ar-EG"/>
        </w:rPr>
        <w:t>إذ يشير</w:t>
      </w:r>
      <w:r w:rsidRPr="00341ECD">
        <w:rPr>
          <w:rFonts w:cs="Simplified Arabic"/>
          <w:rtl/>
          <w:lang w:bidi="ar-EG"/>
        </w:rPr>
        <w:t xml:space="preserve"> إلى </w:t>
      </w:r>
      <w:r w:rsidR="00903CA7">
        <w:rPr>
          <w:rFonts w:cs="Simplified Arabic" w:hint="cs"/>
          <w:rtl/>
          <w:lang w:bidi="ar-EG"/>
        </w:rPr>
        <w:t xml:space="preserve">مقرريه </w:t>
      </w:r>
      <w:hyperlink r:id="rId11" w:history="1">
        <w:r w:rsidR="00903CA7" w:rsidRPr="00867852">
          <w:rPr>
            <w:rStyle w:val="Hyperlink"/>
            <w:rFonts w:cs="Simplified Arabic"/>
            <w:lang w:val="en-US" w:bidi="ar-EG"/>
          </w:rPr>
          <w:t>CP-9/13</w:t>
        </w:r>
      </w:hyperlink>
      <w:r w:rsidR="00903CA7">
        <w:rPr>
          <w:rFonts w:cs="Simplified Arabic" w:hint="cs"/>
          <w:rtl/>
          <w:lang w:val="en-US"/>
        </w:rPr>
        <w:t xml:space="preserve"> المؤرخ 28 نوفمبر/تشرين الثاني 2018 و</w:t>
      </w:r>
      <w:hyperlink r:id="rId12" w:history="1">
        <w:r w:rsidR="00903CA7" w:rsidRPr="00867852">
          <w:rPr>
            <w:rStyle w:val="Hyperlink"/>
            <w:rFonts w:cs="Simplified Arabic"/>
            <w:lang w:val="en-US"/>
          </w:rPr>
          <w:t>CP-11/7</w:t>
        </w:r>
      </w:hyperlink>
      <w:r w:rsidR="00903CA7">
        <w:rPr>
          <w:rFonts w:cs="Simplified Arabic" w:hint="cs"/>
          <w:rtl/>
          <w:lang w:val="en-US"/>
        </w:rPr>
        <w:t xml:space="preserve"> المؤرخ 30</w:t>
      </w:r>
      <w:r w:rsidR="00903CA7">
        <w:rPr>
          <w:rFonts w:cs="Simplified Arabic" w:hint="eastAsia"/>
          <w:rtl/>
          <w:lang w:val="en-US"/>
        </w:rPr>
        <w:t> </w:t>
      </w:r>
      <w:r w:rsidR="00903CA7">
        <w:rPr>
          <w:rFonts w:cs="Simplified Arabic" w:hint="cs"/>
          <w:rtl/>
          <w:lang w:val="en-US"/>
        </w:rPr>
        <w:t>أكتوبر/تشرين الأول 2024</w:t>
      </w:r>
      <w:r w:rsidRPr="00341ECD">
        <w:rPr>
          <w:rFonts w:cs="Simplified Arabic"/>
          <w:rtl/>
          <w:lang w:bidi="ar-EG"/>
        </w:rPr>
        <w:t>،</w:t>
      </w:r>
    </w:p>
    <w:p w14:paraId="70CF57AC" w14:textId="6CAB2997" w:rsidR="00903CA7" w:rsidRPr="00C437A5" w:rsidRDefault="00903CA7" w:rsidP="00903CA7">
      <w:pPr>
        <w:pStyle w:val="ListParagraph"/>
        <w:numPr>
          <w:ilvl w:val="0"/>
          <w:numId w:val="40"/>
        </w:numPr>
        <w:tabs>
          <w:tab w:val="left" w:pos="720"/>
        </w:tabs>
        <w:bidi/>
        <w:spacing w:before="120" w:line="216" w:lineRule="auto"/>
        <w:ind w:left="1440" w:firstLine="720"/>
        <w:contextualSpacing w:val="0"/>
        <w:rPr>
          <w:rFonts w:cs="Simplified Arabic"/>
          <w:lang w:val="en-US"/>
        </w:rPr>
      </w:pPr>
      <w:r>
        <w:rPr>
          <w:rFonts w:cs="Simplified Arabic" w:hint="cs"/>
          <w:i/>
          <w:iCs/>
          <w:rtl/>
          <w:lang w:val="en-US"/>
        </w:rPr>
        <w:t xml:space="preserve">يعرب عن تقديره </w:t>
      </w:r>
      <w:r w:rsidR="00867852">
        <w:rPr>
          <w:rFonts w:cs="Simplified Arabic" w:hint="cs"/>
          <w:rtl/>
          <w:lang w:val="en-US"/>
        </w:rPr>
        <w:t>ل</w:t>
      </w:r>
      <w:r>
        <w:rPr>
          <w:rFonts w:cs="Simplified Arabic" w:hint="cs"/>
          <w:rtl/>
          <w:lang w:val="en-US"/>
        </w:rPr>
        <w:t xml:space="preserve">عمل </w:t>
      </w:r>
      <w:r w:rsidRPr="00C437A5">
        <w:rPr>
          <w:rFonts w:cs="Simplified Arabic"/>
          <w:rtl/>
          <w:lang w:val="en-US"/>
        </w:rPr>
        <w:t>فريق الخبراء التقنيين المخصص المعني بتقييم المخاطر،</w:t>
      </w:r>
      <w:r w:rsidRPr="00C437A5">
        <w:rPr>
          <w:rStyle w:val="FootnoteReference"/>
          <w:rFonts w:cs="Simplified Arabic"/>
          <w:sz w:val="22"/>
          <w:u w:val="none"/>
          <w:vertAlign w:val="superscript"/>
          <w:rtl/>
          <w:lang w:val="en-US"/>
        </w:rPr>
        <w:footnoteReference w:id="2"/>
      </w:r>
      <w:r w:rsidRPr="00C437A5">
        <w:rPr>
          <w:rFonts w:cs="Simplified Arabic"/>
          <w:rtl/>
          <w:lang w:val="en-US"/>
        </w:rPr>
        <w:t xml:space="preserve"> </w:t>
      </w:r>
      <w:r>
        <w:rPr>
          <w:rFonts w:cs="Simplified Arabic" w:hint="cs"/>
          <w:rtl/>
          <w:lang w:val="en-US"/>
        </w:rPr>
        <w:t>وتطبيق</w:t>
      </w:r>
      <w:r w:rsidR="00867852">
        <w:rPr>
          <w:rFonts w:cs="Simplified Arabic" w:hint="cs"/>
          <w:rtl/>
          <w:lang w:val="en-US"/>
        </w:rPr>
        <w:t>ه</w:t>
      </w:r>
      <w:r>
        <w:rPr>
          <w:rFonts w:cs="Simplified Arabic" w:hint="cs"/>
          <w:rtl/>
          <w:lang w:val="en-US"/>
        </w:rPr>
        <w:t xml:space="preserve"> </w:t>
      </w:r>
      <w:r w:rsidR="00867852">
        <w:rPr>
          <w:rFonts w:cs="Simplified Arabic" w:hint="cs"/>
          <w:rtl/>
          <w:lang w:val="en-US"/>
        </w:rPr>
        <w:t>ل</w:t>
      </w:r>
      <w:r>
        <w:rPr>
          <w:rFonts w:cs="Simplified Arabic" w:hint="cs"/>
          <w:rtl/>
          <w:lang w:val="en-US"/>
        </w:rPr>
        <w:t xml:space="preserve">لمعايير المحددة في المرفق الأول للمقرر </w:t>
      </w:r>
      <w:r w:rsidRPr="00867852">
        <w:rPr>
          <w:rFonts w:cs="Simplified Arabic"/>
          <w:lang w:val="en-US"/>
        </w:rPr>
        <w:t>CP-9/13</w:t>
      </w:r>
      <w:r>
        <w:rPr>
          <w:rFonts w:cs="Simplified Arabic" w:hint="cs"/>
          <w:rtl/>
          <w:lang w:val="en-US"/>
        </w:rPr>
        <w:t xml:space="preserve"> على </w:t>
      </w:r>
      <w:r w:rsidR="00867852">
        <w:rPr>
          <w:rFonts w:cs="Simplified Arabic" w:hint="cs"/>
          <w:rtl/>
          <w:lang w:val="en-US" w:bidi="ar-EG"/>
        </w:rPr>
        <w:t>ال</w:t>
      </w:r>
      <w:r w:rsidRPr="00C437A5">
        <w:rPr>
          <w:rFonts w:cs="Simplified Arabic"/>
          <w:rtl/>
          <w:lang w:val="en-US"/>
        </w:rPr>
        <w:t xml:space="preserve">موضوعات التي اقترحتها الأطراف فيما يتعلق بالاحتياجات والأولويات لمزيد من </w:t>
      </w:r>
      <w:r w:rsidR="00867852">
        <w:rPr>
          <w:rFonts w:cs="Simplified Arabic"/>
          <w:rtl/>
          <w:lang w:val="en-US"/>
        </w:rPr>
        <w:t>الإرشادات</w:t>
      </w:r>
      <w:r w:rsidRPr="00C437A5">
        <w:rPr>
          <w:rFonts w:cs="Simplified Arabic"/>
          <w:rtl/>
          <w:lang w:val="en-US"/>
        </w:rPr>
        <w:t xml:space="preserve"> بشأن موضوعات محددة لتقييم مخاطر الكائنات الحية المحورة؛</w:t>
      </w:r>
      <w:r w:rsidRPr="00C437A5">
        <w:rPr>
          <w:rStyle w:val="FootnoteReference"/>
          <w:rFonts w:cs="Simplified Arabic"/>
          <w:sz w:val="22"/>
          <w:u w:val="none"/>
          <w:vertAlign w:val="superscript"/>
          <w:rtl/>
          <w:lang w:val="en-US"/>
        </w:rPr>
        <w:footnoteReference w:id="3"/>
      </w:r>
    </w:p>
    <w:p w14:paraId="479EFA95" w14:textId="08B1F0A1" w:rsidR="00903CA7" w:rsidRPr="00415B0F" w:rsidRDefault="00415B0F" w:rsidP="00415B0F">
      <w:pPr>
        <w:tabs>
          <w:tab w:val="left" w:pos="720"/>
        </w:tabs>
        <w:bidi/>
        <w:spacing w:before="120" w:line="216" w:lineRule="auto"/>
        <w:ind w:left="1440" w:firstLine="720"/>
        <w:rPr>
          <w:rFonts w:cs="Simplified Arabic"/>
          <w:lang w:val="en-US"/>
        </w:rPr>
      </w:pPr>
      <w:r>
        <w:rPr>
          <w:rFonts w:cs="Simplified Arabic" w:hint="cs"/>
          <w:rtl/>
          <w:lang w:val="en-US"/>
        </w:rPr>
        <w:t>[2-</w:t>
      </w:r>
      <w:r>
        <w:rPr>
          <w:rFonts w:cs="Simplified Arabic"/>
          <w:rtl/>
          <w:lang w:val="en-US"/>
        </w:rPr>
        <w:tab/>
      </w:r>
      <w:r w:rsidR="00903CA7" w:rsidRPr="00415B0F">
        <w:rPr>
          <w:rFonts w:cs="Simplified Arabic" w:hint="cs"/>
          <w:i/>
          <w:iCs/>
          <w:rtl/>
          <w:lang w:val="en-US"/>
        </w:rPr>
        <w:t xml:space="preserve">يقرر </w:t>
      </w:r>
      <w:r w:rsidR="00903CA7" w:rsidRPr="00415B0F">
        <w:rPr>
          <w:rFonts w:cs="Simplified Arabic" w:hint="cs"/>
          <w:rtl/>
          <w:lang w:val="en-US"/>
        </w:rPr>
        <w:t>وضع مادتين إرشاديتين طوعيتين إضافيتين بحد أقصى، وفقا للمرفق الثالث لبروتوكول قرطاجنة للسلامة الأحيائية،</w:t>
      </w:r>
      <w:r w:rsidR="00903CA7" w:rsidRPr="004C0D37">
        <w:rPr>
          <w:rStyle w:val="FootnoteReference"/>
          <w:rFonts w:cs="Simplified Arabic"/>
          <w:u w:val="none"/>
          <w:vertAlign w:val="superscript"/>
          <w:rtl/>
          <w:lang w:val="en-US"/>
        </w:rPr>
        <w:footnoteReference w:id="4"/>
      </w:r>
      <w:r w:rsidR="00903CA7" w:rsidRPr="00415B0F">
        <w:rPr>
          <w:rFonts w:cs="Simplified Arabic" w:hint="cs"/>
          <w:rtl/>
          <w:lang w:val="en-US"/>
        </w:rPr>
        <w:t xml:space="preserve"> فيما يتعلق بموضوعات [</w:t>
      </w:r>
      <w:r w:rsidR="00903CA7" w:rsidRPr="00415B0F">
        <w:rPr>
          <w:rFonts w:cs="Simplified Arabic"/>
          <w:rtl/>
          <w:lang w:val="en-US"/>
        </w:rPr>
        <w:t>الطحالب الحية المحورة،</w:t>
      </w:r>
      <w:r w:rsidR="0063685D" w:rsidRPr="00415B0F">
        <w:rPr>
          <w:rFonts w:cs="Simplified Arabic" w:hint="cs"/>
          <w:rtl/>
          <w:lang w:val="en-US"/>
        </w:rPr>
        <w:t>]</w:t>
      </w:r>
      <w:r w:rsidR="00903CA7" w:rsidRPr="00415B0F">
        <w:rPr>
          <w:rFonts w:cs="Simplified Arabic"/>
          <w:rtl/>
          <w:lang w:val="en-US"/>
        </w:rPr>
        <w:t xml:space="preserve"> </w:t>
      </w:r>
      <w:r w:rsidR="0063685D" w:rsidRPr="00415B0F">
        <w:rPr>
          <w:rFonts w:cs="Simplified Arabic" w:hint="cs"/>
          <w:rtl/>
          <w:lang w:val="en-US"/>
        </w:rPr>
        <w:t>[الأسماك الحية المحورة،] [</w:t>
      </w:r>
      <w:r w:rsidR="00903CA7" w:rsidRPr="00415B0F">
        <w:rPr>
          <w:rFonts w:cs="Simplified Arabic"/>
          <w:rtl/>
          <w:lang w:val="en-US"/>
        </w:rPr>
        <w:t>الكائنات الحية الدقيقة المحورة،</w:t>
      </w:r>
      <w:r w:rsidR="0063685D" w:rsidRPr="00415B0F">
        <w:rPr>
          <w:rFonts w:cs="Simplified Arabic" w:hint="cs"/>
          <w:rtl/>
          <w:lang w:val="en-US"/>
        </w:rPr>
        <w:t>]</w:t>
      </w:r>
      <w:r w:rsidR="00903CA7" w:rsidRPr="00415B0F">
        <w:rPr>
          <w:rFonts w:cs="Simplified Arabic"/>
          <w:rtl/>
          <w:lang w:val="en-US"/>
        </w:rPr>
        <w:t xml:space="preserve"> </w:t>
      </w:r>
      <w:r w:rsidR="0063685D" w:rsidRPr="00415B0F">
        <w:rPr>
          <w:rFonts w:cs="Simplified Arabic" w:hint="cs"/>
          <w:rtl/>
          <w:lang w:val="en-US"/>
        </w:rPr>
        <w:t>[</w:t>
      </w:r>
      <w:r w:rsidR="00903CA7" w:rsidRPr="00415B0F">
        <w:rPr>
          <w:rFonts w:cs="Simplified Arabic"/>
          <w:rtl/>
          <w:lang w:val="en-US"/>
        </w:rPr>
        <w:t>الكائنات الحية المحورة التي تعبر عن آلات تحرير الجينوم لمكافحة الآفات أو مسببات الأمراض</w:t>
      </w:r>
      <w:r w:rsidR="0063685D" w:rsidRPr="00415B0F">
        <w:rPr>
          <w:rFonts w:cs="Simplified Arabic" w:hint="cs"/>
          <w:rtl/>
          <w:lang w:val="en-US"/>
        </w:rPr>
        <w:t>،]</w:t>
      </w:r>
      <w:r w:rsidR="00903CA7" w:rsidRPr="00415B0F">
        <w:rPr>
          <w:rFonts w:cs="Simplified Arabic"/>
          <w:rtl/>
          <w:lang w:val="en-US"/>
        </w:rPr>
        <w:t xml:space="preserve"> </w:t>
      </w:r>
      <w:r w:rsidR="0063685D" w:rsidRPr="00415B0F">
        <w:rPr>
          <w:rFonts w:cs="Simplified Arabic" w:hint="cs"/>
          <w:rtl/>
          <w:lang w:val="en-US"/>
        </w:rPr>
        <w:t>[ا</w:t>
      </w:r>
      <w:r w:rsidR="00903CA7" w:rsidRPr="00415B0F">
        <w:rPr>
          <w:rFonts w:cs="Simplified Arabic"/>
          <w:rtl/>
          <w:lang w:val="en-US"/>
        </w:rPr>
        <w:t>لتأثيرات الطويلة الأمد والتراكمية للتركيبات الجينية والكائنات الحية المحورة،</w:t>
      </w:r>
      <w:r w:rsidR="0063685D" w:rsidRPr="00415B0F">
        <w:rPr>
          <w:rFonts w:cs="Simplified Arabic" w:hint="cs"/>
          <w:rtl/>
          <w:lang w:val="en-US"/>
        </w:rPr>
        <w:t>]</w:t>
      </w:r>
      <w:r w:rsidR="00903CA7" w:rsidRPr="00415B0F">
        <w:rPr>
          <w:rFonts w:cs="Simplified Arabic"/>
          <w:rtl/>
          <w:lang w:val="en-US"/>
        </w:rPr>
        <w:t xml:space="preserve"> </w:t>
      </w:r>
      <w:r w:rsidR="0063685D" w:rsidRPr="00415B0F">
        <w:rPr>
          <w:rFonts w:cs="Simplified Arabic" w:hint="cs"/>
          <w:rtl/>
          <w:lang w:val="en-US"/>
        </w:rPr>
        <w:t>[</w:t>
      </w:r>
      <w:r w:rsidR="00903CA7" w:rsidRPr="00415B0F">
        <w:rPr>
          <w:rFonts w:cs="Simplified Arabic"/>
          <w:rtl/>
          <w:lang w:val="en-US"/>
        </w:rPr>
        <w:t>تفعيل أهداف الحماية في نقاط نهاية التقييم والقياس ذات الصلة،</w:t>
      </w:r>
      <w:r w:rsidR="0063685D" w:rsidRPr="00415B0F">
        <w:rPr>
          <w:rFonts w:cs="Simplified Arabic" w:hint="cs"/>
          <w:rtl/>
          <w:lang w:val="en-US"/>
        </w:rPr>
        <w:t>]</w:t>
      </w:r>
      <w:r w:rsidR="00903CA7" w:rsidRPr="00415B0F">
        <w:rPr>
          <w:rFonts w:cs="Simplified Arabic"/>
          <w:rtl/>
          <w:lang w:val="en-US"/>
        </w:rPr>
        <w:t xml:space="preserve"> </w:t>
      </w:r>
      <w:r w:rsidR="0063685D" w:rsidRPr="00415B0F">
        <w:rPr>
          <w:rFonts w:cs="Simplified Arabic" w:hint="cs"/>
          <w:rtl/>
          <w:lang w:val="en-US"/>
        </w:rPr>
        <w:t>[</w:t>
      </w:r>
      <w:r w:rsidR="00903CA7" w:rsidRPr="00415B0F">
        <w:rPr>
          <w:rFonts w:cs="Simplified Arabic"/>
          <w:rtl/>
          <w:lang w:val="en-US"/>
        </w:rPr>
        <w:t xml:space="preserve">استخدام الكائنات الحية المحورة </w:t>
      </w:r>
      <w:r w:rsidR="00903CA7" w:rsidRPr="00415B0F">
        <w:rPr>
          <w:rFonts w:cs="Simplified Arabic"/>
          <w:rtl/>
          <w:lang w:val="en-US"/>
        </w:rPr>
        <w:lastRenderedPageBreak/>
        <w:t>في مراكز المنشأ وفي النظم الزراعية التقليدية</w:t>
      </w:r>
      <w:r w:rsidR="0063685D" w:rsidRPr="00415B0F">
        <w:rPr>
          <w:rFonts w:cs="Simplified Arabic" w:hint="cs"/>
          <w:rtl/>
          <w:lang w:val="en-US"/>
        </w:rPr>
        <w:t xml:space="preserve">]، مع تجنب الازدواجية مع </w:t>
      </w:r>
      <w:r w:rsidR="00867852">
        <w:rPr>
          <w:rFonts w:cs="Simplified Arabic" w:hint="cs"/>
          <w:rtl/>
          <w:lang w:val="en-US"/>
        </w:rPr>
        <w:t>الإرشادات</w:t>
      </w:r>
      <w:r w:rsidR="0063685D" w:rsidRPr="00415B0F">
        <w:rPr>
          <w:rFonts w:cs="Simplified Arabic" w:hint="cs"/>
          <w:rtl/>
          <w:lang w:val="en-US"/>
        </w:rPr>
        <w:t xml:space="preserve"> القائمة واستكمالها، عند الاقتضاء</w:t>
      </w:r>
      <w:r w:rsidR="00903CA7" w:rsidRPr="00415B0F">
        <w:rPr>
          <w:rFonts w:cs="Simplified Arabic"/>
          <w:rtl/>
          <w:lang w:val="en-US"/>
        </w:rPr>
        <w:t>؛</w:t>
      </w:r>
      <w:r w:rsidR="0063685D" w:rsidRPr="00415B0F">
        <w:rPr>
          <w:rFonts w:cs="Simplified Arabic" w:hint="cs"/>
          <w:rtl/>
          <w:lang w:val="en-US"/>
        </w:rPr>
        <w:t>]</w:t>
      </w:r>
    </w:p>
    <w:p w14:paraId="6264FE87" w14:textId="3F084A57" w:rsidR="0063685D" w:rsidRDefault="0063685D" w:rsidP="0063685D">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[3-</w:t>
      </w:r>
      <w:r>
        <w:rPr>
          <w:rFonts w:cs="Simplified Arabic"/>
          <w:rtl/>
          <w:lang w:val="en-US"/>
        </w:rPr>
        <w:tab/>
      </w:r>
      <w:r w:rsidRPr="0063685D">
        <w:rPr>
          <w:rFonts w:cs="Simplified Arabic"/>
          <w:i/>
          <w:iCs/>
          <w:rtl/>
          <w:lang w:val="en-US"/>
        </w:rPr>
        <w:t>يقرر أيضا</w:t>
      </w:r>
      <w:r w:rsidRPr="0063685D">
        <w:rPr>
          <w:rFonts w:cs="Simplified Arabic"/>
          <w:rtl/>
          <w:lang w:val="en-US"/>
        </w:rPr>
        <w:t xml:space="preserve"> توسيع نطاق جهود بناء القدرات في مجال تقييم وإدارة مخاطر الكائنات الحية </w:t>
      </w:r>
      <w:r>
        <w:rPr>
          <w:rFonts w:cs="Simplified Arabic" w:hint="cs"/>
          <w:rtl/>
          <w:lang w:val="en-US"/>
        </w:rPr>
        <w:t>المحورة</w:t>
      </w:r>
      <w:r w:rsidRPr="0063685D">
        <w:rPr>
          <w:rFonts w:cs="Simplified Arabic"/>
          <w:rtl/>
          <w:lang w:val="en-US"/>
        </w:rPr>
        <w:t>، بالاستفادة من المعلومات والن</w:t>
      </w:r>
      <w:r>
        <w:rPr>
          <w:rFonts w:cs="Simplified Arabic" w:hint="cs"/>
          <w:rtl/>
          <w:lang w:val="en-US"/>
        </w:rPr>
        <w:t>ُ</w:t>
      </w:r>
      <w:r w:rsidRPr="0063685D">
        <w:rPr>
          <w:rFonts w:cs="Simplified Arabic"/>
          <w:rtl/>
          <w:lang w:val="en-US"/>
        </w:rPr>
        <w:t xml:space="preserve">هج </w:t>
      </w:r>
      <w:r w:rsidR="00B06B50">
        <w:rPr>
          <w:rFonts w:cs="Simplified Arabic" w:hint="cs"/>
          <w:rtl/>
          <w:lang w:val="en-US"/>
        </w:rPr>
        <w:t>والمواد الإرشادية</w:t>
      </w:r>
      <w:r w:rsidRPr="0063685D">
        <w:rPr>
          <w:rFonts w:cs="Simplified Arabic"/>
          <w:rtl/>
          <w:lang w:val="en-US"/>
        </w:rPr>
        <w:t xml:space="preserve"> القائمة بشأن هذا الموضوع، بما في ذلك تلك المنتجة بموجب بروتوكول قرطاجنة، مثل </w:t>
      </w:r>
      <w:r w:rsidRPr="0063685D">
        <w:rPr>
          <w:rFonts w:cs="Simplified Arabic" w:hint="cs"/>
          <w:i/>
          <w:iCs/>
          <w:rtl/>
          <w:lang w:val="en-US"/>
        </w:rPr>
        <w:t>السلسلة التقنية</w:t>
      </w:r>
      <w:r w:rsidRPr="0063685D">
        <w:rPr>
          <w:rFonts w:cs="Simplified Arabic"/>
          <w:i/>
          <w:iCs/>
          <w:rtl/>
          <w:lang w:val="en-US"/>
        </w:rPr>
        <w:t xml:space="preserve"> للسلامة البيولوجية 07</w:t>
      </w:r>
      <w:r w:rsidRPr="0063685D">
        <w:rPr>
          <w:rFonts w:cs="Simplified Arabic"/>
          <w:rtl/>
          <w:lang w:val="en-US"/>
        </w:rPr>
        <w:t>]؛</w:t>
      </w:r>
    </w:p>
    <w:p w14:paraId="49C75813" w14:textId="3C18B842" w:rsidR="002D080B" w:rsidRDefault="0063685D"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 xml:space="preserve">[3 بديلة- </w:t>
      </w:r>
      <w:r>
        <w:rPr>
          <w:rFonts w:cs="Simplified Arabic" w:hint="cs"/>
          <w:i/>
          <w:iCs/>
          <w:rtl/>
          <w:lang w:val="en-US"/>
        </w:rPr>
        <w:t xml:space="preserve">يقرر أيضا </w:t>
      </w:r>
      <w:r w:rsidRPr="0063685D">
        <w:rPr>
          <w:rFonts w:cs="Simplified Arabic"/>
          <w:rtl/>
          <w:lang w:val="en-US"/>
        </w:rPr>
        <w:t xml:space="preserve">توسيع نطاق جهود بناء القدرات في مجال تقييم وإدارة مخاطر الكائنات الحية </w:t>
      </w:r>
      <w:r>
        <w:rPr>
          <w:rFonts w:cs="Simplified Arabic" w:hint="cs"/>
          <w:rtl/>
          <w:lang w:val="en-US"/>
        </w:rPr>
        <w:t>المحورة</w:t>
      </w:r>
      <w:r w:rsidRPr="0063685D">
        <w:rPr>
          <w:rFonts w:cs="Simplified Arabic"/>
          <w:rtl/>
          <w:lang w:val="en-US"/>
        </w:rPr>
        <w:t xml:space="preserve">، بالاستفادة من المعلومات </w:t>
      </w:r>
      <w:r>
        <w:rPr>
          <w:rFonts w:cs="Simplified Arabic" w:hint="cs"/>
          <w:rtl/>
          <w:lang w:val="en-US"/>
        </w:rPr>
        <w:t>و</w:t>
      </w:r>
      <w:r w:rsidR="00867852">
        <w:rPr>
          <w:rFonts w:cs="Simplified Arabic" w:hint="cs"/>
          <w:rtl/>
          <w:lang w:val="en-US"/>
        </w:rPr>
        <w:t>الإرشادات</w:t>
      </w:r>
      <w:r w:rsidRPr="0063685D">
        <w:rPr>
          <w:rFonts w:cs="Simplified Arabic"/>
          <w:rtl/>
          <w:lang w:val="en-US"/>
        </w:rPr>
        <w:t xml:space="preserve"> القائمة</w:t>
      </w:r>
      <w:r>
        <w:rPr>
          <w:rFonts w:cs="Simplified Arabic" w:hint="cs"/>
          <w:rtl/>
          <w:lang w:val="en-US"/>
        </w:rPr>
        <w:t xml:space="preserve"> والنهج إزاء إدارة مخاطر الكائنات الحية المحورة الموصوف</w:t>
      </w:r>
      <w:r w:rsidR="00B06B50">
        <w:rPr>
          <w:rFonts w:cs="Simplified Arabic" w:hint="cs"/>
          <w:rtl/>
          <w:lang w:val="en-US"/>
        </w:rPr>
        <w:t>ة</w:t>
      </w:r>
      <w:r>
        <w:rPr>
          <w:rFonts w:cs="Simplified Arabic" w:hint="cs"/>
          <w:rtl/>
          <w:lang w:val="en-US"/>
        </w:rPr>
        <w:t xml:space="preserve"> في</w:t>
      </w:r>
      <w:r w:rsidRPr="0063685D">
        <w:rPr>
          <w:rFonts w:cs="Simplified Arabic"/>
          <w:rtl/>
          <w:lang w:val="en-US"/>
        </w:rPr>
        <w:t xml:space="preserve"> </w:t>
      </w:r>
      <w:r w:rsidRPr="0063685D">
        <w:rPr>
          <w:rFonts w:cs="Simplified Arabic" w:hint="cs"/>
          <w:i/>
          <w:iCs/>
          <w:rtl/>
          <w:lang w:val="en-US"/>
        </w:rPr>
        <w:t>السلسلة التقنية</w:t>
      </w:r>
      <w:r w:rsidRPr="0063685D">
        <w:rPr>
          <w:rFonts w:cs="Simplified Arabic"/>
          <w:i/>
          <w:iCs/>
          <w:rtl/>
          <w:lang w:val="en-US"/>
        </w:rPr>
        <w:t xml:space="preserve"> للسلامة البيولوجية 07</w:t>
      </w:r>
      <w:r w:rsidRPr="0063685D">
        <w:rPr>
          <w:rFonts w:cs="Simplified Arabic"/>
          <w:rtl/>
          <w:lang w:val="en-US"/>
        </w:rPr>
        <w:t>]</w:t>
      </w:r>
      <w:r>
        <w:rPr>
          <w:rFonts w:cs="Simplified Arabic" w:hint="cs"/>
          <w:rtl/>
          <w:lang w:val="en-US"/>
        </w:rPr>
        <w:t>؛</w:t>
      </w:r>
    </w:p>
    <w:p w14:paraId="0E85997F" w14:textId="77777777" w:rsidR="002D080B" w:rsidRDefault="002D080B"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[4-</w:t>
      </w:r>
      <w:r>
        <w:rPr>
          <w:rFonts w:cs="Simplified Arabic"/>
          <w:rtl/>
          <w:lang w:val="en-US"/>
        </w:rPr>
        <w:tab/>
      </w:r>
      <w:r w:rsidR="00903CA7" w:rsidRPr="002D080B">
        <w:rPr>
          <w:rFonts w:cs="Simplified Arabic" w:hint="cs"/>
          <w:i/>
          <w:iCs/>
          <w:rtl/>
          <w:lang w:val="en-US"/>
        </w:rPr>
        <w:t>يقرر</w:t>
      </w:r>
      <w:r>
        <w:rPr>
          <w:rFonts w:cs="Simplified Arabic" w:hint="cs"/>
          <w:i/>
          <w:iCs/>
          <w:rtl/>
          <w:lang w:val="en-US"/>
        </w:rPr>
        <w:t xml:space="preserve"> كذلك</w:t>
      </w:r>
      <w:r w:rsidR="00903CA7" w:rsidRPr="002D080B">
        <w:rPr>
          <w:rFonts w:cs="Simplified Arabic" w:hint="cs"/>
          <w:i/>
          <w:iCs/>
          <w:rtl/>
          <w:lang w:val="en-US"/>
        </w:rPr>
        <w:t xml:space="preserve"> </w:t>
      </w:r>
      <w:r w:rsidR="00903CA7" w:rsidRPr="002D080B">
        <w:rPr>
          <w:rFonts w:cs="Simplified Arabic" w:hint="cs"/>
          <w:rtl/>
          <w:lang w:val="en-US"/>
        </w:rPr>
        <w:t xml:space="preserve">إنشاء </w:t>
      </w:r>
      <w:r w:rsidR="00903CA7" w:rsidRPr="002D080B">
        <w:rPr>
          <w:rFonts w:cs="Simplified Arabic"/>
          <w:rtl/>
          <w:lang w:val="en-US"/>
        </w:rPr>
        <w:t>فريق خبراء تقنيين مخصص جديد معني بتقييم المخاطر، ترد اختصاصاته في مرفق هذا المقرر؛</w:t>
      </w:r>
      <w:r>
        <w:rPr>
          <w:rFonts w:cs="Simplified Arabic" w:hint="cs"/>
          <w:rtl/>
          <w:lang w:val="en-US"/>
        </w:rPr>
        <w:t>]</w:t>
      </w:r>
    </w:p>
    <w:p w14:paraId="063FCAD9" w14:textId="40F909D7" w:rsidR="002D080B" w:rsidRDefault="002D080B"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[5-</w:t>
      </w:r>
      <w:r>
        <w:rPr>
          <w:rFonts w:cs="Simplified Arabic"/>
          <w:rtl/>
          <w:lang w:val="en-US"/>
        </w:rPr>
        <w:tab/>
      </w:r>
      <w:r w:rsidR="00903CA7" w:rsidRPr="00C437A5">
        <w:rPr>
          <w:rFonts w:cs="Simplified Arabic" w:hint="cs"/>
          <w:i/>
          <w:iCs/>
          <w:rtl/>
          <w:lang w:val="en-US"/>
        </w:rPr>
        <w:t xml:space="preserve">يدعو </w:t>
      </w:r>
      <w:r w:rsidR="00903CA7" w:rsidRPr="00C437A5">
        <w:rPr>
          <w:rFonts w:cs="Simplified Arabic" w:hint="cs"/>
          <w:rtl/>
          <w:lang w:val="en-US"/>
        </w:rPr>
        <w:t xml:space="preserve">الأطراف، </w:t>
      </w:r>
      <w:r w:rsidR="00903CA7" w:rsidRPr="00C437A5">
        <w:rPr>
          <w:rFonts w:cs="Simplified Arabic"/>
          <w:rtl/>
          <w:lang w:val="en-US"/>
        </w:rPr>
        <w:t>والحكومات الأخرى، والشعوب الأصلية والمجتمعات المحلية</w:t>
      </w:r>
      <w:r>
        <w:rPr>
          <w:rFonts w:cs="Simplified Arabic" w:hint="cs"/>
          <w:rtl/>
          <w:lang w:val="en-US"/>
        </w:rPr>
        <w:t xml:space="preserve"> والنساء والشباب والأوساط الأكاديمية</w:t>
      </w:r>
      <w:r w:rsidR="00903CA7" w:rsidRPr="00C437A5">
        <w:rPr>
          <w:rFonts w:cs="Simplified Arabic"/>
          <w:rtl/>
          <w:lang w:val="en-US"/>
        </w:rPr>
        <w:t xml:space="preserve"> والمنظمات ذات الصلة إلى تقديم معلومات ذات صلة</w:t>
      </w:r>
      <w:r>
        <w:rPr>
          <w:rFonts w:cs="Simplified Arabic" w:hint="cs"/>
          <w:rtl/>
          <w:lang w:val="en-US"/>
        </w:rPr>
        <w:t xml:space="preserve">، مثل </w:t>
      </w:r>
      <w:r w:rsidR="00593B50">
        <w:rPr>
          <w:rFonts w:cs="Simplified Arabic" w:hint="cs"/>
          <w:rtl/>
          <w:lang w:val="en-US"/>
        </w:rPr>
        <w:t>الخبرات</w:t>
      </w:r>
      <w:r>
        <w:rPr>
          <w:rFonts w:cs="Simplified Arabic" w:hint="cs"/>
          <w:rtl/>
          <w:lang w:val="en-US"/>
        </w:rPr>
        <w:t xml:space="preserve"> الوطنية والإقليمية في مجال تقييم المخاطر والموارد القائمة لتقييم المخاطر بشأن الموضوعات المختارة، وإلى دعم</w:t>
      </w:r>
      <w:r w:rsidR="00903CA7" w:rsidRPr="00C437A5">
        <w:rPr>
          <w:rFonts w:cs="Simplified Arabic"/>
          <w:rtl/>
          <w:lang w:val="en-US"/>
        </w:rPr>
        <w:t xml:space="preserve"> عمل فريق الخبراء التقنيين المخصص المعني بتقييم المخاطر؛</w:t>
      </w:r>
      <w:r>
        <w:rPr>
          <w:rFonts w:cs="Simplified Arabic" w:hint="cs"/>
          <w:rtl/>
          <w:lang w:val="en-US"/>
        </w:rPr>
        <w:t>]</w:t>
      </w:r>
    </w:p>
    <w:p w14:paraId="5A301807" w14:textId="77777777" w:rsidR="002D080B" w:rsidRDefault="002D080B"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[6-</w:t>
      </w:r>
      <w:r>
        <w:rPr>
          <w:rFonts w:cs="Simplified Arabic"/>
          <w:rtl/>
          <w:lang w:val="en-US"/>
        </w:rPr>
        <w:tab/>
      </w:r>
      <w:r w:rsidR="00903CA7" w:rsidRPr="00C437A5">
        <w:rPr>
          <w:rFonts w:cs="Simplified Arabic" w:hint="cs"/>
          <w:i/>
          <w:iCs/>
          <w:rtl/>
          <w:lang w:val="en-US"/>
        </w:rPr>
        <w:t xml:space="preserve">يقرر </w:t>
      </w:r>
      <w:r w:rsidR="00903CA7" w:rsidRPr="00C437A5">
        <w:rPr>
          <w:rFonts w:cs="Simplified Arabic" w:hint="cs"/>
          <w:rtl/>
          <w:lang w:val="en-US"/>
        </w:rPr>
        <w:t xml:space="preserve">توسيع </w:t>
      </w:r>
      <w:r w:rsidR="00903CA7" w:rsidRPr="00C437A5">
        <w:rPr>
          <w:rFonts w:cs="Simplified Arabic"/>
          <w:rtl/>
          <w:lang w:val="en-US"/>
        </w:rPr>
        <w:t>نطاق المنتدى الإلكتروني المفتوح العضوية المعني بتقييم المخاطر وإدارة المخاطر لدعم عمل فريق الخبراء التقنيين المخصص المعني بتقييم المخاطر؛</w:t>
      </w:r>
      <w:r>
        <w:rPr>
          <w:rFonts w:cs="Simplified Arabic" w:hint="cs"/>
          <w:rtl/>
          <w:lang w:val="en-US"/>
        </w:rPr>
        <w:t>]</w:t>
      </w:r>
    </w:p>
    <w:p w14:paraId="659B70EB" w14:textId="5E2BB2A3" w:rsidR="00903CA7" w:rsidRDefault="002D080B" w:rsidP="002D080B">
      <w:pPr>
        <w:pStyle w:val="ListParagraph"/>
        <w:tabs>
          <w:tab w:val="left" w:pos="720"/>
        </w:tabs>
        <w:bidi/>
        <w:spacing w:before="120" w:line="216" w:lineRule="auto"/>
        <w:ind w:left="1440" w:firstLine="720"/>
        <w:contextualSpacing w:val="0"/>
        <w:rPr>
          <w:rFonts w:cs="Simplified Arabic"/>
          <w:lang w:val="en-US"/>
        </w:rPr>
      </w:pPr>
      <w:r>
        <w:rPr>
          <w:rFonts w:cs="Simplified Arabic" w:hint="cs"/>
          <w:rtl/>
          <w:lang w:val="en-US"/>
        </w:rPr>
        <w:t>[7-</w:t>
      </w:r>
      <w:r>
        <w:rPr>
          <w:rFonts w:cs="Simplified Arabic"/>
          <w:rtl/>
          <w:lang w:val="en-US"/>
        </w:rPr>
        <w:tab/>
      </w:r>
      <w:r w:rsidR="00903CA7" w:rsidRPr="00C437A5">
        <w:rPr>
          <w:rFonts w:cs="Simplified Arabic" w:hint="cs"/>
          <w:i/>
          <w:iCs/>
          <w:rtl/>
          <w:lang w:val="en-US"/>
        </w:rPr>
        <w:t xml:space="preserve">يقرر أيضا </w:t>
      </w:r>
      <w:r w:rsidR="00903CA7" w:rsidRPr="00C437A5">
        <w:rPr>
          <w:rFonts w:cs="Simplified Arabic" w:hint="cs"/>
          <w:rtl/>
          <w:lang w:val="en-US"/>
        </w:rPr>
        <w:t xml:space="preserve">أن ينظر </w:t>
      </w:r>
      <w:r w:rsidR="00903CA7" w:rsidRPr="00C437A5">
        <w:rPr>
          <w:rFonts w:cs="Simplified Arabic"/>
          <w:rtl/>
          <w:lang w:val="en-US"/>
        </w:rPr>
        <w:t xml:space="preserve">خلال اجتماعه الثالث عشر في القضايا الإضافية التي قد تكون هناك حاجة إلى مواد إرشادية بشأن تقييم المخاطر، وذلك استكمالا للعملية التي وُضعت في المقرر </w:t>
      </w:r>
      <w:r w:rsidR="00903CA7" w:rsidRPr="00C437A5">
        <w:rPr>
          <w:rFonts w:cs="Simplified Arabic"/>
          <w:lang w:val="en-US"/>
        </w:rPr>
        <w:t>CP</w:t>
      </w:r>
      <w:r>
        <w:rPr>
          <w:rFonts w:cs="Simplified Arabic"/>
          <w:lang w:val="en-US"/>
        </w:rPr>
        <w:noBreakHyphen/>
      </w:r>
      <w:r w:rsidR="00903CA7" w:rsidRPr="00C437A5">
        <w:rPr>
          <w:rFonts w:cs="Simplified Arabic"/>
          <w:lang w:val="en-US"/>
        </w:rPr>
        <w:t>9/13</w:t>
      </w:r>
      <w:r w:rsidR="00903CA7" w:rsidRPr="00C437A5">
        <w:rPr>
          <w:rFonts w:cs="Simplified Arabic"/>
          <w:rtl/>
          <w:lang w:val="en-US"/>
        </w:rPr>
        <w:t xml:space="preserve"> لتحديد القضايا المحددة لتقييم مخاطر الكائنات الحية المحورة التي قد تستدعي النظر فيها وترتيبها بحسب الأولوية، مع مراعاة الأولويات التي حددتها الأطراف، بما في ذلك في تقاريرها الوطنية</w:t>
      </w:r>
      <w:r>
        <w:rPr>
          <w:rFonts w:cs="Simplified Arabic" w:hint="cs"/>
          <w:rtl/>
          <w:lang w:val="en-US"/>
        </w:rPr>
        <w:t>، والموضوعات التي حددها فريق الخبراء التقنيين المخصص المعني بتقييم المخاطر</w:t>
      </w:r>
      <w:r w:rsidR="00903CA7" w:rsidRPr="00C437A5">
        <w:rPr>
          <w:rFonts w:cs="Simplified Arabic"/>
          <w:rtl/>
          <w:lang w:val="en-US"/>
        </w:rPr>
        <w:t>؛</w:t>
      </w:r>
      <w:r w:rsidR="00985283" w:rsidRPr="00985283">
        <w:rPr>
          <w:rStyle w:val="FootnoteReference"/>
          <w:rFonts w:cs="Simplified Arabic"/>
          <w:sz w:val="22"/>
          <w:u w:val="none"/>
          <w:vertAlign w:val="superscript"/>
          <w:rtl/>
          <w:lang w:val="en-US"/>
        </w:rPr>
        <w:footnoteReference w:id="5"/>
      </w:r>
      <w:r>
        <w:rPr>
          <w:rFonts w:cs="Simplified Arabic" w:hint="cs"/>
          <w:rtl/>
          <w:lang w:val="en-US"/>
        </w:rPr>
        <w:t>]</w:t>
      </w:r>
    </w:p>
    <w:p w14:paraId="1266E082" w14:textId="60D5E7B8" w:rsidR="002D080B" w:rsidRDefault="002D080B"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[8-</w:t>
      </w:r>
      <w:r>
        <w:rPr>
          <w:rFonts w:cs="Simplified Arabic"/>
          <w:rtl/>
          <w:lang w:val="en-US"/>
        </w:rPr>
        <w:tab/>
      </w:r>
      <w:r>
        <w:rPr>
          <w:rFonts w:cs="Simplified Arabic" w:hint="cs"/>
          <w:i/>
          <w:iCs/>
          <w:rtl/>
          <w:lang w:val="en-US"/>
        </w:rPr>
        <w:t xml:space="preserve">يدعو </w:t>
      </w:r>
      <w:r>
        <w:rPr>
          <w:rFonts w:cs="Simplified Arabic" w:hint="cs"/>
          <w:rtl/>
          <w:lang w:val="en-US"/>
        </w:rPr>
        <w:t xml:space="preserve">الأطراف </w:t>
      </w:r>
      <w:r w:rsidRPr="002D080B">
        <w:rPr>
          <w:rFonts w:cs="Simplified Arabic"/>
          <w:rtl/>
          <w:lang w:val="en-US"/>
        </w:rPr>
        <w:t xml:space="preserve">والحكومات الأخرى والشعوب الأصلية والمجتمعات المحلية والنساء والشباب والمنظمات ذات الصلة إلى تقديم معلومات عن الخبرات المتعلقة بتنفيذ الإجراءات المبسطة الواردة في المادة </w:t>
      </w:r>
      <w:hyperlink r:id="rId13" w:history="1">
        <w:r w:rsidRPr="00B06B50">
          <w:rPr>
            <w:rStyle w:val="Hyperlink"/>
            <w:rFonts w:cs="Simplified Arabic"/>
            <w:rtl/>
            <w:lang w:val="en-US"/>
          </w:rPr>
          <w:t>13</w:t>
        </w:r>
      </w:hyperlink>
      <w:r w:rsidRPr="002D080B">
        <w:rPr>
          <w:rFonts w:cs="Simplified Arabic"/>
          <w:rtl/>
          <w:lang w:val="en-US"/>
        </w:rPr>
        <w:t xml:space="preserve"> من بروتوكول قرطاجنة، والاتفاقات والترتيبات الثنائية والإقليمية والمتعددة الأطراف المنصوص عليها في المادة </w:t>
      </w:r>
      <w:hyperlink r:id="rId14" w:history="1">
        <w:r w:rsidRPr="00B06B50">
          <w:rPr>
            <w:rStyle w:val="Hyperlink"/>
            <w:rFonts w:cs="Simplified Arabic"/>
            <w:rtl/>
            <w:lang w:val="en-US"/>
          </w:rPr>
          <w:t>14</w:t>
        </w:r>
      </w:hyperlink>
      <w:r w:rsidRPr="002D080B">
        <w:rPr>
          <w:rFonts w:cs="Simplified Arabic"/>
          <w:rtl/>
          <w:lang w:val="en-US"/>
        </w:rPr>
        <w:t xml:space="preserve"> من البروتوكول، وعن إمكانية نقل البيانات ل</w:t>
      </w:r>
      <w:r>
        <w:rPr>
          <w:rFonts w:cs="Simplified Arabic" w:hint="cs"/>
          <w:rtl/>
          <w:lang w:val="en-US"/>
        </w:rPr>
        <w:t xml:space="preserve">أغراض </w:t>
      </w:r>
      <w:r w:rsidRPr="002D080B">
        <w:rPr>
          <w:rFonts w:cs="Simplified Arabic"/>
          <w:rtl/>
          <w:lang w:val="en-US"/>
        </w:rPr>
        <w:t xml:space="preserve">تقييم مخاطر الكائنات الحية </w:t>
      </w:r>
      <w:r>
        <w:rPr>
          <w:rFonts w:cs="Simplified Arabic" w:hint="cs"/>
          <w:rtl/>
          <w:lang w:val="en-US"/>
        </w:rPr>
        <w:t xml:space="preserve">المحورة </w:t>
      </w:r>
      <w:r w:rsidRPr="002D080B">
        <w:rPr>
          <w:rFonts w:cs="Simplified Arabic"/>
          <w:rtl/>
          <w:lang w:val="en-US"/>
        </w:rPr>
        <w:t xml:space="preserve">[، مع الاعتراف بأن قبول بيانات تقييم المخاطر </w:t>
      </w:r>
      <w:r w:rsidR="00B06B50">
        <w:rPr>
          <w:rFonts w:cs="Simplified Arabic" w:hint="cs"/>
          <w:rtl/>
          <w:lang w:val="en-US"/>
        </w:rPr>
        <w:t>المقدمة من البلدان الأخرى</w:t>
      </w:r>
      <w:r w:rsidRPr="002D080B">
        <w:rPr>
          <w:rFonts w:cs="Simplified Arabic"/>
          <w:rtl/>
          <w:lang w:val="en-US"/>
        </w:rPr>
        <w:t xml:space="preserve"> يخضع للتقييم الوطني وتأكيد الأهمية </w:t>
      </w:r>
      <w:r w:rsidR="00B06B50">
        <w:rPr>
          <w:rFonts w:cs="Simplified Arabic" w:hint="cs"/>
          <w:rtl/>
          <w:lang w:val="en-US"/>
        </w:rPr>
        <w:t>الإيكولوجية</w:t>
      </w:r>
      <w:r w:rsidRPr="002D080B">
        <w:rPr>
          <w:rFonts w:cs="Simplified Arabic"/>
          <w:rtl/>
          <w:lang w:val="en-US"/>
        </w:rPr>
        <w:t xml:space="preserve"> والقابلية للمقارنة</w:t>
      </w:r>
      <w:r>
        <w:rPr>
          <w:rFonts w:cs="Simplified Arabic" w:hint="cs"/>
          <w:rtl/>
          <w:lang w:val="en-US"/>
        </w:rPr>
        <w:t>]؛]</w:t>
      </w:r>
    </w:p>
    <w:p w14:paraId="5150C5E5" w14:textId="6B8899F6" w:rsidR="002D080B" w:rsidRDefault="002D080B"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[9-</w:t>
      </w:r>
      <w:r>
        <w:rPr>
          <w:rFonts w:cs="Simplified Arabic"/>
          <w:rtl/>
          <w:lang w:val="en-US"/>
        </w:rPr>
        <w:tab/>
      </w:r>
      <w:r>
        <w:rPr>
          <w:rFonts w:cs="Simplified Arabic" w:hint="cs"/>
          <w:i/>
          <w:iCs/>
          <w:rtl/>
          <w:lang w:val="en-US"/>
        </w:rPr>
        <w:t xml:space="preserve">يقرر </w:t>
      </w:r>
      <w:r>
        <w:rPr>
          <w:rFonts w:cs="Simplified Arabic" w:hint="cs"/>
          <w:rtl/>
          <w:lang w:val="en-US"/>
        </w:rPr>
        <w:t>أن ينظر، في اجتماعه الثالث عشر، في المعلومات المقدمة استجابة للفقرة 8 أعلاه؛]</w:t>
      </w:r>
    </w:p>
    <w:p w14:paraId="72876C7F" w14:textId="691EAE3D" w:rsidR="002D080B" w:rsidRDefault="002D080B"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10-</w:t>
      </w:r>
      <w:r>
        <w:rPr>
          <w:rFonts w:cs="Simplified Arabic"/>
          <w:rtl/>
          <w:lang w:val="en-US"/>
        </w:rPr>
        <w:tab/>
      </w:r>
      <w:r>
        <w:rPr>
          <w:rFonts w:cs="Simplified Arabic" w:hint="cs"/>
          <w:i/>
          <w:iCs/>
          <w:rtl/>
          <w:lang w:val="en-US"/>
        </w:rPr>
        <w:t xml:space="preserve">يحث </w:t>
      </w:r>
      <w:r>
        <w:rPr>
          <w:rFonts w:cs="Simplified Arabic" w:hint="cs"/>
          <w:rtl/>
          <w:lang w:val="en-US"/>
        </w:rPr>
        <w:t>الأطراف</w:t>
      </w:r>
      <w:r w:rsidRPr="002D080B">
        <w:rPr>
          <w:rFonts w:cs="Simplified Arabic"/>
          <w:rtl/>
          <w:lang w:val="en-US"/>
        </w:rPr>
        <w:t>،</w:t>
      </w:r>
      <w:r w:rsidR="00593B50" w:rsidRPr="00593B50">
        <w:rPr>
          <w:rFonts w:cs="Simplified Arabic"/>
          <w:rtl/>
          <w:lang w:val="en-US"/>
        </w:rPr>
        <w:t xml:space="preserve"> </w:t>
      </w:r>
      <w:r w:rsidR="00593B50" w:rsidRPr="002D080B">
        <w:rPr>
          <w:rFonts w:cs="Simplified Arabic"/>
          <w:rtl/>
          <w:lang w:val="en-US"/>
        </w:rPr>
        <w:t>ويدعو الحكومات الأخرى والشعوب الأصلية والمجتمعات المحلية والنساء والشباب والمنظمات ذات الصلة</w:t>
      </w:r>
      <w:r w:rsidR="00593B50">
        <w:rPr>
          <w:rFonts w:cs="Simplified Arabic" w:hint="cs"/>
          <w:rtl/>
          <w:lang w:val="en-US"/>
        </w:rPr>
        <w:t>،</w:t>
      </w:r>
      <w:r w:rsidRPr="002D080B">
        <w:rPr>
          <w:rFonts w:cs="Simplified Arabic"/>
          <w:rtl/>
          <w:lang w:val="en-US"/>
        </w:rPr>
        <w:t xml:space="preserve"> </w:t>
      </w:r>
      <w:r w:rsidR="00593B50">
        <w:rPr>
          <w:rFonts w:cs="Simplified Arabic" w:hint="cs"/>
          <w:rtl/>
          <w:lang w:val="en-US"/>
        </w:rPr>
        <w:t>إ</w:t>
      </w:r>
      <w:r w:rsidRPr="002D080B">
        <w:rPr>
          <w:rFonts w:cs="Simplified Arabic"/>
          <w:rtl/>
          <w:lang w:val="en-US"/>
        </w:rPr>
        <w:t>لى الانخراط في تعاون دولي واسع النطاق لتبادل المعلومات والخبرات المتعلقة بتقييم المخاطر،</w:t>
      </w:r>
      <w:r>
        <w:rPr>
          <w:rFonts w:cs="Simplified Arabic" w:hint="cs"/>
          <w:rtl/>
          <w:lang w:val="en-US"/>
        </w:rPr>
        <w:t xml:space="preserve"> </w:t>
      </w:r>
      <w:r w:rsidRPr="002D080B">
        <w:rPr>
          <w:rFonts w:cs="Simplified Arabic"/>
          <w:rtl/>
          <w:lang w:val="en-US"/>
        </w:rPr>
        <w:t xml:space="preserve">وخاصة من خلال غرفة تبادل معلومات السلامة الأحيائية، وتعزيز أنشطة بناء </w:t>
      </w:r>
      <w:r w:rsidRPr="002D080B">
        <w:rPr>
          <w:rFonts w:cs="Simplified Arabic"/>
          <w:rtl/>
          <w:lang w:val="en-US"/>
        </w:rPr>
        <w:lastRenderedPageBreak/>
        <w:t xml:space="preserve">القدرات </w:t>
      </w:r>
      <w:r>
        <w:rPr>
          <w:rFonts w:cs="Simplified Arabic" w:hint="cs"/>
          <w:rtl/>
          <w:lang w:val="en-US"/>
        </w:rPr>
        <w:t>وتنمية القدرات</w:t>
      </w:r>
      <w:r w:rsidRPr="002D080B">
        <w:rPr>
          <w:rFonts w:cs="Simplified Arabic"/>
          <w:rtl/>
          <w:lang w:val="en-US"/>
        </w:rPr>
        <w:t xml:space="preserve"> فيما يتعلق </w:t>
      </w:r>
      <w:r>
        <w:rPr>
          <w:rFonts w:cs="Simplified Arabic" w:hint="cs"/>
          <w:rtl/>
          <w:lang w:val="en-US"/>
        </w:rPr>
        <w:t>بالموضوعات</w:t>
      </w:r>
      <w:r w:rsidRPr="002D080B">
        <w:rPr>
          <w:rFonts w:cs="Simplified Arabic"/>
          <w:rtl/>
          <w:lang w:val="en-US"/>
        </w:rPr>
        <w:t xml:space="preserve"> التي </w:t>
      </w:r>
      <w:r>
        <w:rPr>
          <w:rFonts w:cs="Simplified Arabic" w:hint="cs"/>
          <w:rtl/>
          <w:lang w:val="en-US"/>
        </w:rPr>
        <w:t>مُنحت الأولوية من</w:t>
      </w:r>
      <w:r w:rsidRPr="002D080B">
        <w:rPr>
          <w:rFonts w:cs="Simplified Arabic"/>
          <w:rtl/>
          <w:lang w:val="en-US"/>
        </w:rPr>
        <w:t xml:space="preserve"> [</w:t>
      </w:r>
      <w:r>
        <w:rPr>
          <w:rFonts w:cs="Simplified Arabic" w:hint="cs"/>
          <w:rtl/>
          <w:lang w:val="en-US"/>
        </w:rPr>
        <w:t>فريق الخبراء التقنيين المخصص المعني بتقييم المخاطر</w:t>
      </w:r>
      <w:r w:rsidRPr="002D080B">
        <w:rPr>
          <w:rFonts w:cs="Simplified Arabic"/>
          <w:rtl/>
          <w:lang w:val="en-US"/>
        </w:rPr>
        <w:t>؛</w:t>
      </w:r>
      <w:r w:rsidRPr="00C437A5">
        <w:rPr>
          <w:rStyle w:val="FootnoteReference"/>
          <w:rFonts w:cs="Simplified Arabic"/>
          <w:sz w:val="22"/>
          <w:u w:val="none"/>
          <w:vertAlign w:val="superscript"/>
          <w:rtl/>
          <w:lang w:val="en-US"/>
        </w:rPr>
        <w:footnoteReference w:id="6"/>
      </w:r>
      <w:r w:rsidRPr="002D080B">
        <w:rPr>
          <w:rFonts w:cs="Simplified Arabic"/>
          <w:rtl/>
          <w:lang w:val="en-US"/>
        </w:rPr>
        <w:t>][الهيئة الفرعية للمشورة العلمية والتقنية والتكنولوجية</w:t>
      </w:r>
      <w:r w:rsidR="00593B50">
        <w:rPr>
          <w:rFonts w:cs="Simplified Arabic" w:hint="cs"/>
          <w:rtl/>
          <w:lang w:val="en-US"/>
        </w:rPr>
        <w:t>؛</w:t>
      </w:r>
      <w:r w:rsidRPr="002D080B">
        <w:rPr>
          <w:rFonts w:cs="Simplified Arabic"/>
          <w:rtl/>
          <w:lang w:val="en-US"/>
        </w:rPr>
        <w:t>]</w:t>
      </w:r>
    </w:p>
    <w:p w14:paraId="61200CD2" w14:textId="7B227FB8" w:rsidR="002D080B" w:rsidRDefault="002D080B" w:rsidP="002D080B">
      <w:pPr>
        <w:pStyle w:val="ListParagraph"/>
        <w:tabs>
          <w:tab w:val="left" w:pos="720"/>
        </w:tabs>
        <w:bidi/>
        <w:spacing w:before="120" w:line="216" w:lineRule="auto"/>
        <w:ind w:left="1440" w:firstLine="720"/>
        <w:contextualSpacing w:val="0"/>
        <w:rPr>
          <w:rFonts w:cs="Simplified Arabic"/>
          <w:rtl/>
          <w:lang w:val="en-US"/>
        </w:rPr>
      </w:pPr>
      <w:r>
        <w:rPr>
          <w:rFonts w:cs="Simplified Arabic" w:hint="cs"/>
          <w:rtl/>
          <w:lang w:val="en-US"/>
        </w:rPr>
        <w:t>11-</w:t>
      </w:r>
      <w:r>
        <w:rPr>
          <w:rFonts w:cs="Simplified Arabic"/>
          <w:rtl/>
          <w:lang w:val="en-US"/>
        </w:rPr>
        <w:tab/>
      </w:r>
      <w:r>
        <w:rPr>
          <w:rFonts w:cs="Simplified Arabic" w:hint="cs"/>
          <w:i/>
          <w:iCs/>
          <w:rtl/>
          <w:lang w:val="en-US"/>
        </w:rPr>
        <w:t xml:space="preserve">يدعو </w:t>
      </w:r>
      <w:r w:rsidRPr="002D080B">
        <w:rPr>
          <w:rFonts w:cs="Simplified Arabic"/>
          <w:rtl/>
          <w:lang w:val="en-US"/>
        </w:rPr>
        <w:t>مراكز دعم التعاون التقني والعلمي الإقليمية ودون الإقليمية</w:t>
      </w:r>
      <w:r w:rsidR="00B06B50" w:rsidRPr="00C437A5">
        <w:rPr>
          <w:rStyle w:val="FootnoteReference"/>
          <w:rFonts w:cs="Simplified Arabic"/>
          <w:sz w:val="22"/>
          <w:u w:val="none"/>
          <w:vertAlign w:val="superscript"/>
          <w:rtl/>
          <w:lang w:val="en-US"/>
        </w:rPr>
        <w:footnoteReference w:id="7"/>
      </w:r>
      <w:r w:rsidRPr="002D080B">
        <w:rPr>
          <w:rFonts w:cs="Simplified Arabic"/>
          <w:rtl/>
          <w:lang w:val="en-US"/>
        </w:rPr>
        <w:t xml:space="preserve"> إلى مساعدة الأطراف في تلبية احتياجاتها و</w:t>
      </w:r>
      <w:r>
        <w:rPr>
          <w:rFonts w:cs="Simplified Arabic" w:hint="cs"/>
          <w:rtl/>
          <w:lang w:val="en-US"/>
        </w:rPr>
        <w:t xml:space="preserve">معالجة </w:t>
      </w:r>
      <w:r w:rsidRPr="002D080B">
        <w:rPr>
          <w:rFonts w:cs="Simplified Arabic"/>
          <w:rtl/>
          <w:lang w:val="en-US"/>
        </w:rPr>
        <w:t>أولوياتها فيما يتعلق بتقييم</w:t>
      </w:r>
      <w:r>
        <w:rPr>
          <w:rFonts w:cs="Simplified Arabic" w:hint="cs"/>
          <w:rtl/>
          <w:lang w:val="en-US"/>
        </w:rPr>
        <w:t xml:space="preserve"> وإدارة</w:t>
      </w:r>
      <w:r w:rsidRPr="002D080B">
        <w:rPr>
          <w:rFonts w:cs="Simplified Arabic"/>
          <w:rtl/>
          <w:lang w:val="en-US"/>
        </w:rPr>
        <w:t xml:space="preserve"> المخاط</w:t>
      </w:r>
      <w:r>
        <w:rPr>
          <w:rFonts w:cs="Simplified Arabic" w:hint="cs"/>
          <w:rtl/>
          <w:lang w:val="en-US"/>
        </w:rPr>
        <w:t>ر؛</w:t>
      </w:r>
    </w:p>
    <w:p w14:paraId="1747C722" w14:textId="22801489" w:rsidR="00903CA7" w:rsidRPr="002D080B" w:rsidRDefault="002D080B" w:rsidP="002D080B">
      <w:pPr>
        <w:pStyle w:val="ListParagraph"/>
        <w:tabs>
          <w:tab w:val="left" w:pos="720"/>
        </w:tabs>
        <w:bidi/>
        <w:spacing w:before="120" w:line="216" w:lineRule="auto"/>
        <w:ind w:left="1440" w:firstLine="720"/>
        <w:contextualSpacing w:val="0"/>
        <w:rPr>
          <w:rFonts w:cs="Simplified Arabic"/>
          <w:lang w:val="en-US"/>
        </w:rPr>
      </w:pPr>
      <w:r w:rsidRPr="002D080B">
        <w:rPr>
          <w:rFonts w:cs="Simplified Arabic" w:hint="cs"/>
          <w:rtl/>
          <w:lang w:val="en-US"/>
        </w:rPr>
        <w:t>12</w:t>
      </w:r>
      <w:r w:rsidRPr="002D080B">
        <w:rPr>
          <w:rFonts w:cs="Simplified Arabic" w:hint="cs"/>
          <w:i/>
          <w:iCs/>
          <w:rtl/>
          <w:lang w:val="en-US"/>
        </w:rPr>
        <w:t>-</w:t>
      </w:r>
      <w:r w:rsidRPr="002D080B">
        <w:rPr>
          <w:rFonts w:cs="Simplified Arabic"/>
          <w:i/>
          <w:iCs/>
          <w:rtl/>
          <w:lang w:val="en-US"/>
        </w:rPr>
        <w:tab/>
      </w:r>
      <w:r w:rsidR="00903CA7" w:rsidRPr="002D080B">
        <w:rPr>
          <w:rFonts w:cs="Simplified Arabic" w:hint="cs"/>
          <w:i/>
          <w:iCs/>
          <w:rtl/>
          <w:lang w:val="en-US"/>
        </w:rPr>
        <w:t xml:space="preserve">يطلب </w:t>
      </w:r>
      <w:r w:rsidR="00903CA7" w:rsidRPr="00B06B50">
        <w:rPr>
          <w:rFonts w:cs="Simplified Arabic" w:hint="cs"/>
          <w:rtl/>
          <w:lang w:val="en-US"/>
        </w:rPr>
        <w:t>إلى</w:t>
      </w:r>
      <w:r w:rsidR="00903CA7" w:rsidRPr="002D080B">
        <w:rPr>
          <w:rFonts w:cs="Simplified Arabic" w:hint="cs"/>
          <w:i/>
          <w:iCs/>
          <w:rtl/>
          <w:lang w:val="en-US"/>
        </w:rPr>
        <w:t xml:space="preserve"> </w:t>
      </w:r>
      <w:r w:rsidR="00903CA7" w:rsidRPr="002D080B">
        <w:rPr>
          <w:rFonts w:cs="Simplified Arabic" w:hint="cs"/>
          <w:rtl/>
          <w:lang w:val="en-US"/>
        </w:rPr>
        <w:t>الأمينة التنفيذية أن تقوم بما يلي، رهنا بتوافر الموارد:</w:t>
      </w:r>
    </w:p>
    <w:p w14:paraId="44E00040" w14:textId="6357749F" w:rsidR="00985283" w:rsidRDefault="00985283" w:rsidP="00985283">
      <w:pPr>
        <w:tabs>
          <w:tab w:val="left" w:pos="720"/>
        </w:tabs>
        <w:bidi/>
        <w:spacing w:before="120" w:line="216" w:lineRule="auto"/>
        <w:ind w:left="1440" w:firstLine="720"/>
        <w:rPr>
          <w:rFonts w:cs="Simplified Arabic"/>
          <w:rtl/>
          <w:lang w:val="en-US"/>
        </w:rPr>
      </w:pPr>
      <w:r w:rsidRPr="00985283">
        <w:rPr>
          <w:rFonts w:cs="Simplified Arabic" w:hint="cs"/>
          <w:rtl/>
          <w:lang w:val="en-US"/>
        </w:rPr>
        <w:t>[(أ)</w:t>
      </w:r>
      <w:r w:rsidRPr="00985283">
        <w:rPr>
          <w:rFonts w:cs="Simplified Arabic"/>
          <w:rtl/>
          <w:lang w:val="en-US"/>
        </w:rPr>
        <w:tab/>
      </w:r>
      <w:r w:rsidR="00903CA7" w:rsidRPr="00985283">
        <w:rPr>
          <w:rFonts w:cs="Simplified Arabic"/>
          <w:rtl/>
          <w:lang w:val="en-US"/>
        </w:rPr>
        <w:t>عقد اجتماعين على الأقل لفريق الخبراء التقنيين المخصص المعني بتقييم المخاطر، يُعقد أحدهما بالحضور الشخصي قبل الاجتماع الثالث عشر لمؤتمر الأطراف العامل كاجتماع للأطراف في بروتوكول قرطاجنة؛</w:t>
      </w:r>
      <w:r>
        <w:rPr>
          <w:rFonts w:cs="Simplified Arabic" w:hint="cs"/>
          <w:rtl/>
          <w:lang w:val="en-US"/>
        </w:rPr>
        <w:t>]</w:t>
      </w:r>
    </w:p>
    <w:p w14:paraId="5E3221BD" w14:textId="77777777" w:rsidR="00985283" w:rsidRDefault="00985283" w:rsidP="00985283">
      <w:pPr>
        <w:tabs>
          <w:tab w:val="left" w:pos="720"/>
        </w:tabs>
        <w:bidi/>
        <w:spacing w:before="120" w:line="216" w:lineRule="auto"/>
        <w:ind w:left="1440" w:firstLine="720"/>
        <w:rPr>
          <w:rFonts w:cs="Simplified Arabic"/>
          <w:rtl/>
          <w:lang w:val="en-US"/>
        </w:rPr>
      </w:pPr>
      <w:r>
        <w:rPr>
          <w:rFonts w:cs="Simplified Arabic" w:hint="cs"/>
          <w:rtl/>
          <w:lang w:val="en-US"/>
        </w:rPr>
        <w:t>[(ب)</w:t>
      </w:r>
      <w:r>
        <w:rPr>
          <w:rFonts w:cs="Simplified Arabic"/>
          <w:rtl/>
          <w:lang w:val="en-US"/>
        </w:rPr>
        <w:tab/>
      </w:r>
      <w:r w:rsidR="00903CA7" w:rsidRPr="00C437A5">
        <w:rPr>
          <w:rFonts w:cs="Simplified Arabic"/>
          <w:rtl/>
          <w:lang w:val="en-US"/>
        </w:rPr>
        <w:t>عقد مناقشات في المنتدى الإلكتروني المفتوح العضوية بشأن تقييم المخاطر وإدارة المخاطر خلال نفس فترة ما بين الدورات</w:t>
      </w:r>
      <w:r>
        <w:rPr>
          <w:rFonts w:cs="Simplified Arabic" w:hint="cs"/>
          <w:rtl/>
          <w:lang w:val="en-US"/>
        </w:rPr>
        <w:t xml:space="preserve"> و</w:t>
      </w:r>
      <w:r w:rsidRPr="00985283">
        <w:rPr>
          <w:rFonts w:cs="Simplified Arabic"/>
          <w:rtl/>
          <w:lang w:val="en-US"/>
        </w:rPr>
        <w:t>تشجيع المشاركة الفعالة للشعوب الأصلية والمجتمعات المحلية و</w:t>
      </w:r>
      <w:r>
        <w:rPr>
          <w:rFonts w:cs="Simplified Arabic" w:hint="cs"/>
          <w:rtl/>
          <w:lang w:val="en-US"/>
        </w:rPr>
        <w:t xml:space="preserve">منظمات </w:t>
      </w:r>
      <w:r w:rsidRPr="00985283">
        <w:rPr>
          <w:rFonts w:cs="Simplified Arabic"/>
          <w:rtl/>
          <w:lang w:val="en-US"/>
        </w:rPr>
        <w:t xml:space="preserve">النساء والشباب والأوساط الأكاديمية </w:t>
      </w:r>
      <w:r>
        <w:rPr>
          <w:rFonts w:cs="Simplified Arabic" w:hint="cs"/>
          <w:rtl/>
          <w:lang w:val="en-US"/>
        </w:rPr>
        <w:t>والمنظمات الأخرى</w:t>
      </w:r>
      <w:r w:rsidRPr="00985283">
        <w:rPr>
          <w:rFonts w:cs="Simplified Arabic"/>
          <w:rtl/>
          <w:lang w:val="en-US"/>
        </w:rPr>
        <w:t xml:space="preserve"> ذات الصلة؛]</w:t>
      </w:r>
    </w:p>
    <w:p w14:paraId="60F4871E" w14:textId="0D57D2AF" w:rsidR="00B5754B" w:rsidRDefault="00985283" w:rsidP="00B5754B">
      <w:pPr>
        <w:tabs>
          <w:tab w:val="left" w:pos="720"/>
        </w:tabs>
        <w:bidi/>
        <w:spacing w:before="120" w:line="216" w:lineRule="auto"/>
        <w:ind w:left="1440" w:firstLine="720"/>
        <w:rPr>
          <w:rFonts w:cs="Simplified Arabic"/>
          <w:rtl/>
          <w:lang w:val="en-US"/>
        </w:rPr>
      </w:pPr>
      <w:r>
        <w:rPr>
          <w:rFonts w:cs="Simplified Arabic" w:hint="cs"/>
          <w:rtl/>
          <w:lang w:val="en-US"/>
        </w:rPr>
        <w:t>(ج)</w:t>
      </w:r>
      <w:r>
        <w:rPr>
          <w:rFonts w:cs="Simplified Arabic"/>
          <w:rtl/>
          <w:lang w:val="en-US"/>
        </w:rPr>
        <w:tab/>
      </w:r>
      <w:r w:rsidR="00903CA7" w:rsidRPr="00C437A5">
        <w:rPr>
          <w:rFonts w:cs="Simplified Arabic"/>
          <w:rtl/>
          <w:lang w:val="en-US"/>
        </w:rPr>
        <w:t xml:space="preserve">توليف المعلومات التي جُمعت استجابة للفقرتين </w:t>
      </w:r>
      <w:r>
        <w:rPr>
          <w:rFonts w:cs="Simplified Arabic" w:hint="cs"/>
          <w:rtl/>
          <w:lang w:val="en-US"/>
        </w:rPr>
        <w:t>[</w:t>
      </w:r>
      <w:r w:rsidR="00903CA7" w:rsidRPr="00C437A5">
        <w:rPr>
          <w:rFonts w:cs="Simplified Arabic"/>
          <w:rtl/>
          <w:lang w:val="en-US"/>
        </w:rPr>
        <w:t>5</w:t>
      </w:r>
      <w:r>
        <w:rPr>
          <w:rFonts w:cs="Simplified Arabic" w:hint="cs"/>
          <w:rtl/>
          <w:lang w:val="en-US"/>
        </w:rPr>
        <w:t>]</w:t>
      </w:r>
      <w:r w:rsidR="00903CA7" w:rsidRPr="00C437A5">
        <w:rPr>
          <w:rFonts w:cs="Simplified Arabic"/>
          <w:rtl/>
          <w:lang w:val="en-US"/>
        </w:rPr>
        <w:t xml:space="preserve"> و</w:t>
      </w:r>
      <w:r>
        <w:rPr>
          <w:rFonts w:cs="Simplified Arabic" w:hint="cs"/>
          <w:rtl/>
          <w:lang w:val="en-US"/>
        </w:rPr>
        <w:t>[8]</w:t>
      </w:r>
      <w:r w:rsidR="00903CA7" w:rsidRPr="00C437A5">
        <w:rPr>
          <w:rFonts w:cs="Simplified Arabic"/>
          <w:rtl/>
          <w:lang w:val="en-US"/>
        </w:rPr>
        <w:t xml:space="preserve"> من هذا </w:t>
      </w:r>
      <w:r w:rsidR="00593B50">
        <w:rPr>
          <w:rFonts w:cs="Simplified Arabic" w:hint="cs"/>
          <w:rtl/>
          <w:lang w:val="en-US"/>
        </w:rPr>
        <w:t>المقرر</w:t>
      </w:r>
      <w:r>
        <w:rPr>
          <w:rFonts w:cs="Simplified Arabic" w:hint="cs"/>
          <w:rtl/>
          <w:lang w:val="en-US"/>
        </w:rPr>
        <w:t xml:space="preserve"> [</w:t>
      </w:r>
      <w:r w:rsidRPr="00985283">
        <w:rPr>
          <w:rFonts w:cs="Simplified Arabic"/>
          <w:rtl/>
          <w:lang w:val="en-US"/>
        </w:rPr>
        <w:t xml:space="preserve">ومن خلال المنتدى الإلكتروني المفتوح العضوية بشأن تقييم المخاطر </w:t>
      </w:r>
      <w:r>
        <w:rPr>
          <w:rFonts w:cs="Simplified Arabic" w:hint="cs"/>
          <w:rtl/>
          <w:lang w:val="en-US"/>
        </w:rPr>
        <w:t>وإدارة المخاطر</w:t>
      </w:r>
      <w:r w:rsidR="00593B50">
        <w:rPr>
          <w:rFonts w:cs="Simplified Arabic" w:hint="cs"/>
          <w:rtl/>
          <w:lang w:val="en-US"/>
        </w:rPr>
        <w:t>]</w:t>
      </w:r>
      <w:r w:rsidRPr="00985283">
        <w:rPr>
          <w:rFonts w:cs="Simplified Arabic"/>
          <w:rtl/>
          <w:lang w:val="en-US"/>
        </w:rPr>
        <w:t xml:space="preserve">، فضلا عن المعلومات المتعلقة بالاحتياجات المحددة لمزيد من </w:t>
      </w:r>
      <w:r>
        <w:rPr>
          <w:rFonts w:cs="Simplified Arabic" w:hint="cs"/>
          <w:rtl/>
          <w:lang w:val="en-US"/>
        </w:rPr>
        <w:t>الإرشادات</w:t>
      </w:r>
      <w:r w:rsidRPr="00985283">
        <w:rPr>
          <w:rFonts w:cs="Simplified Arabic"/>
          <w:rtl/>
          <w:lang w:val="en-US"/>
        </w:rPr>
        <w:t xml:space="preserve"> بشأن </w:t>
      </w:r>
      <w:r w:rsidR="00B06B50">
        <w:rPr>
          <w:rFonts w:cs="Simplified Arabic" w:hint="cs"/>
          <w:rtl/>
          <w:lang w:val="en-US"/>
        </w:rPr>
        <w:t>موضوعات</w:t>
      </w:r>
      <w:r w:rsidRPr="00985283">
        <w:rPr>
          <w:rFonts w:cs="Simplified Arabic"/>
          <w:rtl/>
          <w:lang w:val="en-US"/>
        </w:rPr>
        <w:t xml:space="preserve"> محددة تتعلق بتقييم المخاطر </w:t>
      </w:r>
      <w:r>
        <w:rPr>
          <w:rFonts w:cs="Simplified Arabic" w:hint="cs"/>
          <w:rtl/>
          <w:lang w:val="en-US"/>
        </w:rPr>
        <w:t>وإدارة المخاطر</w:t>
      </w:r>
      <w:r w:rsidRPr="00985283">
        <w:rPr>
          <w:rFonts w:cs="Simplified Arabic"/>
          <w:rtl/>
          <w:lang w:val="en-US"/>
        </w:rPr>
        <w:t xml:space="preserve"> في التقارير الوطنية</w:t>
      </w:r>
      <w:r w:rsidR="00903CA7" w:rsidRPr="00C437A5">
        <w:rPr>
          <w:rFonts w:cs="Simplified Arabic"/>
          <w:rtl/>
          <w:lang w:val="en-US"/>
        </w:rPr>
        <w:t>؛</w:t>
      </w:r>
      <w:r w:rsidRPr="004C0D37">
        <w:rPr>
          <w:rStyle w:val="FootnoteReference"/>
          <w:rFonts w:cs="Simplified Arabic"/>
          <w:u w:val="none"/>
          <w:vertAlign w:val="superscript"/>
          <w:rtl/>
          <w:lang w:val="en-US"/>
        </w:rPr>
        <w:footnoteReference w:id="8"/>
      </w:r>
    </w:p>
    <w:p w14:paraId="5E083BEF" w14:textId="18F3B2D5" w:rsidR="00903CA7" w:rsidRPr="0036689A" w:rsidRDefault="00B5754B" w:rsidP="00B5754B">
      <w:pPr>
        <w:tabs>
          <w:tab w:val="left" w:pos="720"/>
        </w:tabs>
        <w:bidi/>
        <w:spacing w:before="120" w:line="216" w:lineRule="auto"/>
        <w:ind w:left="1440" w:firstLine="720"/>
        <w:rPr>
          <w:rFonts w:cs="Simplified Arabic"/>
          <w:rtl/>
          <w:lang w:val="en-US"/>
        </w:rPr>
      </w:pPr>
      <w:r>
        <w:rPr>
          <w:rFonts w:cs="Simplified Arabic" w:hint="cs"/>
          <w:rtl/>
          <w:lang w:val="en-US"/>
        </w:rPr>
        <w:t>(د)</w:t>
      </w:r>
      <w:r>
        <w:rPr>
          <w:rFonts w:cs="Simplified Arabic"/>
          <w:rtl/>
          <w:lang w:val="en-US"/>
        </w:rPr>
        <w:tab/>
      </w:r>
      <w:r w:rsidR="00903CA7" w:rsidRPr="0036689A">
        <w:rPr>
          <w:rFonts w:cs="Simplified Arabic"/>
          <w:rtl/>
          <w:lang w:val="en-US"/>
        </w:rPr>
        <w:t>مواصلة الاضطلاع بأنشطة بناء القدرات وتنمية القدرات</w:t>
      </w:r>
      <w:r w:rsidRPr="0036689A">
        <w:rPr>
          <w:rFonts w:cs="Simplified Arabic" w:hint="cs"/>
          <w:rtl/>
          <w:lang w:val="en-US"/>
        </w:rPr>
        <w:t xml:space="preserve"> بشأن </w:t>
      </w:r>
      <w:r w:rsidR="00C52FBA">
        <w:rPr>
          <w:rFonts w:cs="Simplified Arabic" w:hint="cs"/>
          <w:rtl/>
          <w:lang w:val="en-US"/>
        </w:rPr>
        <w:t>المواد الإرشادية</w:t>
      </w:r>
      <w:r w:rsidRPr="0036689A">
        <w:rPr>
          <w:rFonts w:cs="Simplified Arabic" w:hint="cs"/>
          <w:rtl/>
          <w:lang w:val="en-US"/>
        </w:rPr>
        <w:t xml:space="preserve"> القائمة من خلال عقد حلقات عمل إقليمية، </w:t>
      </w:r>
      <w:r w:rsidR="00C52FBA">
        <w:rPr>
          <w:rFonts w:cs="Simplified Arabic" w:hint="cs"/>
          <w:rtl/>
          <w:lang w:val="en-US"/>
        </w:rPr>
        <w:t xml:space="preserve">من أجل </w:t>
      </w:r>
      <w:r w:rsidR="00903CA7" w:rsidRPr="0036689A">
        <w:rPr>
          <w:rFonts w:cs="Simplified Arabic"/>
          <w:rtl/>
          <w:lang w:val="en-US"/>
        </w:rPr>
        <w:t>دعم تقييم مخاطر الكائنات الحية المحورة</w:t>
      </w:r>
      <w:r w:rsidRPr="0036689A">
        <w:rPr>
          <w:rFonts w:cs="Simplified Arabic" w:hint="cs"/>
          <w:rtl/>
          <w:lang w:val="en-US"/>
        </w:rPr>
        <w:t xml:space="preserve">، </w:t>
      </w:r>
      <w:r w:rsidRPr="0036689A">
        <w:rPr>
          <w:rFonts w:cs="Simplified Arabic"/>
          <w:rtl/>
          <w:lang w:val="en-US"/>
        </w:rPr>
        <w:t xml:space="preserve">بالتعاون مع المبادرات والشراكات ذات الصلة، حسب الاقتضاء، وضمان التمثيل </w:t>
      </w:r>
      <w:r w:rsidR="00C52FBA">
        <w:rPr>
          <w:rFonts w:cs="Simplified Arabic" w:hint="cs"/>
          <w:rtl/>
          <w:lang w:val="en-US"/>
        </w:rPr>
        <w:t>المنصف</w:t>
      </w:r>
      <w:r w:rsidRPr="0036689A">
        <w:rPr>
          <w:rFonts w:cs="Simplified Arabic"/>
          <w:rtl/>
          <w:lang w:val="en-US"/>
        </w:rPr>
        <w:t xml:space="preserve"> لجميع الأطراف من البلدان النامية</w:t>
      </w:r>
      <w:r w:rsidR="00903CA7" w:rsidRPr="0036689A">
        <w:rPr>
          <w:rFonts w:cs="Simplified Arabic"/>
          <w:rtl/>
          <w:lang w:val="en-US"/>
        </w:rPr>
        <w:t>؛</w:t>
      </w:r>
    </w:p>
    <w:p w14:paraId="73D525B9" w14:textId="635B48B2" w:rsidR="0036689A" w:rsidRDefault="00B5754B" w:rsidP="0036689A">
      <w:pPr>
        <w:tabs>
          <w:tab w:val="left" w:pos="720"/>
        </w:tabs>
        <w:bidi/>
        <w:spacing w:before="120" w:line="216" w:lineRule="auto"/>
        <w:ind w:left="1440" w:firstLine="720"/>
        <w:rPr>
          <w:rFonts w:cs="Simplified Arabic"/>
          <w:rtl/>
          <w:lang w:val="en-US"/>
        </w:rPr>
      </w:pPr>
      <w:r w:rsidRPr="0036689A">
        <w:rPr>
          <w:rFonts w:cs="Simplified Arabic" w:hint="cs"/>
          <w:rtl/>
          <w:lang w:val="en-US"/>
        </w:rPr>
        <w:t>(ه)</w:t>
      </w:r>
      <w:r w:rsidRPr="0036689A">
        <w:rPr>
          <w:rFonts w:cs="Simplified Arabic"/>
          <w:rtl/>
          <w:lang w:val="en-US"/>
        </w:rPr>
        <w:tab/>
        <w:t xml:space="preserve">مواصلة جمع الخبرات وتقييم مدى إمكانية تطبيق </w:t>
      </w:r>
      <w:r w:rsidR="00C52FBA">
        <w:rPr>
          <w:rFonts w:cs="Simplified Arabic" w:hint="cs"/>
          <w:rtl/>
          <w:lang w:val="en-US"/>
        </w:rPr>
        <w:t>المواد الإرشادية</w:t>
      </w:r>
      <w:r w:rsidRPr="0036689A">
        <w:rPr>
          <w:rFonts w:cs="Simplified Arabic"/>
          <w:rtl/>
          <w:lang w:val="en-US"/>
        </w:rPr>
        <w:t xml:space="preserve"> الطوعية الإضافية</w:t>
      </w:r>
      <w:r w:rsidRPr="0036689A">
        <w:rPr>
          <w:rFonts w:cs="Simplified Arabic" w:hint="cs"/>
          <w:rtl/>
          <w:lang w:val="en-US"/>
        </w:rPr>
        <w:t xml:space="preserve"> وجدواها</w:t>
      </w:r>
      <w:r w:rsidRPr="0036689A">
        <w:rPr>
          <w:rFonts w:cs="Simplified Arabic"/>
          <w:rtl/>
          <w:lang w:val="en-US"/>
        </w:rPr>
        <w:t xml:space="preserve"> </w:t>
      </w:r>
      <w:r w:rsidR="00C52FBA">
        <w:rPr>
          <w:rFonts w:cs="Simplified Arabic" w:hint="cs"/>
          <w:rtl/>
          <w:lang w:val="en-US"/>
        </w:rPr>
        <w:t>ل</w:t>
      </w:r>
      <w:r w:rsidRPr="0036689A">
        <w:rPr>
          <w:rFonts w:cs="Simplified Arabic"/>
          <w:rtl/>
          <w:lang w:val="en-US"/>
        </w:rPr>
        <w:t xml:space="preserve">دعم تقييم </w:t>
      </w:r>
      <w:r w:rsidRPr="0036689A">
        <w:rPr>
          <w:rFonts w:cs="Simplified Arabic" w:hint="cs"/>
          <w:rtl/>
          <w:lang w:val="en-US"/>
        </w:rPr>
        <w:t>مخاطر الكائنات الحية المحورة</w:t>
      </w:r>
      <w:r w:rsidRPr="0036689A">
        <w:rPr>
          <w:rFonts w:cs="Simplified Arabic"/>
          <w:rtl/>
          <w:lang w:val="en-US"/>
        </w:rPr>
        <w:t xml:space="preserve"> التي تحتوي على محركات الجينات</w:t>
      </w:r>
      <w:r w:rsidRPr="00B5754B">
        <w:rPr>
          <w:rFonts w:cs="Simplified Arabic"/>
          <w:rtl/>
          <w:lang w:val="en-US"/>
        </w:rPr>
        <w:t xml:space="preserve"> المعدلة</w:t>
      </w:r>
      <w:r w:rsidR="0036689A">
        <w:rPr>
          <w:rFonts w:cs="Simplified Arabic" w:hint="cs"/>
          <w:rtl/>
          <w:lang w:val="en-US"/>
        </w:rPr>
        <w:t xml:space="preserve"> هندسيا</w:t>
      </w:r>
      <w:r w:rsidRPr="00B5754B">
        <w:rPr>
          <w:rFonts w:cs="Simplified Arabic"/>
          <w:rtl/>
          <w:lang w:val="en-US"/>
        </w:rPr>
        <w:t xml:space="preserve"> على أساس كل حالة على حدة</w:t>
      </w:r>
      <w:r>
        <w:rPr>
          <w:rFonts w:cs="Simplified Arabic" w:hint="cs"/>
          <w:rtl/>
          <w:lang w:val="en-US"/>
        </w:rPr>
        <w:t>،</w:t>
      </w:r>
      <w:r w:rsidR="00C978EB" w:rsidRPr="004C0D37">
        <w:rPr>
          <w:rStyle w:val="FootnoteReference"/>
          <w:rFonts w:cs="Simplified Arabic"/>
          <w:u w:val="none"/>
          <w:vertAlign w:val="superscript"/>
          <w:rtl/>
          <w:lang w:val="en-US"/>
        </w:rPr>
        <w:footnoteReference w:id="9"/>
      </w:r>
      <w:r w:rsidRPr="00B5754B">
        <w:rPr>
          <w:rFonts w:cs="Simplified Arabic"/>
          <w:rtl/>
          <w:lang w:val="en-US"/>
        </w:rPr>
        <w:t xml:space="preserve"> وإتاح</w:t>
      </w:r>
      <w:r>
        <w:rPr>
          <w:rFonts w:cs="Simplified Arabic" w:hint="cs"/>
          <w:rtl/>
          <w:lang w:val="en-US"/>
        </w:rPr>
        <w:t>ة هذه الخبرات</w:t>
      </w:r>
      <w:r w:rsidRPr="00B5754B">
        <w:rPr>
          <w:rFonts w:cs="Simplified Arabic"/>
          <w:rtl/>
          <w:lang w:val="en-US"/>
        </w:rPr>
        <w:t xml:space="preserve"> من خلال </w:t>
      </w:r>
      <w:r>
        <w:rPr>
          <w:rFonts w:cs="Simplified Arabic" w:hint="cs"/>
          <w:rtl/>
          <w:lang w:val="en-US"/>
        </w:rPr>
        <w:t>غرفة</w:t>
      </w:r>
      <w:r w:rsidRPr="00B5754B">
        <w:rPr>
          <w:rFonts w:cs="Simplified Arabic"/>
          <w:rtl/>
          <w:lang w:val="en-US"/>
        </w:rPr>
        <w:t xml:space="preserve"> تبادل معلومات السلامة </w:t>
      </w:r>
      <w:r>
        <w:rPr>
          <w:rFonts w:cs="Simplified Arabic" w:hint="cs"/>
          <w:rtl/>
          <w:lang w:val="en-US"/>
        </w:rPr>
        <w:t>الأحيائية</w:t>
      </w:r>
      <w:r w:rsidRPr="00B5754B">
        <w:rPr>
          <w:rFonts w:cs="Simplified Arabic"/>
          <w:rtl/>
          <w:lang w:val="en-US"/>
        </w:rPr>
        <w:t>؛</w:t>
      </w:r>
    </w:p>
    <w:p w14:paraId="7CF0219A" w14:textId="6A936540" w:rsidR="00903CA7" w:rsidRDefault="0036689A" w:rsidP="0036689A">
      <w:pPr>
        <w:tabs>
          <w:tab w:val="left" w:pos="720"/>
        </w:tabs>
        <w:bidi/>
        <w:spacing w:before="120" w:line="216" w:lineRule="auto"/>
        <w:ind w:left="1440" w:firstLine="720"/>
        <w:rPr>
          <w:rFonts w:cs="Simplified Arabic"/>
          <w:lang w:val="en-US"/>
        </w:rPr>
      </w:pPr>
      <w:r>
        <w:rPr>
          <w:rFonts w:cs="Simplified Arabic" w:hint="cs"/>
          <w:rtl/>
          <w:lang w:val="en-US"/>
        </w:rPr>
        <w:t>[13-</w:t>
      </w:r>
      <w:r>
        <w:rPr>
          <w:rFonts w:cs="Simplified Arabic"/>
          <w:rtl/>
          <w:lang w:val="en-US"/>
        </w:rPr>
        <w:tab/>
      </w:r>
      <w:r w:rsidR="00903CA7" w:rsidRPr="00C437A5">
        <w:rPr>
          <w:rFonts w:cs="Simplified Arabic" w:hint="cs"/>
          <w:i/>
          <w:iCs/>
          <w:rtl/>
          <w:lang w:val="en-US"/>
        </w:rPr>
        <w:t xml:space="preserve">يطلب </w:t>
      </w:r>
      <w:r w:rsidR="00903CA7" w:rsidRPr="00C52FBA">
        <w:rPr>
          <w:rFonts w:cs="Simplified Arabic" w:hint="cs"/>
          <w:rtl/>
          <w:lang w:val="en-US"/>
        </w:rPr>
        <w:t>إلى</w:t>
      </w:r>
      <w:r w:rsidR="00903CA7" w:rsidRPr="00C437A5">
        <w:rPr>
          <w:rFonts w:cs="Simplified Arabic" w:hint="cs"/>
          <w:i/>
          <w:iCs/>
          <w:rtl/>
          <w:lang w:val="en-US"/>
        </w:rPr>
        <w:t xml:space="preserve"> </w:t>
      </w:r>
      <w:r w:rsidR="00903CA7" w:rsidRPr="00C437A5">
        <w:rPr>
          <w:rFonts w:cs="Simplified Arabic" w:hint="cs"/>
          <w:rtl/>
          <w:lang w:val="en-US"/>
        </w:rPr>
        <w:t xml:space="preserve">الهيئة </w:t>
      </w:r>
      <w:r w:rsidR="00903CA7" w:rsidRPr="00C437A5">
        <w:rPr>
          <w:rFonts w:cs="Simplified Arabic"/>
          <w:rtl/>
          <w:lang w:val="en-US"/>
        </w:rPr>
        <w:t xml:space="preserve">الفرعية للمشورة العلمية والتقنية والتكنولوجية أن تنظر في نتائج اجتماع فريق الخبراء التقنيين المخصص المعني بتقييم المخاطر خلال اجتماع يُعقد قبل الاجتماع الثالث عشر لمؤتمر الأطراف العامل كاجتماع للأطراف في بروتوكول قرطاجنة، وأن تقدم توصيات إلى مؤتمر الأطراف العامل كاجتماع للأطراف في </w:t>
      </w:r>
      <w:r>
        <w:rPr>
          <w:rFonts w:cs="Simplified Arabic" w:hint="cs"/>
          <w:rtl/>
          <w:lang w:val="en-US"/>
        </w:rPr>
        <w:t>البروتوكول لكي ينظر فيها في اجتماعه الثالث عشر</w:t>
      </w:r>
      <w:r w:rsidR="00903CA7" w:rsidRPr="00C437A5">
        <w:rPr>
          <w:rFonts w:cs="Simplified Arabic"/>
          <w:rtl/>
          <w:lang w:val="en-US"/>
        </w:rPr>
        <w:t>.</w:t>
      </w:r>
      <w:r>
        <w:rPr>
          <w:rFonts w:cs="Simplified Arabic" w:hint="cs"/>
          <w:rtl/>
          <w:lang w:val="en-US"/>
        </w:rPr>
        <w:t>]</w:t>
      </w:r>
    </w:p>
    <w:p w14:paraId="33A029F5" w14:textId="23A29D68" w:rsidR="00C978EB" w:rsidRPr="00C437A5" w:rsidRDefault="00C978EB" w:rsidP="00C978EB">
      <w:pPr>
        <w:tabs>
          <w:tab w:val="left" w:pos="720"/>
        </w:tabs>
        <w:bidi/>
        <w:spacing w:before="120" w:line="216" w:lineRule="auto"/>
        <w:ind w:left="720" w:firstLine="720"/>
        <w:rPr>
          <w:rFonts w:cs="Simplified Arabic"/>
          <w:lang w:val="en-US"/>
        </w:rPr>
      </w:pPr>
      <w:r>
        <w:rPr>
          <w:rFonts w:cs="Simplified Arabic" w:hint="cs"/>
          <w:rtl/>
          <w:lang w:val="en-US"/>
        </w:rPr>
        <w:t>[</w:t>
      </w:r>
    </w:p>
    <w:p w14:paraId="234612B9" w14:textId="77777777" w:rsidR="00903CA7" w:rsidRPr="002E06BE" w:rsidRDefault="00903CA7" w:rsidP="00593B50">
      <w:pPr>
        <w:keepNext/>
        <w:tabs>
          <w:tab w:val="left" w:pos="720"/>
        </w:tabs>
        <w:bidi/>
        <w:spacing w:before="120" w:line="216" w:lineRule="auto"/>
        <w:ind w:left="1440"/>
        <w:rPr>
          <w:rFonts w:cs="Simplified Arabic"/>
          <w:b/>
          <w:bCs/>
          <w:rtl/>
          <w:lang w:val="en-US"/>
        </w:rPr>
      </w:pPr>
      <w:r w:rsidRPr="002E06BE">
        <w:rPr>
          <w:rFonts w:cs="Simplified Arabic" w:hint="cs"/>
          <w:b/>
          <w:bCs/>
          <w:rtl/>
          <w:lang w:val="en-US"/>
        </w:rPr>
        <w:t>مرفق</w:t>
      </w:r>
    </w:p>
    <w:p w14:paraId="52490DC3" w14:textId="77777777" w:rsidR="00903CA7" w:rsidRPr="002E06BE" w:rsidRDefault="00903CA7" w:rsidP="00593B50">
      <w:pPr>
        <w:keepNext/>
        <w:tabs>
          <w:tab w:val="left" w:pos="720"/>
        </w:tabs>
        <w:bidi/>
        <w:spacing w:before="120" w:line="216" w:lineRule="auto"/>
        <w:ind w:left="1440"/>
        <w:rPr>
          <w:rFonts w:cs="Simplified Arabic"/>
          <w:b/>
          <w:bCs/>
          <w:rtl/>
          <w:lang w:val="en-US"/>
        </w:rPr>
      </w:pPr>
      <w:r w:rsidRPr="002E06BE">
        <w:rPr>
          <w:rFonts w:cs="Simplified Arabic" w:hint="cs"/>
          <w:b/>
          <w:bCs/>
          <w:rtl/>
          <w:lang w:val="en-US"/>
        </w:rPr>
        <w:t>اختصاصات فريق الخبراء التقنيين المخصص المعني بتقييم المخاطر</w:t>
      </w:r>
    </w:p>
    <w:p w14:paraId="57A1C16A" w14:textId="77777777" w:rsidR="00903CA7" w:rsidRPr="00C437A5" w:rsidRDefault="00903CA7" w:rsidP="00593B50">
      <w:pPr>
        <w:pStyle w:val="ListParagraph"/>
        <w:numPr>
          <w:ilvl w:val="0"/>
          <w:numId w:val="42"/>
        </w:numPr>
        <w:tabs>
          <w:tab w:val="left" w:pos="720"/>
        </w:tabs>
        <w:bidi/>
        <w:spacing w:before="120" w:line="216" w:lineRule="auto"/>
        <w:ind w:left="1440" w:firstLine="0"/>
        <w:contextualSpacing w:val="0"/>
        <w:rPr>
          <w:rFonts w:cs="Simplified Arabic"/>
          <w:lang w:val="en-US"/>
        </w:rPr>
      </w:pPr>
      <w:r w:rsidRPr="00C437A5">
        <w:rPr>
          <w:rFonts w:cs="Simplified Arabic" w:hint="cs"/>
          <w:rtl/>
          <w:lang w:val="en-US"/>
        </w:rPr>
        <w:t>تشمل اختصاصات فريق الخبراء التقنيين المخصص المعني بتقييم المخاطر بما يلي:</w:t>
      </w:r>
    </w:p>
    <w:p w14:paraId="7385D599" w14:textId="7C6C5310" w:rsidR="00903CA7" w:rsidRPr="00C437A5" w:rsidRDefault="00903CA7" w:rsidP="00593B50">
      <w:pPr>
        <w:pStyle w:val="ListParagraph"/>
        <w:numPr>
          <w:ilvl w:val="0"/>
          <w:numId w:val="43"/>
        </w:numPr>
        <w:tabs>
          <w:tab w:val="left" w:pos="720"/>
        </w:tabs>
        <w:bidi/>
        <w:spacing w:before="120" w:line="216" w:lineRule="auto"/>
        <w:ind w:firstLine="720"/>
        <w:contextualSpacing w:val="0"/>
        <w:rPr>
          <w:rFonts w:cs="Simplified Arabic"/>
          <w:lang w:val="en-US"/>
        </w:rPr>
      </w:pPr>
      <w:r w:rsidRPr="00C437A5">
        <w:rPr>
          <w:rFonts w:cs="Simplified Arabic"/>
          <w:rtl/>
          <w:lang w:val="en-US"/>
        </w:rPr>
        <w:lastRenderedPageBreak/>
        <w:t>يتألف</w:t>
      </w:r>
      <w:r w:rsidRPr="00C437A5">
        <w:rPr>
          <w:rFonts w:cs="Simplified Arabic" w:hint="cs"/>
          <w:rtl/>
          <w:lang w:val="en-US"/>
        </w:rPr>
        <w:t xml:space="preserve"> الفريق</w:t>
      </w:r>
      <w:r w:rsidRPr="00C437A5">
        <w:rPr>
          <w:rFonts w:cs="Simplified Arabic"/>
          <w:rtl/>
          <w:lang w:val="en-US"/>
        </w:rPr>
        <w:t xml:space="preserve"> من خبراء، يتم اختيارهم وفقا </w:t>
      </w:r>
      <w:r w:rsidR="005B27DA">
        <w:rPr>
          <w:rFonts w:cs="Simplified Arabic" w:hint="cs"/>
          <w:rtl/>
          <w:lang w:val="en-US"/>
        </w:rPr>
        <w:t>للقسم</w:t>
      </w:r>
      <w:r w:rsidRPr="00C437A5">
        <w:rPr>
          <w:rFonts w:cs="Simplified Arabic"/>
          <w:rtl/>
          <w:lang w:val="en-US"/>
        </w:rPr>
        <w:t xml:space="preserve"> حاء من طريقة </w:t>
      </w:r>
      <w:r w:rsidR="005B27DA">
        <w:rPr>
          <w:rFonts w:cs="Simplified Arabic" w:hint="cs"/>
          <w:rtl/>
          <w:lang w:val="en-US"/>
        </w:rPr>
        <w:t>التشغيل</w:t>
      </w:r>
      <w:r w:rsidRPr="00C437A5">
        <w:rPr>
          <w:rFonts w:cs="Simplified Arabic"/>
          <w:rtl/>
          <w:lang w:val="en-US"/>
        </w:rPr>
        <w:t xml:space="preserve"> الموحدة للهيئة الفرعية للمشورة العلمية والتقنية والتكنولوجية،</w:t>
      </w:r>
      <w:r w:rsidRPr="00C437A5">
        <w:rPr>
          <w:rStyle w:val="FootnoteReference"/>
          <w:rFonts w:cs="Simplified Arabic"/>
          <w:sz w:val="22"/>
          <w:u w:val="none"/>
          <w:vertAlign w:val="superscript"/>
          <w:rtl/>
          <w:lang w:val="en-US"/>
        </w:rPr>
        <w:footnoteReference w:id="10"/>
      </w:r>
      <w:r w:rsidRPr="00C437A5">
        <w:rPr>
          <w:rFonts w:cs="Simplified Arabic"/>
          <w:rtl/>
          <w:lang w:val="en-US"/>
        </w:rPr>
        <w:t xml:space="preserve"> من ذوي الخبرة العلمية والتقنية المحددة ذات الصلة بالولاية الحالية، ويضم خبراء من الأوساط الأكاديمية والمنظمات الدولية ذات الصلة والشعوب الأصلية والمجتمعات المحلية</w:t>
      </w:r>
      <w:r w:rsidR="00C978EB">
        <w:rPr>
          <w:rFonts w:cs="Simplified Arabic" w:hint="cs"/>
          <w:rtl/>
          <w:lang w:val="en-US"/>
        </w:rPr>
        <w:t xml:space="preserve"> والنساء والشباب</w:t>
      </w:r>
      <w:r w:rsidRPr="00C437A5">
        <w:rPr>
          <w:rFonts w:cs="Simplified Arabic"/>
          <w:rtl/>
          <w:lang w:val="en-US"/>
        </w:rPr>
        <w:t>، بما يتماشى مع المقرر</w:t>
      </w:r>
      <w:r w:rsidRPr="00C437A5">
        <w:rPr>
          <w:rFonts w:cs="Simplified Arabic" w:hint="cs"/>
          <w:rtl/>
          <w:lang w:val="en-US"/>
        </w:rPr>
        <w:t> </w:t>
      </w:r>
      <w:hyperlink r:id="rId15" w:history="1">
        <w:r w:rsidRPr="00D37094">
          <w:rPr>
            <w:rStyle w:val="Hyperlink"/>
            <w:rFonts w:cs="Simplified Arabic"/>
            <w:rtl/>
            <w:lang w:val="en-US"/>
          </w:rPr>
          <w:t>14/33</w:t>
        </w:r>
      </w:hyperlink>
      <w:r w:rsidRPr="00C437A5">
        <w:rPr>
          <w:rFonts w:cs="Simplified Arabic"/>
          <w:rtl/>
          <w:lang w:val="en-US"/>
        </w:rPr>
        <w:t xml:space="preserve"> المؤرخ 29 نوفمبر/تشرين الثاني 2018 بشأن إجراءات تجنب أو إدارة تضارب المصالح في أفرقة الخبراء، بصيغته المعدلة في المقرر </w:t>
      </w:r>
      <w:hyperlink r:id="rId16" w:history="1">
        <w:r w:rsidRPr="00D37094">
          <w:rPr>
            <w:rStyle w:val="Hyperlink"/>
            <w:rFonts w:cs="Simplified Arabic"/>
            <w:lang w:val="en-US"/>
          </w:rPr>
          <w:t>CP-11/6</w:t>
        </w:r>
      </w:hyperlink>
      <w:r w:rsidRPr="00C437A5">
        <w:rPr>
          <w:rFonts w:cs="Simplified Arabic"/>
          <w:rtl/>
          <w:lang w:val="en-US"/>
        </w:rPr>
        <w:t xml:space="preserve"> المؤرخ 1 نوفمبر/تشرين الثاني 2024؛</w:t>
      </w:r>
    </w:p>
    <w:p w14:paraId="70604378" w14:textId="77777777" w:rsidR="00903CA7" w:rsidRPr="00C437A5" w:rsidRDefault="00903CA7" w:rsidP="00593B50">
      <w:pPr>
        <w:pStyle w:val="ListParagraph"/>
        <w:numPr>
          <w:ilvl w:val="0"/>
          <w:numId w:val="43"/>
        </w:numPr>
        <w:tabs>
          <w:tab w:val="left" w:pos="720"/>
        </w:tabs>
        <w:bidi/>
        <w:spacing w:before="120" w:line="216" w:lineRule="auto"/>
        <w:ind w:firstLine="720"/>
        <w:contextualSpacing w:val="0"/>
        <w:rPr>
          <w:rFonts w:cs="Simplified Arabic"/>
          <w:lang w:val="en-US"/>
        </w:rPr>
      </w:pPr>
      <w:r w:rsidRPr="00C437A5">
        <w:rPr>
          <w:rFonts w:cs="Simplified Arabic"/>
          <w:rtl/>
          <w:lang w:val="en-US"/>
        </w:rPr>
        <w:t>يعقد</w:t>
      </w:r>
      <w:r w:rsidRPr="00C437A5">
        <w:rPr>
          <w:rFonts w:cs="Simplified Arabic" w:hint="cs"/>
          <w:rtl/>
          <w:lang w:val="en-US"/>
        </w:rPr>
        <w:t xml:space="preserve"> الفريق</w:t>
      </w:r>
      <w:r w:rsidRPr="00C437A5">
        <w:rPr>
          <w:rFonts w:cs="Simplified Arabic"/>
          <w:rtl/>
          <w:lang w:val="en-US"/>
        </w:rPr>
        <w:t>، رهنا بتوافر الأموال، اجتماعين على الأقل، يكون أحدهما بالحضور الشخصي قبل الاجتماع الثالث عشر لمؤتمر الأطراف العامل كاجتماع للأطراف في بروتوكول قرطاجنة للسلامة الأحيائية،</w:t>
      </w:r>
      <w:r w:rsidRPr="00C437A5">
        <w:rPr>
          <w:rStyle w:val="FootnoteReference"/>
          <w:rFonts w:cs="Simplified Arabic"/>
          <w:sz w:val="22"/>
          <w:u w:val="none"/>
          <w:vertAlign w:val="superscript"/>
          <w:rtl/>
          <w:lang w:val="en-US"/>
        </w:rPr>
        <w:footnoteReference w:id="11"/>
      </w:r>
      <w:r w:rsidRPr="00C437A5">
        <w:rPr>
          <w:rFonts w:cs="Simplified Arabic"/>
          <w:rtl/>
          <w:lang w:val="en-US"/>
        </w:rPr>
        <w:t xml:space="preserve"> ويضطلع بأي مهام ضرورية بين الاجتماعين عن طريق وسائل الاتصال والمشاركة عبر الإنترنت؛</w:t>
      </w:r>
      <w:r>
        <w:rPr>
          <w:rFonts w:cs="Simplified Arabic" w:hint="cs"/>
          <w:rtl/>
          <w:lang w:val="en-US"/>
        </w:rPr>
        <w:t xml:space="preserve"> </w:t>
      </w:r>
    </w:p>
    <w:p w14:paraId="38093A38" w14:textId="5685F691" w:rsidR="00903CA7" w:rsidRPr="00C437A5" w:rsidRDefault="00903CA7" w:rsidP="00593B50">
      <w:pPr>
        <w:pStyle w:val="ListParagraph"/>
        <w:numPr>
          <w:ilvl w:val="0"/>
          <w:numId w:val="43"/>
        </w:numPr>
        <w:tabs>
          <w:tab w:val="left" w:pos="720"/>
        </w:tabs>
        <w:bidi/>
        <w:spacing w:before="120" w:line="216" w:lineRule="auto"/>
        <w:ind w:firstLine="720"/>
        <w:contextualSpacing w:val="0"/>
        <w:rPr>
          <w:rFonts w:cs="Simplified Arabic"/>
          <w:lang w:val="en-US"/>
        </w:rPr>
      </w:pPr>
      <w:r w:rsidRPr="00C437A5">
        <w:rPr>
          <w:rFonts w:cs="Simplified Arabic"/>
          <w:rtl/>
          <w:lang w:val="en-US"/>
        </w:rPr>
        <w:t>يعد</w:t>
      </w:r>
      <w:r w:rsidRPr="00C437A5">
        <w:rPr>
          <w:rFonts w:cs="Simplified Arabic" w:hint="cs"/>
          <w:rtl/>
          <w:lang w:val="en-US"/>
        </w:rPr>
        <w:t xml:space="preserve"> الفريق</w:t>
      </w:r>
      <w:r w:rsidRPr="00C437A5">
        <w:rPr>
          <w:rFonts w:cs="Simplified Arabic"/>
          <w:rtl/>
          <w:lang w:val="en-US"/>
        </w:rPr>
        <w:t xml:space="preserve"> مشروع مواد إرشادية طوعية إضافية بشأن الكائنات الحية الدقيقة المحورة</w:t>
      </w:r>
      <w:r w:rsidR="00C978EB" w:rsidRPr="00C978EB">
        <w:rPr>
          <w:rFonts w:cs="Simplified Arabic"/>
          <w:rtl/>
          <w:lang w:val="en-US"/>
        </w:rPr>
        <w:t xml:space="preserve"> </w:t>
      </w:r>
      <w:r w:rsidR="00C978EB" w:rsidRPr="00C437A5">
        <w:rPr>
          <w:rFonts w:cs="Simplified Arabic"/>
          <w:rtl/>
          <w:lang w:val="en-US"/>
        </w:rPr>
        <w:t>والأسماك الحية المحورة</w:t>
      </w:r>
      <w:r w:rsidR="00C978EB">
        <w:rPr>
          <w:rFonts w:cs="Simplified Arabic" w:hint="cs"/>
          <w:rtl/>
          <w:lang w:val="en-US"/>
        </w:rPr>
        <w:t xml:space="preserve">، وفقا للمرفق الثالث لبروتوكول قرطاجنة، مع مراعاة النُهج إزاء تقييم المخاطر، المحددة في </w:t>
      </w:r>
      <w:r w:rsidR="005B27DA">
        <w:rPr>
          <w:rFonts w:cs="Simplified Arabic" w:hint="cs"/>
          <w:rtl/>
          <w:lang w:val="en-US" w:bidi="ar-EG"/>
        </w:rPr>
        <w:t>المواد الإرشادية</w:t>
      </w:r>
      <w:r w:rsidR="00C978EB">
        <w:rPr>
          <w:rFonts w:cs="Simplified Arabic" w:hint="cs"/>
          <w:rtl/>
          <w:lang w:val="en-US"/>
        </w:rPr>
        <w:t xml:space="preserve"> الطوعية الإضافية </w:t>
      </w:r>
      <w:r w:rsidR="00C978EB" w:rsidRPr="0036689A">
        <w:rPr>
          <w:rFonts w:cs="Simplified Arabic"/>
          <w:rtl/>
          <w:lang w:val="en-US"/>
        </w:rPr>
        <w:t xml:space="preserve">لدعم تقييم </w:t>
      </w:r>
      <w:r w:rsidR="00C978EB" w:rsidRPr="0036689A">
        <w:rPr>
          <w:rFonts w:cs="Simplified Arabic" w:hint="cs"/>
          <w:rtl/>
          <w:lang w:val="en-US"/>
        </w:rPr>
        <w:t>مخاطر الكائنات الحية المحورة</w:t>
      </w:r>
      <w:r w:rsidR="00C978EB" w:rsidRPr="0036689A">
        <w:rPr>
          <w:rFonts w:cs="Simplified Arabic"/>
          <w:rtl/>
          <w:lang w:val="en-US"/>
        </w:rPr>
        <w:t xml:space="preserve"> التي تحتوي على محركات الجينات</w:t>
      </w:r>
      <w:r w:rsidR="00C978EB" w:rsidRPr="00B5754B">
        <w:rPr>
          <w:rFonts w:cs="Simplified Arabic"/>
          <w:rtl/>
          <w:lang w:val="en-US"/>
        </w:rPr>
        <w:t xml:space="preserve"> المعدلة</w:t>
      </w:r>
      <w:r w:rsidR="00C978EB">
        <w:rPr>
          <w:rFonts w:cs="Simplified Arabic" w:hint="cs"/>
          <w:rtl/>
          <w:lang w:val="en-US"/>
        </w:rPr>
        <w:t xml:space="preserve"> هندسيا</w:t>
      </w:r>
      <w:r w:rsidR="00C978EB" w:rsidRPr="00B5754B">
        <w:rPr>
          <w:rFonts w:cs="Simplified Arabic"/>
          <w:rtl/>
          <w:lang w:val="en-US"/>
        </w:rPr>
        <w:t xml:space="preserve"> على أساس كل حالة على حدة</w:t>
      </w:r>
      <w:r w:rsidR="00C978EB" w:rsidRPr="004C0D37">
        <w:rPr>
          <w:rStyle w:val="FootnoteReference"/>
          <w:rFonts w:cs="Simplified Arabic"/>
          <w:u w:val="none"/>
          <w:vertAlign w:val="superscript"/>
          <w:rtl/>
          <w:lang w:val="en-US"/>
        </w:rPr>
        <w:footnoteReference w:id="12"/>
      </w:r>
      <w:r w:rsidR="00C978EB">
        <w:rPr>
          <w:rFonts w:cs="Simplified Arabic" w:hint="cs"/>
          <w:rtl/>
          <w:lang w:val="en-US"/>
        </w:rPr>
        <w:t xml:space="preserve"> وتجنب الازدواجية مع </w:t>
      </w:r>
      <w:r w:rsidR="005B27DA">
        <w:rPr>
          <w:rFonts w:cs="Simplified Arabic" w:hint="cs"/>
          <w:rtl/>
          <w:lang w:val="en-US" w:bidi="ar-EG"/>
        </w:rPr>
        <w:t>المواد الإرشادية</w:t>
      </w:r>
      <w:r w:rsidR="005B27DA">
        <w:rPr>
          <w:rFonts w:cs="Simplified Arabic" w:hint="cs"/>
          <w:rtl/>
          <w:lang w:val="en-US"/>
        </w:rPr>
        <w:t xml:space="preserve"> </w:t>
      </w:r>
      <w:r w:rsidR="00C978EB">
        <w:rPr>
          <w:rFonts w:cs="Simplified Arabic" w:hint="cs"/>
          <w:rtl/>
          <w:lang w:val="en-US"/>
        </w:rPr>
        <w:t>القائمة</w:t>
      </w:r>
      <w:r w:rsidRPr="00C437A5">
        <w:rPr>
          <w:rFonts w:cs="Simplified Arabic"/>
          <w:rtl/>
          <w:lang w:val="en-US"/>
        </w:rPr>
        <w:t xml:space="preserve">، لكي تنظر فيها الهيئة الفرعية في اجتماع يُعقد قبل الاجتماع الثالث عشر لمؤتمر الأطراف العامل كاجتماع للأطراف في </w:t>
      </w:r>
      <w:r w:rsidR="005B27DA">
        <w:rPr>
          <w:rFonts w:cs="Simplified Arabic" w:hint="cs"/>
          <w:rtl/>
          <w:lang w:val="en-US"/>
        </w:rPr>
        <w:t>ال</w:t>
      </w:r>
      <w:r w:rsidRPr="00C437A5">
        <w:rPr>
          <w:rFonts w:cs="Simplified Arabic"/>
          <w:rtl/>
          <w:lang w:val="en-US"/>
        </w:rPr>
        <w:t>بروتوكول؛</w:t>
      </w:r>
    </w:p>
    <w:p w14:paraId="7D46EBF9" w14:textId="788F0C5E" w:rsidR="005B27DA" w:rsidRDefault="005B27DA" w:rsidP="005B27DA">
      <w:pPr>
        <w:tabs>
          <w:tab w:val="left" w:pos="720"/>
        </w:tabs>
        <w:bidi/>
        <w:spacing w:before="120" w:line="216" w:lineRule="auto"/>
        <w:ind w:left="1422" w:firstLine="738"/>
        <w:rPr>
          <w:rFonts w:cs="Simplified Arabic"/>
          <w:rtl/>
          <w:lang w:val="en-US"/>
        </w:rPr>
      </w:pPr>
      <w:r>
        <w:rPr>
          <w:rFonts w:cs="Simplified Arabic" w:hint="cs"/>
          <w:rtl/>
          <w:lang w:val="en-US"/>
        </w:rPr>
        <w:t>(د)</w:t>
      </w:r>
      <w:r>
        <w:rPr>
          <w:rFonts w:cs="Simplified Arabic"/>
          <w:rtl/>
          <w:lang w:val="en-US"/>
        </w:rPr>
        <w:tab/>
      </w:r>
      <w:r>
        <w:rPr>
          <w:rFonts w:cs="Simplified Arabic" w:hint="cs"/>
          <w:rtl/>
          <w:lang w:val="en-US"/>
        </w:rPr>
        <w:t>[يعد مشروع</w:t>
      </w:r>
      <w:r w:rsidRPr="005B27DA">
        <w:rPr>
          <w:rFonts w:cs="Simplified Arabic"/>
          <w:rtl/>
          <w:lang w:val="en-US"/>
        </w:rPr>
        <w:t xml:space="preserve"> مذكرات تقنية</w:t>
      </w:r>
      <w:r w:rsidRPr="00C437A5">
        <w:rPr>
          <w:rStyle w:val="FootnoteReference"/>
          <w:rFonts w:cs="Simplified Arabic"/>
          <w:sz w:val="22"/>
          <w:u w:val="none"/>
          <w:vertAlign w:val="superscript"/>
          <w:rtl/>
          <w:lang w:val="en-US"/>
        </w:rPr>
        <w:footnoteReference w:id="13"/>
      </w:r>
      <w:r w:rsidRPr="005B27DA">
        <w:rPr>
          <w:rFonts w:cs="Simplified Arabic"/>
          <w:rtl/>
          <w:lang w:val="en-US"/>
        </w:rPr>
        <w:t xml:space="preserve"> للاستخدام الطوعي ل</w:t>
      </w:r>
      <w:r>
        <w:rPr>
          <w:rFonts w:cs="Simplified Arabic" w:hint="cs"/>
          <w:rtl/>
          <w:lang w:val="en-US"/>
        </w:rPr>
        <w:t>موضوعات</w:t>
      </w:r>
      <w:r w:rsidRPr="005B27DA">
        <w:rPr>
          <w:rFonts w:cs="Simplified Arabic"/>
          <w:rtl/>
          <w:lang w:val="en-US"/>
        </w:rPr>
        <w:t xml:space="preserve"> تفعيل أهداف الحماية في </w:t>
      </w:r>
      <w:r w:rsidR="00F10D84" w:rsidRPr="005B27DA">
        <w:rPr>
          <w:rFonts w:cs="Simplified Arabic"/>
          <w:rtl/>
          <w:lang w:val="en-US"/>
        </w:rPr>
        <w:t>نقاط نهاية التقييم والقياس ذات الصلة واستخدام الكائنات الحية المحورة في مراكز المنشأ وفي النظم الزراعية التقليدية</w:t>
      </w:r>
      <w:r w:rsidR="00F10D84">
        <w:rPr>
          <w:rFonts w:cs="Simplified Arabic" w:hint="cs"/>
          <w:rtl/>
          <w:lang w:val="en-US"/>
        </w:rPr>
        <w:t>]</w:t>
      </w:r>
      <w:r w:rsidR="00F10D84" w:rsidRPr="005B27DA">
        <w:rPr>
          <w:rFonts w:cs="Simplified Arabic"/>
          <w:rtl/>
          <w:lang w:val="en-US"/>
        </w:rPr>
        <w:t>،</w:t>
      </w:r>
      <w:r w:rsidR="00F10D84" w:rsidRPr="00C437A5">
        <w:rPr>
          <w:rStyle w:val="FootnoteReference"/>
          <w:rFonts w:cs="Simplified Arabic"/>
          <w:sz w:val="22"/>
          <w:u w:val="none"/>
          <w:vertAlign w:val="superscript"/>
          <w:rtl/>
          <w:lang w:val="en-US"/>
        </w:rPr>
        <w:footnoteReference w:id="14"/>
      </w:r>
      <w:r w:rsidRPr="005B27DA">
        <w:rPr>
          <w:rFonts w:cs="Simplified Arabic"/>
          <w:rtl/>
          <w:lang w:val="en-US"/>
        </w:rPr>
        <w:t xml:space="preserve"> [</w:t>
      </w:r>
      <w:r w:rsidR="00F10D84">
        <w:rPr>
          <w:rFonts w:cs="Simplified Arabic" w:hint="cs"/>
          <w:rtl/>
          <w:lang w:val="en-US"/>
        </w:rPr>
        <w:t>يعد</w:t>
      </w:r>
      <w:r w:rsidRPr="005B27DA">
        <w:rPr>
          <w:rFonts w:cs="Simplified Arabic"/>
          <w:rtl/>
          <w:lang w:val="en-US"/>
        </w:rPr>
        <w:t xml:space="preserve"> إرشادات تكميلية موجزة للاستخدام الطوعي توفر معلومات محددة وواضحة ومركزة </w:t>
      </w:r>
      <w:r w:rsidR="00F10D84">
        <w:rPr>
          <w:rFonts w:cs="Simplified Arabic" w:hint="cs"/>
          <w:rtl/>
          <w:lang w:val="en-US"/>
        </w:rPr>
        <w:t>عن</w:t>
      </w:r>
      <w:r w:rsidRPr="005B27DA">
        <w:rPr>
          <w:rFonts w:cs="Simplified Arabic"/>
          <w:rtl/>
          <w:lang w:val="en-US"/>
        </w:rPr>
        <w:t xml:space="preserve"> [الطحالب الحية </w:t>
      </w:r>
      <w:r>
        <w:rPr>
          <w:rFonts w:cs="Simplified Arabic"/>
          <w:rtl/>
          <w:lang w:val="en-US"/>
        </w:rPr>
        <w:t>المحورة</w:t>
      </w:r>
      <w:r w:rsidRPr="005B27DA">
        <w:rPr>
          <w:rFonts w:cs="Simplified Arabic"/>
          <w:rtl/>
          <w:lang w:val="en-US"/>
        </w:rPr>
        <w:t xml:space="preserve">،] [الأسماك الحية </w:t>
      </w:r>
      <w:r>
        <w:rPr>
          <w:rFonts w:cs="Simplified Arabic"/>
          <w:rtl/>
          <w:lang w:val="en-US"/>
        </w:rPr>
        <w:t>المحورة</w:t>
      </w:r>
      <w:r w:rsidRPr="005B27DA">
        <w:rPr>
          <w:rFonts w:cs="Simplified Arabic"/>
          <w:rtl/>
          <w:lang w:val="en-US"/>
        </w:rPr>
        <w:t xml:space="preserve">،] [الكائنات الحية الدقيقة </w:t>
      </w:r>
      <w:r>
        <w:rPr>
          <w:rFonts w:cs="Simplified Arabic"/>
          <w:rtl/>
          <w:lang w:val="en-US"/>
        </w:rPr>
        <w:t>المحورة</w:t>
      </w:r>
      <w:r w:rsidRPr="005B27DA">
        <w:rPr>
          <w:rFonts w:cs="Simplified Arabic"/>
          <w:rtl/>
          <w:lang w:val="en-US"/>
        </w:rPr>
        <w:t xml:space="preserve">،] [الكائنات الحية </w:t>
      </w:r>
      <w:r>
        <w:rPr>
          <w:rFonts w:cs="Simplified Arabic"/>
          <w:rtl/>
          <w:lang w:val="en-US"/>
        </w:rPr>
        <w:t>المحورة</w:t>
      </w:r>
      <w:r w:rsidRPr="005B27DA">
        <w:rPr>
          <w:rFonts w:cs="Simplified Arabic"/>
          <w:rtl/>
          <w:lang w:val="en-US"/>
        </w:rPr>
        <w:t xml:space="preserve"> التي تعبر عن آلات تحرير الجينوم لمكافحة الآفات أو مسببات الأمراض،] [</w:t>
      </w:r>
      <w:r>
        <w:rPr>
          <w:rFonts w:cs="Simplified Arabic" w:hint="cs"/>
          <w:rtl/>
          <w:lang w:val="en-US"/>
        </w:rPr>
        <w:t>التأثير</w:t>
      </w:r>
      <w:r w:rsidRPr="00415B0F">
        <w:rPr>
          <w:rFonts w:cs="Simplified Arabic"/>
          <w:rtl/>
          <w:lang w:val="en-US"/>
        </w:rPr>
        <w:t>ات الطويلة الأمد والتراكمية للتركيبات الجينية والكائنات الحية المحورة،</w:t>
      </w:r>
      <w:r w:rsidRPr="00415B0F">
        <w:rPr>
          <w:rFonts w:cs="Simplified Arabic" w:hint="cs"/>
          <w:rtl/>
          <w:lang w:val="en-US"/>
        </w:rPr>
        <w:t>]</w:t>
      </w:r>
      <w:r w:rsidRPr="00415B0F">
        <w:rPr>
          <w:rFonts w:cs="Simplified Arabic"/>
          <w:rtl/>
          <w:lang w:val="en-US"/>
        </w:rPr>
        <w:t xml:space="preserve"> </w:t>
      </w:r>
      <w:r w:rsidRPr="00415B0F">
        <w:rPr>
          <w:rFonts w:cs="Simplified Arabic" w:hint="cs"/>
          <w:rtl/>
          <w:lang w:val="en-US"/>
        </w:rPr>
        <w:t>[</w:t>
      </w:r>
      <w:r w:rsidRPr="00415B0F">
        <w:rPr>
          <w:rFonts w:cs="Simplified Arabic"/>
          <w:rtl/>
          <w:lang w:val="en-US"/>
        </w:rPr>
        <w:t>تفعيل أهداف الحماية في نقاط نهاية التقييم والقياس ذات الصلة،</w:t>
      </w:r>
      <w:r w:rsidRPr="00415B0F">
        <w:rPr>
          <w:rFonts w:cs="Simplified Arabic" w:hint="cs"/>
          <w:rtl/>
          <w:lang w:val="en-US"/>
        </w:rPr>
        <w:t>]</w:t>
      </w:r>
      <w:r w:rsidRPr="00415B0F">
        <w:rPr>
          <w:rFonts w:cs="Simplified Arabic"/>
          <w:rtl/>
          <w:lang w:val="en-US"/>
        </w:rPr>
        <w:t xml:space="preserve"> </w:t>
      </w:r>
      <w:r w:rsidRPr="00415B0F">
        <w:rPr>
          <w:rFonts w:cs="Simplified Arabic" w:hint="cs"/>
          <w:rtl/>
          <w:lang w:val="en-US"/>
        </w:rPr>
        <w:t>[</w:t>
      </w:r>
      <w:r w:rsidRPr="00415B0F">
        <w:rPr>
          <w:rFonts w:cs="Simplified Arabic"/>
          <w:rtl/>
          <w:lang w:val="en-US"/>
        </w:rPr>
        <w:t>استخدام الكائنات الحية المحورة في مراكز المنشأ وفي النظم الزراعية التقليدية</w:t>
      </w:r>
      <w:r w:rsidRPr="00415B0F">
        <w:rPr>
          <w:rFonts w:cs="Simplified Arabic" w:hint="cs"/>
          <w:rtl/>
          <w:lang w:val="en-US"/>
        </w:rPr>
        <w:t>]</w:t>
      </w:r>
      <w:r w:rsidRPr="005B27DA">
        <w:rPr>
          <w:rFonts w:cs="Simplified Arabic"/>
          <w:rtl/>
          <w:lang w:val="en-US"/>
        </w:rPr>
        <w:t xml:space="preserve">] وفقا </w:t>
      </w:r>
      <w:r w:rsidR="00F10D84">
        <w:rPr>
          <w:rFonts w:cs="Simplified Arabic" w:hint="cs"/>
          <w:rtl/>
          <w:lang w:val="en-US"/>
        </w:rPr>
        <w:t>للمرفق</w:t>
      </w:r>
      <w:r w:rsidRPr="005B27DA">
        <w:rPr>
          <w:rFonts w:cs="Simplified Arabic"/>
          <w:rtl/>
          <w:lang w:val="en-US"/>
        </w:rPr>
        <w:t xml:space="preserve"> الثالث لبروتوكول قرطاجنة وتجنب التكرار مع </w:t>
      </w:r>
      <w:r w:rsidR="00F10D84">
        <w:rPr>
          <w:rFonts w:cs="Simplified Arabic" w:hint="cs"/>
          <w:rtl/>
          <w:lang w:val="en-US"/>
        </w:rPr>
        <w:t>ال</w:t>
      </w:r>
      <w:r w:rsidRPr="005B27DA">
        <w:rPr>
          <w:rFonts w:cs="Simplified Arabic"/>
          <w:rtl/>
          <w:lang w:val="en-US"/>
        </w:rPr>
        <w:t>مواد الإرشاد</w:t>
      </w:r>
      <w:r w:rsidR="00F10D84">
        <w:rPr>
          <w:rFonts w:cs="Simplified Arabic" w:hint="cs"/>
          <w:rtl/>
          <w:lang w:val="en-US"/>
        </w:rPr>
        <w:t>ية</w:t>
      </w:r>
      <w:r w:rsidRPr="005B27DA">
        <w:rPr>
          <w:rFonts w:cs="Simplified Arabic"/>
          <w:rtl/>
          <w:lang w:val="en-US"/>
        </w:rPr>
        <w:t xml:space="preserve"> </w:t>
      </w:r>
      <w:r w:rsidR="00F10D84">
        <w:rPr>
          <w:rFonts w:cs="Simplified Arabic" w:hint="cs"/>
          <w:rtl/>
          <w:lang w:val="en-US"/>
        </w:rPr>
        <w:t>القائمة</w:t>
      </w:r>
      <w:r w:rsidRPr="005B27DA">
        <w:rPr>
          <w:rFonts w:cs="Simplified Arabic"/>
          <w:rtl/>
          <w:lang w:val="en-US"/>
        </w:rPr>
        <w:t xml:space="preserve">، </w:t>
      </w:r>
      <w:r w:rsidR="00F10D84" w:rsidRPr="005B27DA">
        <w:rPr>
          <w:rFonts w:cs="Simplified Arabic"/>
          <w:rtl/>
          <w:lang w:val="en-US"/>
        </w:rPr>
        <w:t>ل</w:t>
      </w:r>
      <w:r w:rsidR="00F10D84" w:rsidRPr="005B27DA">
        <w:rPr>
          <w:rFonts w:cs="Simplified Arabic" w:hint="cs"/>
          <w:rtl/>
          <w:lang w:val="en-US"/>
        </w:rPr>
        <w:t xml:space="preserve">كي </w:t>
      </w:r>
      <w:r w:rsidR="00F10D84" w:rsidRPr="005B27DA">
        <w:rPr>
          <w:rFonts w:cs="Simplified Arabic"/>
          <w:rtl/>
          <w:lang w:val="en-US"/>
        </w:rPr>
        <w:t xml:space="preserve">تنظر فيها </w:t>
      </w:r>
      <w:r w:rsidRPr="005B27DA">
        <w:rPr>
          <w:rFonts w:cs="Simplified Arabic"/>
          <w:rtl/>
          <w:lang w:val="en-US"/>
        </w:rPr>
        <w:t xml:space="preserve">الهيئة الفرعية في اجتماع يعقد قبل الاجتماع الثالث عشر لمؤتمر الأطراف العامل </w:t>
      </w:r>
      <w:r w:rsidR="00F10D84">
        <w:rPr>
          <w:rFonts w:cs="Simplified Arabic" w:hint="cs"/>
          <w:rtl/>
          <w:lang w:val="en-US"/>
        </w:rPr>
        <w:t>ك</w:t>
      </w:r>
      <w:r w:rsidRPr="005B27DA">
        <w:rPr>
          <w:rFonts w:cs="Simplified Arabic"/>
          <w:rtl/>
          <w:lang w:val="en-US"/>
        </w:rPr>
        <w:t xml:space="preserve">اجتماع </w:t>
      </w:r>
      <w:r w:rsidR="00F10D84">
        <w:rPr>
          <w:rFonts w:cs="Simplified Arabic" w:hint="cs"/>
          <w:rtl/>
          <w:lang w:val="en-US"/>
        </w:rPr>
        <w:t>ل</w:t>
      </w:r>
      <w:r w:rsidRPr="005B27DA">
        <w:rPr>
          <w:rFonts w:cs="Simplified Arabic"/>
          <w:rtl/>
          <w:lang w:val="en-US"/>
        </w:rPr>
        <w:t>لأطراف في البروتوكول. [قد تتضمن الإرشادات عناصر أو نقاط إجرائية أو عملية يجب مراعاتها أثناء تقييم المخاطر.]</w:t>
      </w:r>
    </w:p>
    <w:p w14:paraId="2F465EC8" w14:textId="34691B56" w:rsidR="00903CA7" w:rsidRPr="00C437A5" w:rsidRDefault="00903CA7" w:rsidP="00593B50">
      <w:pPr>
        <w:pStyle w:val="ListParagraph"/>
        <w:numPr>
          <w:ilvl w:val="0"/>
          <w:numId w:val="42"/>
        </w:numPr>
        <w:tabs>
          <w:tab w:val="left" w:pos="720"/>
        </w:tabs>
        <w:bidi/>
        <w:spacing w:before="120" w:line="216" w:lineRule="auto"/>
        <w:ind w:left="1440" w:firstLine="0"/>
        <w:contextualSpacing w:val="0"/>
        <w:rPr>
          <w:rFonts w:cs="Simplified Arabic"/>
          <w:lang w:val="en-US"/>
        </w:rPr>
      </w:pPr>
      <w:r w:rsidRPr="00C437A5">
        <w:rPr>
          <w:rFonts w:cs="Simplified Arabic"/>
          <w:color w:val="333333"/>
          <w:shd w:val="clear" w:color="auto" w:fill="FFFFFF"/>
          <w:rtl/>
        </w:rPr>
        <w:t xml:space="preserve">وينظر فريق الخبراء، لدى اضطلاعه بعمله، في المعلومات المقدمة عملا بالفقرة 5 من هذا المقرر، والمناقشات التي دارت في المنتدى الإلكتروني المفتوح العضوية بشأن تقييم المخاطر وإدارة المخاطر، وتوليف </w:t>
      </w:r>
      <w:r w:rsidRPr="00C437A5">
        <w:rPr>
          <w:rFonts w:cs="Simplified Arabic"/>
          <w:color w:val="333333"/>
          <w:shd w:val="clear" w:color="auto" w:fill="FFFFFF"/>
          <w:rtl/>
        </w:rPr>
        <w:lastRenderedPageBreak/>
        <w:t xml:space="preserve">المعلومات الذي أعدته الأمانة عملا بالفقرة </w:t>
      </w:r>
      <w:r w:rsidR="00271883">
        <w:rPr>
          <w:rFonts w:cs="Simplified Arabic" w:hint="cs"/>
          <w:color w:val="333333"/>
          <w:shd w:val="clear" w:color="auto" w:fill="FFFFFF"/>
          <w:rtl/>
        </w:rPr>
        <w:t>12</w:t>
      </w:r>
      <w:r w:rsidRPr="00C437A5">
        <w:rPr>
          <w:rFonts w:cs="Simplified Arabic"/>
          <w:color w:val="333333"/>
          <w:shd w:val="clear" w:color="auto" w:fill="FFFFFF"/>
          <w:rtl/>
        </w:rPr>
        <w:t xml:space="preserve"> (ج) من هذا المقرر، وتوليف النصوص المقدمة بشأن المعلومات عن تقييم المخاطر و</w:t>
      </w:r>
      <w:r w:rsidR="00F10D84">
        <w:rPr>
          <w:rFonts w:cs="Simplified Arabic" w:hint="cs"/>
          <w:color w:val="333333"/>
          <w:shd w:val="clear" w:color="auto" w:fill="FFFFFF"/>
          <w:rtl/>
        </w:rPr>
        <w:t>ال</w:t>
      </w:r>
      <w:r w:rsidRPr="00C437A5">
        <w:rPr>
          <w:rFonts w:cs="Simplified Arabic"/>
          <w:color w:val="333333"/>
          <w:shd w:val="clear" w:color="auto" w:fill="FFFFFF"/>
          <w:rtl/>
        </w:rPr>
        <w:t xml:space="preserve">مناقشات </w:t>
      </w:r>
      <w:r w:rsidR="00F10D84">
        <w:rPr>
          <w:rFonts w:cs="Simplified Arabic" w:hint="cs"/>
          <w:color w:val="333333"/>
          <w:shd w:val="clear" w:color="auto" w:fill="FFFFFF"/>
          <w:rtl/>
        </w:rPr>
        <w:t xml:space="preserve">التي عقدت في </w:t>
      </w:r>
      <w:r w:rsidRPr="00C437A5">
        <w:rPr>
          <w:rFonts w:cs="Simplified Arabic"/>
          <w:color w:val="333333"/>
          <w:shd w:val="clear" w:color="auto" w:fill="FFFFFF"/>
          <w:rtl/>
        </w:rPr>
        <w:t>المنتدى الإلكتروني</w:t>
      </w:r>
      <w:r w:rsidRPr="00C437A5">
        <w:rPr>
          <w:rStyle w:val="FootnoteReference"/>
          <w:rFonts w:cs="Simplified Arabic"/>
          <w:sz w:val="22"/>
          <w:u w:val="none"/>
          <w:vertAlign w:val="superscript"/>
          <w:rtl/>
          <w:lang w:val="en-US"/>
        </w:rPr>
        <w:footnoteReference w:id="15"/>
      </w:r>
      <w:r w:rsidRPr="00C437A5">
        <w:rPr>
          <w:rFonts w:cs="Simplified Arabic" w:hint="cs"/>
          <w:rtl/>
          <w:lang w:val="en-US"/>
        </w:rPr>
        <w:t xml:space="preserve"> </w:t>
      </w:r>
      <w:r w:rsidRPr="00C437A5">
        <w:rPr>
          <w:rFonts w:cs="Simplified Arabic"/>
          <w:color w:val="333333"/>
          <w:shd w:val="clear" w:color="auto" w:fill="FFFFFF"/>
          <w:rtl/>
        </w:rPr>
        <w:t xml:space="preserve">وقائمة المراجع الببليوغرافية </w:t>
      </w:r>
      <w:r w:rsidR="00F10D84">
        <w:rPr>
          <w:rFonts w:cs="Simplified Arabic" w:hint="cs"/>
          <w:color w:val="333333"/>
          <w:shd w:val="clear" w:color="auto" w:fill="FFFFFF"/>
          <w:rtl/>
        </w:rPr>
        <w:t>الواردة</w:t>
      </w:r>
      <w:r w:rsidRPr="00C437A5">
        <w:rPr>
          <w:rFonts w:cs="Simplified Arabic"/>
          <w:color w:val="333333"/>
          <w:shd w:val="clear" w:color="auto" w:fill="FFFFFF"/>
          <w:rtl/>
        </w:rPr>
        <w:t xml:space="preserve"> في النصوص المقدمة من الأطراف وأثناء </w:t>
      </w:r>
      <w:r w:rsidR="00F10D84">
        <w:rPr>
          <w:rFonts w:cs="Simplified Arabic" w:hint="cs"/>
          <w:color w:val="333333"/>
          <w:shd w:val="clear" w:color="auto" w:fill="FFFFFF"/>
          <w:rtl/>
        </w:rPr>
        <w:t>ال</w:t>
      </w:r>
      <w:r w:rsidRPr="00C437A5">
        <w:rPr>
          <w:rFonts w:cs="Simplified Arabic"/>
          <w:color w:val="333333"/>
          <w:shd w:val="clear" w:color="auto" w:fill="FFFFFF"/>
          <w:rtl/>
        </w:rPr>
        <w:t xml:space="preserve">مناقشات </w:t>
      </w:r>
      <w:r w:rsidR="00F10D84">
        <w:rPr>
          <w:rFonts w:cs="Simplified Arabic" w:hint="cs"/>
          <w:color w:val="333333"/>
          <w:shd w:val="clear" w:color="auto" w:fill="FFFFFF"/>
          <w:rtl/>
        </w:rPr>
        <w:t xml:space="preserve">التي عقدت في </w:t>
      </w:r>
      <w:r w:rsidRPr="00C437A5">
        <w:rPr>
          <w:rFonts w:cs="Simplified Arabic"/>
          <w:color w:val="333333"/>
          <w:shd w:val="clear" w:color="auto" w:fill="FFFFFF"/>
          <w:rtl/>
        </w:rPr>
        <w:t>المنتدى الإلكتروني</w:t>
      </w:r>
      <w:r w:rsidRPr="00C437A5">
        <w:rPr>
          <w:rStyle w:val="FootnoteReference"/>
          <w:rFonts w:cs="Simplified Arabic" w:hint="cs"/>
          <w:sz w:val="22"/>
          <w:u w:val="none"/>
          <w:rtl/>
          <w:lang w:val="en-US"/>
        </w:rPr>
        <w:t>.</w:t>
      </w:r>
      <w:r w:rsidRPr="00C437A5">
        <w:rPr>
          <w:rStyle w:val="FootnoteReference"/>
          <w:rFonts w:cs="Simplified Arabic"/>
          <w:sz w:val="22"/>
          <w:u w:val="none"/>
          <w:vertAlign w:val="superscript"/>
          <w:rtl/>
          <w:lang w:val="en-US"/>
        </w:rPr>
        <w:footnoteReference w:id="16"/>
      </w:r>
    </w:p>
    <w:p w14:paraId="39AEE0F8" w14:textId="1807025B" w:rsidR="00903CA7" w:rsidRPr="00C437A5" w:rsidRDefault="00903CA7" w:rsidP="00593B50">
      <w:pPr>
        <w:pStyle w:val="ListParagraph"/>
        <w:numPr>
          <w:ilvl w:val="0"/>
          <w:numId w:val="42"/>
        </w:numPr>
        <w:tabs>
          <w:tab w:val="left" w:pos="720"/>
        </w:tabs>
        <w:bidi/>
        <w:spacing w:before="120" w:line="216" w:lineRule="auto"/>
        <w:ind w:left="1440" w:firstLine="0"/>
        <w:contextualSpacing w:val="0"/>
        <w:rPr>
          <w:rFonts w:cs="Simplified Arabic"/>
          <w:lang w:val="en-US"/>
        </w:rPr>
      </w:pPr>
      <w:r w:rsidRPr="00C437A5">
        <w:rPr>
          <w:rFonts w:cs="Simplified Arabic"/>
          <w:rtl/>
          <w:lang w:val="en-US"/>
        </w:rPr>
        <w:t>وينظر فريق الخبراء أيضا، لدى اضطلاعه بعمله، في المعلومات التي تنتجها الهيئات الدولية والإقليمية والوطنية الأخرى، لتجنب الازدواجية في المواد القائمة.</w:t>
      </w:r>
      <w:r w:rsidR="00892D96">
        <w:rPr>
          <w:rFonts w:cs="Simplified Arabic" w:hint="cs"/>
          <w:rtl/>
          <w:lang w:val="en-US"/>
        </w:rPr>
        <w:t xml:space="preserve"> </w:t>
      </w:r>
    </w:p>
    <w:p w14:paraId="533F5BB2" w14:textId="17E6C7A9" w:rsidR="00903CA7" w:rsidRPr="00903CA7" w:rsidRDefault="00271883" w:rsidP="00593B50">
      <w:pPr>
        <w:tabs>
          <w:tab w:val="left" w:pos="1280"/>
        </w:tabs>
        <w:bidi/>
        <w:spacing w:before="120" w:line="216" w:lineRule="auto"/>
        <w:ind w:left="1440"/>
        <w:rPr>
          <w:rFonts w:cs="Simplified Arabic"/>
          <w:rtl/>
          <w:lang w:val="en-US"/>
        </w:rPr>
      </w:pPr>
      <w:r>
        <w:rPr>
          <w:rFonts w:cs="Simplified Arabic" w:hint="cs"/>
          <w:rtl/>
          <w:lang w:val="en-US"/>
        </w:rPr>
        <w:t>]</w:t>
      </w:r>
    </w:p>
    <w:p w14:paraId="498CF4D7" w14:textId="77777777" w:rsidR="00B53AB0" w:rsidRPr="00D767FB" w:rsidRDefault="00B53AB0" w:rsidP="00B53AB0">
      <w:pPr>
        <w:jc w:val="center"/>
      </w:pPr>
      <w:r w:rsidRPr="00D767FB">
        <w:t>__________</w:t>
      </w:r>
    </w:p>
    <w:p w14:paraId="37A02113" w14:textId="77777777" w:rsidR="00B53AB0" w:rsidRDefault="00B53AB0" w:rsidP="00B53AB0">
      <w:pPr>
        <w:tabs>
          <w:tab w:val="left" w:pos="1280"/>
        </w:tabs>
        <w:bidi/>
        <w:spacing w:before="120" w:line="216" w:lineRule="auto"/>
        <w:rPr>
          <w:rFonts w:cs="Simplified Arabic"/>
          <w:rtl/>
        </w:rPr>
      </w:pPr>
    </w:p>
    <w:p w14:paraId="471DEC2E" w14:textId="77777777" w:rsidR="00B53AB0" w:rsidRPr="00B53AB0" w:rsidRDefault="00B53AB0" w:rsidP="00B53AB0">
      <w:pPr>
        <w:tabs>
          <w:tab w:val="left" w:pos="1280"/>
        </w:tabs>
        <w:bidi/>
        <w:spacing w:before="120" w:line="216" w:lineRule="auto"/>
        <w:rPr>
          <w:rFonts w:cs="Simplified Arabic"/>
          <w:rtl/>
        </w:rPr>
      </w:pPr>
    </w:p>
    <w:p w14:paraId="1D087C38" w14:textId="7FF3382B" w:rsidR="00F773F3" w:rsidRPr="00F01139" w:rsidRDefault="00F773F3" w:rsidP="00B53AB0">
      <w:pPr>
        <w:jc w:val="left"/>
        <w:rPr>
          <w:rFonts w:cs="Simplified Arabic"/>
          <w:snapToGrid w:val="0"/>
          <w:rtl/>
        </w:rPr>
      </w:pPr>
    </w:p>
    <w:sectPr w:rsidR="00F773F3" w:rsidRPr="00F01139" w:rsidSect="00381060">
      <w:headerReference w:type="even" r:id="rId17"/>
      <w:headerReference w:type="default" r:id="rId18"/>
      <w:footerReference w:type="even" r:id="rId19"/>
      <w:footerReference w:type="default" r:id="rId20"/>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2269" w14:textId="77777777" w:rsidR="009611C1" w:rsidRDefault="009611C1">
      <w:r>
        <w:separator/>
      </w:r>
    </w:p>
  </w:endnote>
  <w:endnote w:type="continuationSeparator" w:id="0">
    <w:p w14:paraId="79331CA2" w14:textId="77777777" w:rsidR="009611C1" w:rsidRDefault="0096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6"/>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5F30CB20" w14:textId="0FED7116" w:rsidR="00273E30" w:rsidRDefault="00BE5C7F" w:rsidP="009D1270">
            <w:pPr>
              <w:pStyle w:val="Footer"/>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7683"/>
      <w:docPartObj>
        <w:docPartGallery w:val="Page Numbers (Bottom of Page)"/>
        <w:docPartUnique/>
      </w:docPartObj>
    </w:sdtPr>
    <w:sdtEndPr/>
    <w:sdtContent>
      <w:sdt>
        <w:sdtPr>
          <w:id w:val="-1705238520"/>
          <w:docPartObj>
            <w:docPartGallery w:val="Page Numbers (Top of Page)"/>
            <w:docPartUnique/>
          </w:docPartObj>
        </w:sdtPr>
        <w:sdtEndPr/>
        <w:sdtContent>
          <w:p w14:paraId="126E7BCE" w14:textId="77777777" w:rsidR="00BE5C7F" w:rsidRPr="002A5732" w:rsidRDefault="00BE5C7F" w:rsidP="001040FB">
            <w:pPr>
              <w:pStyle w:val="Footer"/>
              <w:ind w:firstLine="0"/>
              <w:jc w:val="left"/>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7D9C" w14:textId="77777777" w:rsidR="009611C1" w:rsidRDefault="009611C1" w:rsidP="00B555E1">
      <w:pPr>
        <w:bidi/>
      </w:pPr>
      <w:r>
        <w:separator/>
      </w:r>
    </w:p>
  </w:footnote>
  <w:footnote w:type="continuationSeparator" w:id="0">
    <w:p w14:paraId="11C4D8FE" w14:textId="77777777" w:rsidR="009611C1" w:rsidRDefault="009611C1">
      <w:r>
        <w:continuationSeparator/>
      </w:r>
    </w:p>
  </w:footnote>
  <w:footnote w:id="1">
    <w:p w14:paraId="2F9C2029" w14:textId="72F8B097" w:rsidR="00903CA7" w:rsidRPr="0036689A" w:rsidRDefault="00903CA7" w:rsidP="00903CA7">
      <w:pPr>
        <w:pStyle w:val="FootnoteText"/>
        <w:bidi/>
        <w:spacing w:after="0"/>
        <w:ind w:firstLine="4"/>
        <w:rPr>
          <w:rFonts w:cs="Simplified Arabic"/>
          <w:szCs w:val="20"/>
          <w:rtl/>
        </w:rPr>
      </w:pPr>
      <w:r w:rsidRPr="0036689A">
        <w:rPr>
          <w:rStyle w:val="FootnoteReference"/>
          <w:rFonts w:cs="Simplified Arabic"/>
          <w:szCs w:val="20"/>
          <w:u w:val="none"/>
          <w:vertAlign w:val="superscript"/>
        </w:rPr>
        <w:footnoteRef/>
      </w:r>
      <w:r w:rsidRPr="0036689A">
        <w:rPr>
          <w:rFonts w:cs="Simplified Arabic"/>
          <w:szCs w:val="20"/>
          <w:vertAlign w:val="superscript"/>
        </w:rPr>
        <w:t xml:space="preserve"> </w:t>
      </w:r>
      <w:r w:rsidRPr="0036689A">
        <w:rPr>
          <w:rFonts w:cs="Simplified Arabic" w:hint="cs"/>
          <w:szCs w:val="20"/>
          <w:rtl/>
        </w:rPr>
        <w:t xml:space="preserve">الأمم المتحدة، </w:t>
      </w:r>
      <w:r w:rsidRPr="0036689A">
        <w:rPr>
          <w:rFonts w:cs="Simplified Arabic" w:hint="cs"/>
          <w:i/>
          <w:iCs/>
          <w:szCs w:val="20"/>
          <w:rtl/>
        </w:rPr>
        <w:t>مجموعة المعاهدات</w:t>
      </w:r>
      <w:r w:rsidRPr="0036689A">
        <w:rPr>
          <w:rFonts w:cs="Simplified Arabic" w:hint="cs"/>
          <w:szCs w:val="20"/>
          <w:rtl/>
        </w:rPr>
        <w:t>، المجلد 2226، الرقم 30619.</w:t>
      </w:r>
    </w:p>
  </w:footnote>
  <w:footnote w:id="2">
    <w:p w14:paraId="04F95A6C" w14:textId="3F1827A3" w:rsidR="00903CA7" w:rsidRPr="0036689A" w:rsidRDefault="00903CA7" w:rsidP="00903CA7">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sidRPr="0036689A">
        <w:rPr>
          <w:rFonts w:cs="Simplified Arabic" w:hint="cs"/>
          <w:szCs w:val="20"/>
          <w:rtl/>
        </w:rPr>
        <w:t xml:space="preserve">انظر الوثيقة </w:t>
      </w:r>
      <w:hyperlink r:id="rId1" w:history="1">
        <w:r w:rsidRPr="00B06B50">
          <w:rPr>
            <w:rStyle w:val="Hyperlink"/>
            <w:rFonts w:cs="Simplified Arabic"/>
            <w:szCs w:val="20"/>
          </w:rPr>
          <w:t>CBD/CP/RA/AHTEG/2025/1/3</w:t>
        </w:r>
      </w:hyperlink>
      <w:r w:rsidRPr="0036689A">
        <w:rPr>
          <w:rFonts w:cs="Simplified Arabic" w:hint="cs"/>
          <w:szCs w:val="20"/>
          <w:rtl/>
        </w:rPr>
        <w:t>.</w:t>
      </w:r>
    </w:p>
  </w:footnote>
  <w:footnote w:id="3">
    <w:p w14:paraId="6D0E89EB" w14:textId="51E5A49A" w:rsidR="00903CA7" w:rsidRPr="0036689A" w:rsidRDefault="00903CA7" w:rsidP="00903CA7">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hyperlink r:id="rId2" w:history="1">
        <w:r w:rsidRPr="00B06B50">
          <w:rPr>
            <w:rStyle w:val="Hyperlink"/>
            <w:rFonts w:cs="Simplified Arabic"/>
            <w:szCs w:val="20"/>
          </w:rPr>
          <w:t>CBD/SBSTTA/27/6</w:t>
        </w:r>
      </w:hyperlink>
      <w:r w:rsidRPr="0036689A">
        <w:rPr>
          <w:rFonts w:cs="Simplified Arabic" w:hint="cs"/>
          <w:szCs w:val="20"/>
          <w:rtl/>
        </w:rPr>
        <w:t>، المرفق.</w:t>
      </w:r>
    </w:p>
  </w:footnote>
  <w:footnote w:id="4">
    <w:p w14:paraId="4751A004" w14:textId="77777777" w:rsidR="00903CA7" w:rsidRPr="0036689A" w:rsidRDefault="00903CA7" w:rsidP="00903CA7">
      <w:pPr>
        <w:pStyle w:val="FootnoteText"/>
        <w:bidi/>
        <w:spacing w:after="0"/>
        <w:ind w:firstLine="4"/>
        <w:rPr>
          <w:rFonts w:cs="Simplified Arabic"/>
          <w:szCs w:val="20"/>
          <w:rtl/>
        </w:rPr>
      </w:pPr>
      <w:r w:rsidRPr="0036689A">
        <w:rPr>
          <w:rStyle w:val="FootnoteReference"/>
          <w:rFonts w:cs="Simplified Arabic"/>
          <w:szCs w:val="20"/>
          <w:u w:val="none"/>
          <w:vertAlign w:val="superscript"/>
        </w:rPr>
        <w:footnoteRef/>
      </w:r>
      <w:r w:rsidRPr="0036689A">
        <w:rPr>
          <w:rFonts w:cs="Simplified Arabic"/>
          <w:szCs w:val="20"/>
          <w:vertAlign w:val="superscript"/>
        </w:rPr>
        <w:t xml:space="preserve"> </w:t>
      </w:r>
      <w:r w:rsidRPr="0036689A">
        <w:rPr>
          <w:rFonts w:cs="Simplified Arabic" w:hint="cs"/>
          <w:szCs w:val="20"/>
          <w:rtl/>
        </w:rPr>
        <w:t xml:space="preserve">الأمم المتحدة، </w:t>
      </w:r>
      <w:r w:rsidRPr="0036689A">
        <w:rPr>
          <w:rFonts w:cs="Simplified Arabic" w:hint="cs"/>
          <w:i/>
          <w:iCs/>
          <w:szCs w:val="20"/>
          <w:rtl/>
        </w:rPr>
        <w:t>مجموعة المعاهدات</w:t>
      </w:r>
      <w:r w:rsidRPr="0036689A">
        <w:rPr>
          <w:rFonts w:cs="Simplified Arabic" w:hint="cs"/>
          <w:szCs w:val="20"/>
          <w:rtl/>
        </w:rPr>
        <w:t>، المجلد 2226، الرقم 30619.</w:t>
      </w:r>
    </w:p>
  </w:footnote>
  <w:footnote w:id="5">
    <w:p w14:paraId="55F7A478" w14:textId="77777777" w:rsidR="00985283" w:rsidRPr="0036689A" w:rsidRDefault="00985283" w:rsidP="00985283">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sidRPr="0036689A">
        <w:rPr>
          <w:rFonts w:cs="Simplified Arabic"/>
          <w:szCs w:val="20"/>
          <w:rtl/>
        </w:rPr>
        <w:t>[الطحالب الحية المحورة،] [الأسماك الحية المحورة،] [الكائنات الحية الدقيقة المحورة،] [الكائنات الحية المحورة التي تعبر عن آلات تحرير الجينوم لمكافحة الآفات أو مسببات الأمراض،] [التأثيرات الطويلة الأمد والتراكمية للتركيبات الجينية والكائنات الحية المحورة،] [تفعيل أهداف الحماية في نقاط نهاية التقييم والقياس ذات الصلة،] [استخدام الكائنات الحية المحورة في مراكز المنشأ وفي النظم الزراعية التقليدية]</w:t>
      </w:r>
      <w:r w:rsidRPr="0036689A">
        <w:rPr>
          <w:rFonts w:cs="Simplified Arabic" w:hint="cs"/>
          <w:szCs w:val="20"/>
          <w:rtl/>
        </w:rPr>
        <w:t>.</w:t>
      </w:r>
    </w:p>
  </w:footnote>
  <w:footnote w:id="6">
    <w:p w14:paraId="7DA59BFE" w14:textId="6ABEA1B7" w:rsidR="002D080B" w:rsidRPr="0036689A" w:rsidRDefault="002D080B" w:rsidP="002D080B">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sidRPr="0036689A">
        <w:rPr>
          <w:rFonts w:cs="Simplified Arabic" w:hint="cs"/>
          <w:szCs w:val="20"/>
          <w:rtl/>
        </w:rPr>
        <w:t xml:space="preserve">انظر </w:t>
      </w:r>
      <w:hyperlink r:id="rId3" w:history="1">
        <w:r w:rsidRPr="005C52DE">
          <w:rPr>
            <w:rStyle w:val="Hyperlink"/>
            <w:rFonts w:cs="Simplified Arabic"/>
            <w:szCs w:val="20"/>
          </w:rPr>
          <w:t>CBD/CP/RA/AHTEG/2025/1/3</w:t>
        </w:r>
      </w:hyperlink>
      <w:r w:rsidRPr="0036689A">
        <w:rPr>
          <w:rFonts w:cs="Simplified Arabic" w:hint="cs"/>
          <w:szCs w:val="20"/>
          <w:rtl/>
        </w:rPr>
        <w:t>.</w:t>
      </w:r>
    </w:p>
  </w:footnote>
  <w:footnote w:id="7">
    <w:p w14:paraId="758AA7E2" w14:textId="2103974E" w:rsidR="00B06B50" w:rsidRPr="0036689A" w:rsidRDefault="00B06B50" w:rsidP="00B06B50">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sidRPr="0036689A">
        <w:rPr>
          <w:rFonts w:cs="Simplified Arabic" w:hint="cs"/>
          <w:szCs w:val="20"/>
          <w:rtl/>
        </w:rPr>
        <w:t xml:space="preserve">انظر </w:t>
      </w:r>
      <w:r w:rsidR="007A025A" w:rsidRPr="005C52DE">
        <w:rPr>
          <w:rFonts w:cs="Simplified Arabic"/>
          <w:szCs w:val="20"/>
        </w:rPr>
        <w:t>http://www.cbd.int/tsc/tscm/subregionalcentres</w:t>
      </w:r>
      <w:r w:rsidRPr="0036689A">
        <w:rPr>
          <w:rFonts w:cs="Simplified Arabic" w:hint="cs"/>
          <w:szCs w:val="20"/>
          <w:rtl/>
        </w:rPr>
        <w:t>.</w:t>
      </w:r>
    </w:p>
  </w:footnote>
  <w:footnote w:id="8">
    <w:p w14:paraId="0AD7E8E1" w14:textId="3E281B29" w:rsidR="00985283" w:rsidRPr="0036689A" w:rsidRDefault="00985283" w:rsidP="00985283">
      <w:pPr>
        <w:pStyle w:val="FootnoteText"/>
        <w:bidi/>
        <w:spacing w:after="0"/>
        <w:ind w:firstLine="4"/>
        <w:rPr>
          <w:rFonts w:cs="Simplified Arabic"/>
          <w:szCs w:val="20"/>
          <w:rtl/>
        </w:rPr>
      </w:pPr>
      <w:r w:rsidRPr="0036689A">
        <w:rPr>
          <w:rStyle w:val="FootnoteReference"/>
          <w:rFonts w:cs="Simplified Arabic"/>
          <w:szCs w:val="20"/>
          <w:u w:val="none"/>
          <w:vertAlign w:val="superscript"/>
        </w:rPr>
        <w:footnoteRef/>
      </w:r>
      <w:r w:rsidRPr="0036689A">
        <w:rPr>
          <w:rFonts w:cs="Simplified Arabic"/>
          <w:szCs w:val="20"/>
          <w:vertAlign w:val="superscript"/>
        </w:rPr>
        <w:t xml:space="preserve"> </w:t>
      </w:r>
      <w:r w:rsidR="005C52DE">
        <w:rPr>
          <w:rFonts w:cs="Simplified Arabic" w:hint="cs"/>
          <w:szCs w:val="20"/>
          <w:rtl/>
        </w:rPr>
        <w:t>على النحو ال</w:t>
      </w:r>
      <w:r w:rsidRPr="0036689A">
        <w:rPr>
          <w:rFonts w:cs="Simplified Arabic"/>
          <w:szCs w:val="20"/>
          <w:rtl/>
        </w:rPr>
        <w:t xml:space="preserve">ورد في الرد على </w:t>
      </w:r>
      <w:r w:rsidR="007A025A">
        <w:rPr>
          <w:rFonts w:cs="Simplified Arabic" w:hint="cs"/>
          <w:szCs w:val="20"/>
          <w:rtl/>
        </w:rPr>
        <w:t>السؤال</w:t>
      </w:r>
      <w:r w:rsidRPr="0036689A">
        <w:rPr>
          <w:rFonts w:cs="Simplified Arabic"/>
          <w:szCs w:val="20"/>
          <w:rtl/>
        </w:rPr>
        <w:t xml:space="preserve"> 68 من التقرير الوطني الخامس لبروتوكول قرطاجنة </w:t>
      </w:r>
      <w:r w:rsidRPr="0036689A">
        <w:rPr>
          <w:rFonts w:cs="Simplified Arabic" w:hint="cs"/>
          <w:szCs w:val="20"/>
          <w:rtl/>
        </w:rPr>
        <w:t>ل</w:t>
      </w:r>
      <w:r w:rsidRPr="0036689A">
        <w:rPr>
          <w:rFonts w:cs="Simplified Arabic"/>
          <w:szCs w:val="20"/>
          <w:rtl/>
        </w:rPr>
        <w:t>لسلامة البيولوجية.</w:t>
      </w:r>
    </w:p>
  </w:footnote>
  <w:footnote w:id="9">
    <w:p w14:paraId="51DB9027" w14:textId="3CF39249" w:rsidR="00C978EB" w:rsidRPr="0036689A" w:rsidRDefault="00C978EB" w:rsidP="00C978EB">
      <w:pPr>
        <w:pStyle w:val="FootnoteText"/>
        <w:bidi/>
        <w:spacing w:after="0"/>
        <w:ind w:firstLine="4"/>
        <w:rPr>
          <w:rFonts w:cs="Simplified Arabic"/>
          <w:szCs w:val="20"/>
          <w:rtl/>
        </w:rPr>
      </w:pPr>
      <w:r w:rsidRPr="0036689A">
        <w:rPr>
          <w:rStyle w:val="FootnoteReference"/>
          <w:rFonts w:cs="Simplified Arabic"/>
          <w:szCs w:val="20"/>
          <w:u w:val="none"/>
          <w:vertAlign w:val="superscript"/>
        </w:rPr>
        <w:footnoteRef/>
      </w:r>
      <w:r w:rsidRPr="0036689A">
        <w:rPr>
          <w:rFonts w:cs="Simplified Arabic"/>
          <w:szCs w:val="20"/>
          <w:vertAlign w:val="superscript"/>
        </w:rPr>
        <w:t xml:space="preserve"> </w:t>
      </w:r>
      <w:r w:rsidRPr="0036689A">
        <w:rPr>
          <w:rFonts w:cs="Simplified Arabic" w:hint="cs"/>
          <w:szCs w:val="20"/>
          <w:rtl/>
        </w:rPr>
        <w:t xml:space="preserve">انظر </w:t>
      </w:r>
      <w:hyperlink r:id="rId4" w:history="1">
        <w:r w:rsidRPr="007A025A">
          <w:rPr>
            <w:rStyle w:val="Hyperlink"/>
            <w:rFonts w:cs="Simplified Arabic"/>
            <w:szCs w:val="20"/>
            <w:lang w:val="en-US"/>
          </w:rPr>
          <w:t>CBD/CP/MOP/11/9</w:t>
        </w:r>
      </w:hyperlink>
      <w:r w:rsidRPr="0036689A">
        <w:rPr>
          <w:rFonts w:cs="Simplified Arabic" w:hint="cs"/>
          <w:szCs w:val="20"/>
          <w:rtl/>
        </w:rPr>
        <w:t>.</w:t>
      </w:r>
    </w:p>
  </w:footnote>
  <w:footnote w:id="10">
    <w:p w14:paraId="1ABEF5B3" w14:textId="2349FED6" w:rsidR="00903CA7" w:rsidRPr="0036689A" w:rsidRDefault="00903CA7" w:rsidP="00903CA7">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sidRPr="0036689A">
        <w:rPr>
          <w:rFonts w:cs="Simplified Arabic" w:hint="cs"/>
          <w:szCs w:val="20"/>
          <w:rtl/>
        </w:rPr>
        <w:t xml:space="preserve">المقرر </w:t>
      </w:r>
      <w:hyperlink r:id="rId5" w:history="1">
        <w:r w:rsidRPr="007A025A">
          <w:rPr>
            <w:rStyle w:val="Hyperlink"/>
            <w:rFonts w:cs="Simplified Arabic" w:hint="cs"/>
            <w:szCs w:val="20"/>
            <w:rtl/>
          </w:rPr>
          <w:t>8/10</w:t>
        </w:r>
      </w:hyperlink>
      <w:r w:rsidRPr="0036689A">
        <w:rPr>
          <w:rFonts w:cs="Simplified Arabic" w:hint="cs"/>
          <w:szCs w:val="20"/>
          <w:rtl/>
        </w:rPr>
        <w:t>، المرفق الثالث.</w:t>
      </w:r>
    </w:p>
  </w:footnote>
  <w:footnote w:id="11">
    <w:p w14:paraId="2AE49FEE" w14:textId="23A6C199" w:rsidR="00903CA7" w:rsidRPr="0036689A" w:rsidRDefault="00903CA7" w:rsidP="00903CA7">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sidRPr="0036689A">
        <w:rPr>
          <w:rFonts w:cs="Simplified Arabic"/>
          <w:szCs w:val="20"/>
          <w:rtl/>
        </w:rPr>
        <w:t xml:space="preserve">الأمم المتحدة، </w:t>
      </w:r>
      <w:r w:rsidRPr="0036689A">
        <w:rPr>
          <w:rFonts w:cs="Simplified Arabic"/>
          <w:i/>
          <w:iCs/>
          <w:szCs w:val="20"/>
          <w:rtl/>
        </w:rPr>
        <w:t>مجموعة المعاهدات</w:t>
      </w:r>
      <w:r w:rsidRPr="0036689A">
        <w:rPr>
          <w:rFonts w:cs="Simplified Arabic"/>
          <w:szCs w:val="20"/>
          <w:rtl/>
        </w:rPr>
        <w:t>، المجلد</w:t>
      </w:r>
      <w:r w:rsidRPr="0036689A">
        <w:rPr>
          <w:rFonts w:cs="Simplified Arabic" w:hint="cs"/>
          <w:szCs w:val="20"/>
          <w:rtl/>
        </w:rPr>
        <w:t xml:space="preserve"> 2226، الرقم 30619</w:t>
      </w:r>
      <w:r w:rsidR="005C52DE">
        <w:rPr>
          <w:rFonts w:cs="Simplified Arabic" w:hint="cs"/>
          <w:szCs w:val="20"/>
          <w:rtl/>
        </w:rPr>
        <w:t>.</w:t>
      </w:r>
    </w:p>
  </w:footnote>
  <w:footnote w:id="12">
    <w:p w14:paraId="08817B2D" w14:textId="23C52CD3" w:rsidR="00C978EB" w:rsidRPr="0036689A" w:rsidRDefault="00C978EB" w:rsidP="00C978EB">
      <w:pPr>
        <w:pStyle w:val="FootnoteText"/>
        <w:bidi/>
        <w:spacing w:after="0"/>
        <w:ind w:firstLine="4"/>
        <w:rPr>
          <w:rFonts w:cs="Simplified Arabic"/>
          <w:szCs w:val="20"/>
          <w:rtl/>
        </w:rPr>
      </w:pPr>
      <w:r w:rsidRPr="0036689A">
        <w:rPr>
          <w:rStyle w:val="FootnoteReference"/>
          <w:rFonts w:cs="Simplified Arabic"/>
          <w:szCs w:val="20"/>
          <w:u w:val="none"/>
          <w:vertAlign w:val="superscript"/>
        </w:rPr>
        <w:footnoteRef/>
      </w:r>
      <w:r w:rsidRPr="0036689A">
        <w:rPr>
          <w:rFonts w:cs="Simplified Arabic"/>
          <w:szCs w:val="20"/>
          <w:vertAlign w:val="superscript"/>
        </w:rPr>
        <w:t xml:space="preserve"> </w:t>
      </w:r>
      <w:r w:rsidRPr="0036689A">
        <w:rPr>
          <w:rFonts w:cs="Simplified Arabic" w:hint="cs"/>
          <w:szCs w:val="20"/>
          <w:rtl/>
        </w:rPr>
        <w:t xml:space="preserve">انظر </w:t>
      </w:r>
      <w:hyperlink r:id="rId6" w:history="1">
        <w:r w:rsidRPr="007A025A">
          <w:rPr>
            <w:rStyle w:val="Hyperlink"/>
            <w:rFonts w:cs="Simplified Arabic"/>
            <w:szCs w:val="20"/>
            <w:lang w:val="en-US"/>
          </w:rPr>
          <w:t>CBD/CP/MOP/11/9</w:t>
        </w:r>
      </w:hyperlink>
      <w:r w:rsidRPr="0036689A">
        <w:rPr>
          <w:rFonts w:cs="Simplified Arabic" w:hint="cs"/>
          <w:szCs w:val="20"/>
          <w:rtl/>
        </w:rPr>
        <w:t>.</w:t>
      </w:r>
    </w:p>
  </w:footnote>
  <w:footnote w:id="13">
    <w:p w14:paraId="6A0A2059" w14:textId="77777777" w:rsidR="005B27DA" w:rsidRPr="0036689A" w:rsidRDefault="005B27DA" w:rsidP="005B27DA">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Pr>
          <w:rFonts w:cs="Simplified Arabic" w:hint="cs"/>
          <w:szCs w:val="20"/>
          <w:rtl/>
        </w:rPr>
        <w:t>يمكن أن تكون المذكرة التقنية وثيقة موجزة تقدم معلومات عملية عن موضوع معين أو مسألة محددة. وهي تكمّل مواد إرشادية</w:t>
      </w:r>
      <w:r w:rsidRPr="0036689A">
        <w:rPr>
          <w:rFonts w:cs="Simplified Arabic"/>
          <w:szCs w:val="20"/>
          <w:rtl/>
        </w:rPr>
        <w:t xml:space="preserve"> </w:t>
      </w:r>
      <w:r>
        <w:rPr>
          <w:rFonts w:cs="Simplified Arabic" w:hint="cs"/>
          <w:szCs w:val="20"/>
          <w:rtl/>
        </w:rPr>
        <w:t>قائمة، وقد تشمل عناصر أو نقاطا إجرائية تؤخذ بعين الاعتبار عند معالجة موضوع أو سياق محدد</w:t>
      </w:r>
      <w:r w:rsidRPr="0036689A">
        <w:rPr>
          <w:rFonts w:cs="Simplified Arabic"/>
          <w:szCs w:val="20"/>
          <w:rtl/>
        </w:rPr>
        <w:t>.</w:t>
      </w:r>
    </w:p>
  </w:footnote>
  <w:footnote w:id="14">
    <w:p w14:paraId="1D50A788" w14:textId="77777777" w:rsidR="00F10D84" w:rsidRPr="0036689A" w:rsidRDefault="00F10D84" w:rsidP="00F10D84">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r>
        <w:rPr>
          <w:rFonts w:cs="Simplified Arabic" w:hint="cs"/>
          <w:szCs w:val="20"/>
          <w:rtl/>
        </w:rPr>
        <w:t xml:space="preserve">ينبغي أن تكون المذكرة التقنية بشأن استخدام </w:t>
      </w:r>
      <w:r w:rsidRPr="004A7125">
        <w:rPr>
          <w:rFonts w:cs="Simplified Arabic"/>
          <w:szCs w:val="20"/>
          <w:rtl/>
        </w:rPr>
        <w:t>الكائنات الحية المحورة في مراكز المنشأ وفي النظم الزراعية التقليدية</w:t>
      </w:r>
      <w:r>
        <w:rPr>
          <w:rFonts w:cs="Simplified Arabic" w:hint="cs"/>
          <w:szCs w:val="20"/>
          <w:rtl/>
        </w:rPr>
        <w:t xml:space="preserve"> متوافقة مع </w:t>
      </w:r>
      <w:r w:rsidRPr="002C16FB">
        <w:rPr>
          <w:rFonts w:cs="Simplified Arabic"/>
          <w:szCs w:val="20"/>
          <w:rtl/>
        </w:rPr>
        <w:t>المبادئ التوجيهية الطوعية أغواي:غو</w:t>
      </w:r>
      <w:r>
        <w:rPr>
          <w:rFonts w:cs="Simplified Arabic" w:hint="cs"/>
          <w:szCs w:val="20"/>
          <w:rtl/>
        </w:rPr>
        <w:t xml:space="preserve">، </w:t>
      </w:r>
      <w:r w:rsidRPr="007A025A">
        <w:rPr>
          <w:rFonts w:cs="Simplified Arabic"/>
          <w:szCs w:val="20"/>
          <w:rtl/>
        </w:rPr>
        <w:t>لإجراء تقييمات الأثر الثقافي والبيئي والاجتماعي فيما يتعلق بالتطورات المقترح إجراؤها، أو المرجح أن تؤثر على المواقع المقدسة والأراضي والمياه التي تشغلها أو تستخدمها المجتمعات الأصلية والمحلية تقليديا</w:t>
      </w:r>
      <w:r>
        <w:rPr>
          <w:rFonts w:cs="Simplified Arabic" w:hint="cs"/>
          <w:szCs w:val="20"/>
          <w:rtl/>
        </w:rPr>
        <w:t>.</w:t>
      </w:r>
    </w:p>
  </w:footnote>
  <w:footnote w:id="15">
    <w:p w14:paraId="47370684" w14:textId="3E018D4A" w:rsidR="00903CA7" w:rsidRPr="0036689A" w:rsidRDefault="00903CA7" w:rsidP="00903CA7">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hyperlink r:id="rId7" w:history="1">
        <w:r w:rsidRPr="009B06C8">
          <w:rPr>
            <w:rStyle w:val="Hyperlink"/>
            <w:rFonts w:cs="Simplified Arabic"/>
            <w:szCs w:val="20"/>
          </w:rPr>
          <w:t>CBD/CP/RA/AHTEG/2025/1/INF/1</w:t>
        </w:r>
      </w:hyperlink>
      <w:r w:rsidRPr="0036689A">
        <w:rPr>
          <w:rFonts w:cs="Simplified Arabic" w:hint="cs"/>
          <w:szCs w:val="20"/>
          <w:rtl/>
        </w:rPr>
        <w:t>.</w:t>
      </w:r>
    </w:p>
  </w:footnote>
  <w:footnote w:id="16">
    <w:p w14:paraId="2501CB39" w14:textId="2AEB126F" w:rsidR="00903CA7" w:rsidRPr="0036689A" w:rsidRDefault="00903CA7" w:rsidP="00903CA7">
      <w:pPr>
        <w:pStyle w:val="FootnoteText"/>
        <w:bidi/>
        <w:spacing w:after="0"/>
        <w:ind w:firstLine="4"/>
        <w:rPr>
          <w:rFonts w:cs="Simplified Arabic"/>
          <w:szCs w:val="20"/>
          <w:lang w:val="en-US"/>
        </w:rPr>
      </w:pPr>
      <w:r w:rsidRPr="0036689A">
        <w:rPr>
          <w:rStyle w:val="FootnoteReference"/>
          <w:rFonts w:cs="Simplified Arabic"/>
          <w:szCs w:val="20"/>
          <w:u w:val="none"/>
          <w:vertAlign w:val="superscript"/>
        </w:rPr>
        <w:footnoteRef/>
      </w:r>
      <w:r w:rsidRPr="0036689A">
        <w:rPr>
          <w:rFonts w:cs="Simplified Arabic" w:hint="cs"/>
          <w:szCs w:val="20"/>
          <w:vertAlign w:val="superscript"/>
          <w:rtl/>
        </w:rPr>
        <w:t xml:space="preserve"> </w:t>
      </w:r>
      <w:hyperlink r:id="rId8" w:history="1">
        <w:r w:rsidRPr="009B06C8">
          <w:rPr>
            <w:rStyle w:val="Hyperlink"/>
            <w:rFonts w:cs="Simplified Arabic"/>
            <w:szCs w:val="20"/>
          </w:rPr>
          <w:t>CBD/CP/RA/AHTEG/2025/1/INF/2</w:t>
        </w:r>
      </w:hyperlink>
      <w:r w:rsidRPr="0036689A">
        <w:rPr>
          <w:rFonts w:cs="Simplified Arabic" w:hint="cs"/>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2"/>
        <w:rtl/>
      </w:rPr>
      <w:alias w:val="Subject"/>
      <w:tag w:val=""/>
      <w:id w:val="1214927013"/>
      <w:dataBinding w:prefixMappings="xmlns:ns0='http://purl.org/dc/elements/1.1/' xmlns:ns1='http://schemas.openxmlformats.org/package/2006/metadata/core-properties' " w:xpath="/ns1:coreProperties[1]/ns0:subject[1]" w:storeItemID="{6C3C8BC8-F283-45AE-878A-BAB7291924A1}"/>
      <w:text/>
    </w:sdtPr>
    <w:sdtEndPr/>
    <w:sdtContent>
      <w:p w14:paraId="4FDE7AD2" w14:textId="4749B630" w:rsidR="006F24DA" w:rsidRPr="00122C8F" w:rsidRDefault="002A14FC" w:rsidP="006615AB">
        <w:pPr>
          <w:pStyle w:val="Header"/>
          <w:pBdr>
            <w:bottom w:val="single" w:sz="4" w:space="1" w:color="auto"/>
          </w:pBdr>
          <w:tabs>
            <w:tab w:val="clear" w:pos="4320"/>
            <w:tab w:val="clear" w:pos="8640"/>
          </w:tabs>
          <w:kinsoku w:val="0"/>
          <w:overflowPunct w:val="0"/>
          <w:autoSpaceDE w:val="0"/>
          <w:autoSpaceDN w:val="0"/>
          <w:bidi/>
          <w:jc w:val="left"/>
          <w:rPr>
            <w:noProof/>
            <w:kern w:val="22"/>
            <w:sz w:val="20"/>
            <w:szCs w:val="22"/>
          </w:rPr>
        </w:pPr>
        <w:r>
          <w:rPr>
            <w:noProof/>
            <w:kern w:val="22"/>
            <w:sz w:val="20"/>
            <w:szCs w:val="22"/>
          </w:rPr>
          <w:t>CBD/SBSTTA/REC/27/7</w:t>
        </w:r>
      </w:p>
    </w:sdtContent>
  </w:sdt>
  <w:p w14:paraId="3A0010F0" w14:textId="77777777" w:rsidR="006F24DA" w:rsidRDefault="006F24DA" w:rsidP="006F24DA">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2"/>
        <w:rtl/>
      </w:rPr>
      <w:alias w:val="Subject"/>
      <w:tag w:val=""/>
      <w:id w:val="-1368829725"/>
      <w:dataBinding w:prefixMappings="xmlns:ns0='http://purl.org/dc/elements/1.1/' xmlns:ns1='http://schemas.openxmlformats.org/package/2006/metadata/core-properties' " w:xpath="/ns1:coreProperties[1]/ns0:subject[1]" w:storeItemID="{6C3C8BC8-F283-45AE-878A-BAB7291924A1}"/>
      <w:text/>
    </w:sdtPr>
    <w:sdtEndPr/>
    <w:sdtContent>
      <w:p w14:paraId="3CF4E606" w14:textId="59DD6894" w:rsidR="006F24DA" w:rsidRPr="00122C8F" w:rsidRDefault="002A14FC" w:rsidP="00755966">
        <w:pPr>
          <w:pStyle w:val="Header"/>
          <w:pBdr>
            <w:bottom w:val="single" w:sz="4" w:space="1" w:color="auto"/>
          </w:pBdr>
          <w:tabs>
            <w:tab w:val="clear" w:pos="4320"/>
            <w:tab w:val="clear" w:pos="8640"/>
          </w:tabs>
          <w:kinsoku w:val="0"/>
          <w:overflowPunct w:val="0"/>
          <w:autoSpaceDE w:val="0"/>
          <w:autoSpaceDN w:val="0"/>
          <w:bidi/>
          <w:jc w:val="right"/>
          <w:rPr>
            <w:noProof/>
            <w:kern w:val="22"/>
            <w:sz w:val="20"/>
            <w:szCs w:val="22"/>
          </w:rPr>
        </w:pPr>
        <w:r>
          <w:rPr>
            <w:noProof/>
            <w:kern w:val="22"/>
            <w:sz w:val="20"/>
            <w:szCs w:val="22"/>
          </w:rPr>
          <w:t>CBD/SBSTTA/REC/27/7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7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62432F5"/>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F3604"/>
    <w:multiLevelType w:val="hybridMultilevel"/>
    <w:tmpl w:val="E1D40A4E"/>
    <w:lvl w:ilvl="0" w:tplc="94A4F41A">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89311CD"/>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9BE6D4C"/>
    <w:multiLevelType w:val="hybridMultilevel"/>
    <w:tmpl w:val="612A06F8"/>
    <w:lvl w:ilvl="0" w:tplc="C9A41AE0">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BD4AC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EF6526"/>
    <w:multiLevelType w:val="hybridMultilevel"/>
    <w:tmpl w:val="4964D2B8"/>
    <w:lvl w:ilvl="0" w:tplc="945ACDD0">
      <w:start w:val="1"/>
      <w:numFmt w:val="decimal"/>
      <w:lvlText w:val="%1-"/>
      <w:lvlJc w:val="left"/>
      <w:pPr>
        <w:ind w:left="720" w:hanging="360"/>
      </w:pPr>
      <w:rPr>
        <w:rFonts w:hint="default"/>
        <w:b w:val="0"/>
        <w:bCs w:val="0"/>
        <w:i w:val="0"/>
        <w:iCs w:val="0"/>
        <w:sz w:val="24"/>
        <w:szCs w:val="24"/>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3227641"/>
    <w:multiLevelType w:val="hybridMultilevel"/>
    <w:tmpl w:val="EDC8D3C2"/>
    <w:lvl w:ilvl="0" w:tplc="FFFFFFFF">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1375DA"/>
    <w:multiLevelType w:val="hybridMultilevel"/>
    <w:tmpl w:val="FEC8C5C6"/>
    <w:lvl w:ilvl="0" w:tplc="58066A6C">
      <w:start w:val="3"/>
      <w:numFmt w:val="arabicAbjad"/>
      <w:lvlText w:val="(%1)"/>
      <w:lvlJc w:val="left"/>
      <w:pPr>
        <w:ind w:left="2160" w:hanging="360"/>
      </w:pPr>
      <w:rPr>
        <w:rFonts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54570A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4DD490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7672D8D"/>
    <w:multiLevelType w:val="hybridMultilevel"/>
    <w:tmpl w:val="FD6007CE"/>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9261E27"/>
    <w:multiLevelType w:val="hybridMultilevel"/>
    <w:tmpl w:val="C2F6DE28"/>
    <w:lvl w:ilvl="0" w:tplc="39D02A14">
      <w:start w:val="1"/>
      <w:numFmt w:val="decimal"/>
      <w:lvlText w:val="%1-"/>
      <w:lvlJc w:val="left"/>
      <w:pPr>
        <w:ind w:left="720" w:hanging="360"/>
      </w:pPr>
      <w:rPr>
        <w:rFonts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A1948"/>
    <w:multiLevelType w:val="hybridMultilevel"/>
    <w:tmpl w:val="2C0E5ECE"/>
    <w:lvl w:ilvl="0" w:tplc="613A5180">
      <w:start w:val="1"/>
      <w:numFmt w:val="arabicAbjad"/>
      <w:lvlText w:val="(%1)"/>
      <w:lvlJc w:val="left"/>
      <w:pPr>
        <w:ind w:left="2880" w:hanging="360"/>
      </w:pPr>
      <w:rPr>
        <w:rFonts w:hint="default"/>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7" w15:restartNumberingAfterBreak="0">
    <w:nsid w:val="3F9D3C20"/>
    <w:multiLevelType w:val="hybridMultilevel"/>
    <w:tmpl w:val="EDC8D3C2"/>
    <w:lvl w:ilvl="0" w:tplc="726AD5C0">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03983"/>
    <w:multiLevelType w:val="hybridMultilevel"/>
    <w:tmpl w:val="969459BC"/>
    <w:lvl w:ilvl="0" w:tplc="FFA4F61C">
      <w:start w:val="1"/>
      <w:numFmt w:val="arabicAbjad"/>
      <w:lvlText w:val="(%1)"/>
      <w:lvlJc w:val="left"/>
      <w:pPr>
        <w:ind w:left="720" w:hanging="360"/>
      </w:pPr>
      <w:rPr>
        <w:rFonts w:hint="default"/>
        <w:b w:val="0"/>
        <w:bCs w:val="0"/>
        <w:i w:val="0"/>
        <w:iCs w:val="0"/>
        <w:sz w:val="24"/>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05572A"/>
    <w:multiLevelType w:val="hybridMultilevel"/>
    <w:tmpl w:val="4104AEDA"/>
    <w:lvl w:ilvl="0" w:tplc="35A4259C">
      <w:start w:val="1"/>
      <w:numFmt w:val="arabicAlpha"/>
      <w:lvlText w:val="(%1)"/>
      <w:lvlJc w:val="left"/>
      <w:pPr>
        <w:ind w:left="2880" w:hanging="720"/>
      </w:pPr>
      <w:rPr>
        <w:rFonts w:hint="default"/>
      </w:rPr>
    </w:lvl>
    <w:lvl w:ilvl="1" w:tplc="100C0019" w:tentative="1">
      <w:start w:val="1"/>
      <w:numFmt w:val="lowerLetter"/>
      <w:lvlText w:val="%2."/>
      <w:lvlJc w:val="left"/>
      <w:pPr>
        <w:ind w:left="3240" w:hanging="360"/>
      </w:pPr>
    </w:lvl>
    <w:lvl w:ilvl="2" w:tplc="100C001B" w:tentative="1">
      <w:start w:val="1"/>
      <w:numFmt w:val="lowerRoman"/>
      <w:lvlText w:val="%3."/>
      <w:lvlJc w:val="right"/>
      <w:pPr>
        <w:ind w:left="3960" w:hanging="180"/>
      </w:pPr>
    </w:lvl>
    <w:lvl w:ilvl="3" w:tplc="100C000F" w:tentative="1">
      <w:start w:val="1"/>
      <w:numFmt w:val="decimal"/>
      <w:lvlText w:val="%4."/>
      <w:lvlJc w:val="left"/>
      <w:pPr>
        <w:ind w:left="4680" w:hanging="360"/>
      </w:pPr>
    </w:lvl>
    <w:lvl w:ilvl="4" w:tplc="100C0019" w:tentative="1">
      <w:start w:val="1"/>
      <w:numFmt w:val="lowerLetter"/>
      <w:lvlText w:val="%5."/>
      <w:lvlJc w:val="left"/>
      <w:pPr>
        <w:ind w:left="5400" w:hanging="360"/>
      </w:pPr>
    </w:lvl>
    <w:lvl w:ilvl="5" w:tplc="100C001B" w:tentative="1">
      <w:start w:val="1"/>
      <w:numFmt w:val="lowerRoman"/>
      <w:lvlText w:val="%6."/>
      <w:lvlJc w:val="right"/>
      <w:pPr>
        <w:ind w:left="6120" w:hanging="180"/>
      </w:pPr>
    </w:lvl>
    <w:lvl w:ilvl="6" w:tplc="100C000F" w:tentative="1">
      <w:start w:val="1"/>
      <w:numFmt w:val="decimal"/>
      <w:lvlText w:val="%7."/>
      <w:lvlJc w:val="left"/>
      <w:pPr>
        <w:ind w:left="6840" w:hanging="360"/>
      </w:pPr>
    </w:lvl>
    <w:lvl w:ilvl="7" w:tplc="100C0019" w:tentative="1">
      <w:start w:val="1"/>
      <w:numFmt w:val="lowerLetter"/>
      <w:lvlText w:val="%8."/>
      <w:lvlJc w:val="left"/>
      <w:pPr>
        <w:ind w:left="7560" w:hanging="360"/>
      </w:pPr>
    </w:lvl>
    <w:lvl w:ilvl="8" w:tplc="100C001B" w:tentative="1">
      <w:start w:val="1"/>
      <w:numFmt w:val="lowerRoman"/>
      <w:lvlText w:val="%9."/>
      <w:lvlJc w:val="right"/>
      <w:pPr>
        <w:ind w:left="8280" w:hanging="180"/>
      </w:pPr>
    </w:lvl>
  </w:abstractNum>
  <w:abstractNum w:abstractNumId="20" w15:restartNumberingAfterBreak="0">
    <w:nsid w:val="43CE654A"/>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57969E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66B418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BE4D9C"/>
    <w:multiLevelType w:val="hybridMultilevel"/>
    <w:tmpl w:val="61D21400"/>
    <w:lvl w:ilvl="0" w:tplc="613A5180">
      <w:start w:val="1"/>
      <w:numFmt w:val="arabicAbjad"/>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F3B4EF7"/>
    <w:multiLevelType w:val="hybridMultilevel"/>
    <w:tmpl w:val="654EEC94"/>
    <w:lvl w:ilvl="0" w:tplc="3FCE3E48">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086666F"/>
    <w:multiLevelType w:val="hybridMultilevel"/>
    <w:tmpl w:val="FD94C7D4"/>
    <w:lvl w:ilvl="0" w:tplc="613A5180">
      <w:start w:val="1"/>
      <w:numFmt w:val="arabicAbjad"/>
      <w:lvlText w:val="(%1)"/>
      <w:lvlJc w:val="left"/>
      <w:pPr>
        <w:ind w:left="2880" w:hanging="360"/>
      </w:pPr>
      <w:rPr>
        <w:rFonts w:hint="default"/>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29" w15:restartNumberingAfterBreak="0">
    <w:nsid w:val="594626B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9F85AD1"/>
    <w:multiLevelType w:val="hybridMultilevel"/>
    <w:tmpl w:val="7A6A902E"/>
    <w:lvl w:ilvl="0" w:tplc="E0943C74">
      <w:start w:val="1"/>
      <w:numFmt w:val="decimal"/>
      <w:lvlText w:val="%1-"/>
      <w:lvlJc w:val="left"/>
      <w:pPr>
        <w:ind w:left="927" w:hanging="360"/>
      </w:pPr>
      <w:rPr>
        <w:rFonts w:asciiTheme="majorBidi" w:hAnsiTheme="majorBidi" w:cstheme="majorBidi"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D7D5731"/>
    <w:multiLevelType w:val="hybridMultilevel"/>
    <w:tmpl w:val="5442BFDC"/>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2" w15:restartNumberingAfterBreak="0">
    <w:nsid w:val="5E413A8E"/>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46A7AA4"/>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71E3B50"/>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1BE57F7"/>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7A222E3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7A5A2470"/>
    <w:multiLevelType w:val="hybridMultilevel"/>
    <w:tmpl w:val="ABF08CC6"/>
    <w:lvl w:ilvl="0" w:tplc="0409000F">
      <w:start w:val="1"/>
      <w:numFmt w:val="arabicAbjad"/>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7A821C5B"/>
    <w:multiLevelType w:val="hybridMultilevel"/>
    <w:tmpl w:val="834A29F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577D96"/>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D2498E"/>
    <w:multiLevelType w:val="hybridMultilevel"/>
    <w:tmpl w:val="FD6007C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340164283">
    <w:abstractNumId w:val="12"/>
  </w:num>
  <w:num w:numId="2" w16cid:durableId="1731684492">
    <w:abstractNumId w:val="26"/>
  </w:num>
  <w:num w:numId="3" w16cid:durableId="355010803">
    <w:abstractNumId w:val="21"/>
  </w:num>
  <w:num w:numId="4" w16cid:durableId="908929028">
    <w:abstractNumId w:val="26"/>
  </w:num>
  <w:num w:numId="5" w16cid:durableId="1873762529">
    <w:abstractNumId w:val="24"/>
  </w:num>
  <w:num w:numId="6" w16cid:durableId="1025329917">
    <w:abstractNumId w:val="35"/>
  </w:num>
  <w:num w:numId="7" w16cid:durableId="1058747920">
    <w:abstractNumId w:val="17"/>
  </w:num>
  <w:num w:numId="8" w16cid:durableId="1259950374">
    <w:abstractNumId w:val="11"/>
  </w:num>
  <w:num w:numId="9" w16cid:durableId="308095158">
    <w:abstractNumId w:val="6"/>
  </w:num>
  <w:num w:numId="10" w16cid:durableId="998465516">
    <w:abstractNumId w:val="4"/>
  </w:num>
  <w:num w:numId="11" w16cid:durableId="1527600785">
    <w:abstractNumId w:val="34"/>
  </w:num>
  <w:num w:numId="12" w16cid:durableId="1948541554">
    <w:abstractNumId w:val="40"/>
  </w:num>
  <w:num w:numId="13" w16cid:durableId="322898729">
    <w:abstractNumId w:val="1"/>
  </w:num>
  <w:num w:numId="14" w16cid:durableId="706568014">
    <w:abstractNumId w:val="18"/>
  </w:num>
  <w:num w:numId="15" w16cid:durableId="11804044">
    <w:abstractNumId w:val="39"/>
  </w:num>
  <w:num w:numId="16" w16cid:durableId="1039475924">
    <w:abstractNumId w:val="33"/>
  </w:num>
  <w:num w:numId="17" w16cid:durableId="1365667914">
    <w:abstractNumId w:val="3"/>
  </w:num>
  <w:num w:numId="18" w16cid:durableId="2060280548">
    <w:abstractNumId w:val="13"/>
  </w:num>
  <w:num w:numId="19" w16cid:durableId="1397899621">
    <w:abstractNumId w:val="10"/>
  </w:num>
  <w:num w:numId="20" w16cid:durableId="806825768">
    <w:abstractNumId w:val="41"/>
  </w:num>
  <w:num w:numId="21" w16cid:durableId="637419581">
    <w:abstractNumId w:val="30"/>
  </w:num>
  <w:num w:numId="22" w16cid:durableId="1262032238">
    <w:abstractNumId w:val="14"/>
  </w:num>
  <w:num w:numId="23" w16cid:durableId="1174537009">
    <w:abstractNumId w:val="38"/>
  </w:num>
  <w:num w:numId="24" w16cid:durableId="765930454">
    <w:abstractNumId w:val="9"/>
  </w:num>
  <w:num w:numId="25" w16cid:durableId="902985927">
    <w:abstractNumId w:val="22"/>
  </w:num>
  <w:num w:numId="26" w16cid:durableId="1612514063">
    <w:abstractNumId w:val="8"/>
  </w:num>
  <w:num w:numId="27" w16cid:durableId="1197162071">
    <w:abstractNumId w:val="23"/>
  </w:num>
  <w:num w:numId="28" w16cid:durableId="2042171140">
    <w:abstractNumId w:val="0"/>
  </w:num>
  <w:num w:numId="29" w16cid:durableId="1404836409">
    <w:abstractNumId w:val="37"/>
  </w:num>
  <w:num w:numId="30" w16cid:durableId="1752700574">
    <w:abstractNumId w:val="20"/>
  </w:num>
  <w:num w:numId="31" w16cid:durableId="180975180">
    <w:abstractNumId w:val="5"/>
  </w:num>
  <w:num w:numId="32" w16cid:durableId="1485465438">
    <w:abstractNumId w:val="32"/>
  </w:num>
  <w:num w:numId="33" w16cid:durableId="537283318">
    <w:abstractNumId w:val="29"/>
  </w:num>
  <w:num w:numId="34" w16cid:durableId="73473153">
    <w:abstractNumId w:val="36"/>
  </w:num>
  <w:num w:numId="35" w16cid:durableId="1950814468">
    <w:abstractNumId w:val="16"/>
  </w:num>
  <w:num w:numId="36" w16cid:durableId="405959456">
    <w:abstractNumId w:val="2"/>
  </w:num>
  <w:num w:numId="37" w16cid:durableId="1321424096">
    <w:abstractNumId w:val="27"/>
  </w:num>
  <w:num w:numId="38" w16cid:durableId="4597775">
    <w:abstractNumId w:val="28"/>
  </w:num>
  <w:num w:numId="39" w16cid:durableId="1124039340">
    <w:abstractNumId w:val="19"/>
  </w:num>
  <w:num w:numId="40" w16cid:durableId="1453666281">
    <w:abstractNumId w:val="15"/>
  </w:num>
  <w:num w:numId="41" w16cid:durableId="979117623">
    <w:abstractNumId w:val="31"/>
  </w:num>
  <w:num w:numId="42" w16cid:durableId="1117716772">
    <w:abstractNumId w:val="7"/>
  </w:num>
  <w:num w:numId="43" w16cid:durableId="148924337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2510"/>
    <w:rsid w:val="0000368E"/>
    <w:rsid w:val="000064E9"/>
    <w:rsid w:val="00006ABD"/>
    <w:rsid w:val="00010828"/>
    <w:rsid w:val="00011E51"/>
    <w:rsid w:val="00012C13"/>
    <w:rsid w:val="00014680"/>
    <w:rsid w:val="000219AC"/>
    <w:rsid w:val="00022207"/>
    <w:rsid w:val="00022961"/>
    <w:rsid w:val="0002340E"/>
    <w:rsid w:val="0002421D"/>
    <w:rsid w:val="00025097"/>
    <w:rsid w:val="00025825"/>
    <w:rsid w:val="00025AC1"/>
    <w:rsid w:val="00025D8F"/>
    <w:rsid w:val="0002792C"/>
    <w:rsid w:val="00030F89"/>
    <w:rsid w:val="00031D24"/>
    <w:rsid w:val="00031F26"/>
    <w:rsid w:val="00032509"/>
    <w:rsid w:val="00033843"/>
    <w:rsid w:val="00037873"/>
    <w:rsid w:val="00040068"/>
    <w:rsid w:val="000428F5"/>
    <w:rsid w:val="00042DE7"/>
    <w:rsid w:val="000454F5"/>
    <w:rsid w:val="00047099"/>
    <w:rsid w:val="0004759C"/>
    <w:rsid w:val="00047B0C"/>
    <w:rsid w:val="00050C80"/>
    <w:rsid w:val="00051A81"/>
    <w:rsid w:val="000525AE"/>
    <w:rsid w:val="00052CF8"/>
    <w:rsid w:val="00054381"/>
    <w:rsid w:val="00054C36"/>
    <w:rsid w:val="00055300"/>
    <w:rsid w:val="000622AC"/>
    <w:rsid w:val="00062695"/>
    <w:rsid w:val="000649DC"/>
    <w:rsid w:val="0006516D"/>
    <w:rsid w:val="00065E6A"/>
    <w:rsid w:val="000660D4"/>
    <w:rsid w:val="00066F7F"/>
    <w:rsid w:val="00067E23"/>
    <w:rsid w:val="000711E1"/>
    <w:rsid w:val="00073708"/>
    <w:rsid w:val="00075576"/>
    <w:rsid w:val="000760C5"/>
    <w:rsid w:val="0007764D"/>
    <w:rsid w:val="00081E7C"/>
    <w:rsid w:val="00084008"/>
    <w:rsid w:val="000850AA"/>
    <w:rsid w:val="0008539E"/>
    <w:rsid w:val="00085773"/>
    <w:rsid w:val="0008589D"/>
    <w:rsid w:val="00086D99"/>
    <w:rsid w:val="00087FB6"/>
    <w:rsid w:val="0009085B"/>
    <w:rsid w:val="000A0CD4"/>
    <w:rsid w:val="000A1248"/>
    <w:rsid w:val="000A198D"/>
    <w:rsid w:val="000A24CB"/>
    <w:rsid w:val="000A3071"/>
    <w:rsid w:val="000A3F82"/>
    <w:rsid w:val="000A7155"/>
    <w:rsid w:val="000A78C6"/>
    <w:rsid w:val="000A7FD3"/>
    <w:rsid w:val="000B20BC"/>
    <w:rsid w:val="000B29D0"/>
    <w:rsid w:val="000B2BD3"/>
    <w:rsid w:val="000B53A0"/>
    <w:rsid w:val="000C146B"/>
    <w:rsid w:val="000C4344"/>
    <w:rsid w:val="000C77DD"/>
    <w:rsid w:val="000D0B3C"/>
    <w:rsid w:val="000D0BBE"/>
    <w:rsid w:val="000D20DA"/>
    <w:rsid w:val="000D2448"/>
    <w:rsid w:val="000D34F1"/>
    <w:rsid w:val="000D4752"/>
    <w:rsid w:val="000D49B4"/>
    <w:rsid w:val="000D50A1"/>
    <w:rsid w:val="000D6122"/>
    <w:rsid w:val="000D7455"/>
    <w:rsid w:val="000D7FEA"/>
    <w:rsid w:val="000E27CF"/>
    <w:rsid w:val="000E637D"/>
    <w:rsid w:val="000E65CB"/>
    <w:rsid w:val="000E6B6E"/>
    <w:rsid w:val="000E7762"/>
    <w:rsid w:val="000E7E6A"/>
    <w:rsid w:val="000F0036"/>
    <w:rsid w:val="000F07D4"/>
    <w:rsid w:val="000F0AEB"/>
    <w:rsid w:val="000F31EA"/>
    <w:rsid w:val="000F3F42"/>
    <w:rsid w:val="000F63AB"/>
    <w:rsid w:val="000F6492"/>
    <w:rsid w:val="000F6CDF"/>
    <w:rsid w:val="00101FFA"/>
    <w:rsid w:val="00102016"/>
    <w:rsid w:val="001040FB"/>
    <w:rsid w:val="001073FE"/>
    <w:rsid w:val="00107743"/>
    <w:rsid w:val="00112647"/>
    <w:rsid w:val="00113D8F"/>
    <w:rsid w:val="001140C9"/>
    <w:rsid w:val="001140E6"/>
    <w:rsid w:val="001205EA"/>
    <w:rsid w:val="0012214B"/>
    <w:rsid w:val="00122C8F"/>
    <w:rsid w:val="00125327"/>
    <w:rsid w:val="001254CB"/>
    <w:rsid w:val="0012737B"/>
    <w:rsid w:val="00127B59"/>
    <w:rsid w:val="0013100E"/>
    <w:rsid w:val="00131C85"/>
    <w:rsid w:val="00133ACE"/>
    <w:rsid w:val="00133FCF"/>
    <w:rsid w:val="001340BA"/>
    <w:rsid w:val="0013705A"/>
    <w:rsid w:val="001410F4"/>
    <w:rsid w:val="001413E6"/>
    <w:rsid w:val="00143E00"/>
    <w:rsid w:val="001461E7"/>
    <w:rsid w:val="00146762"/>
    <w:rsid w:val="001471D6"/>
    <w:rsid w:val="00151A36"/>
    <w:rsid w:val="0015457D"/>
    <w:rsid w:val="00155DC1"/>
    <w:rsid w:val="00155EFD"/>
    <w:rsid w:val="00157BB6"/>
    <w:rsid w:val="001608FA"/>
    <w:rsid w:val="00160F9B"/>
    <w:rsid w:val="00161D70"/>
    <w:rsid w:val="00163278"/>
    <w:rsid w:val="00163519"/>
    <w:rsid w:val="00164DBB"/>
    <w:rsid w:val="00166367"/>
    <w:rsid w:val="00167A62"/>
    <w:rsid w:val="00173A32"/>
    <w:rsid w:val="0017442E"/>
    <w:rsid w:val="00174B0E"/>
    <w:rsid w:val="00176FBE"/>
    <w:rsid w:val="001770D3"/>
    <w:rsid w:val="001771AA"/>
    <w:rsid w:val="001805D3"/>
    <w:rsid w:val="00181B63"/>
    <w:rsid w:val="00181F9D"/>
    <w:rsid w:val="00183C15"/>
    <w:rsid w:val="001840E6"/>
    <w:rsid w:val="00186D8B"/>
    <w:rsid w:val="00187881"/>
    <w:rsid w:val="001917E0"/>
    <w:rsid w:val="00191AFE"/>
    <w:rsid w:val="00192E06"/>
    <w:rsid w:val="001A5072"/>
    <w:rsid w:val="001A6F1F"/>
    <w:rsid w:val="001A7941"/>
    <w:rsid w:val="001B2C93"/>
    <w:rsid w:val="001B495E"/>
    <w:rsid w:val="001C09DB"/>
    <w:rsid w:val="001C2CBA"/>
    <w:rsid w:val="001C2CFD"/>
    <w:rsid w:val="001C3007"/>
    <w:rsid w:val="001C36B1"/>
    <w:rsid w:val="001C5594"/>
    <w:rsid w:val="001C6300"/>
    <w:rsid w:val="001C7AED"/>
    <w:rsid w:val="001C7EBB"/>
    <w:rsid w:val="001D47F8"/>
    <w:rsid w:val="001D4B85"/>
    <w:rsid w:val="001D636B"/>
    <w:rsid w:val="001D7B50"/>
    <w:rsid w:val="001E1730"/>
    <w:rsid w:val="001E2453"/>
    <w:rsid w:val="001E2CFC"/>
    <w:rsid w:val="001E38A3"/>
    <w:rsid w:val="001E3C2A"/>
    <w:rsid w:val="001E4FE5"/>
    <w:rsid w:val="001E59BC"/>
    <w:rsid w:val="001E6972"/>
    <w:rsid w:val="001F47F3"/>
    <w:rsid w:val="001F4992"/>
    <w:rsid w:val="001F4A28"/>
    <w:rsid w:val="001F4A6F"/>
    <w:rsid w:val="001F6379"/>
    <w:rsid w:val="001F68D7"/>
    <w:rsid w:val="001F695A"/>
    <w:rsid w:val="001F77BD"/>
    <w:rsid w:val="00200710"/>
    <w:rsid w:val="00201343"/>
    <w:rsid w:val="00204415"/>
    <w:rsid w:val="002055DF"/>
    <w:rsid w:val="002060AA"/>
    <w:rsid w:val="0020670A"/>
    <w:rsid w:val="00207A6E"/>
    <w:rsid w:val="002104F8"/>
    <w:rsid w:val="002137B2"/>
    <w:rsid w:val="00214C81"/>
    <w:rsid w:val="00214D55"/>
    <w:rsid w:val="00216091"/>
    <w:rsid w:val="002164D0"/>
    <w:rsid w:val="002211FD"/>
    <w:rsid w:val="002231E4"/>
    <w:rsid w:val="00223F71"/>
    <w:rsid w:val="00224577"/>
    <w:rsid w:val="00224B92"/>
    <w:rsid w:val="002314C2"/>
    <w:rsid w:val="002315B3"/>
    <w:rsid w:val="00232D69"/>
    <w:rsid w:val="002350BC"/>
    <w:rsid w:val="002357E1"/>
    <w:rsid w:val="00235AF7"/>
    <w:rsid w:val="00235BC9"/>
    <w:rsid w:val="00240281"/>
    <w:rsid w:val="00240433"/>
    <w:rsid w:val="00240F94"/>
    <w:rsid w:val="00243471"/>
    <w:rsid w:val="002443FE"/>
    <w:rsid w:val="0024600F"/>
    <w:rsid w:val="00247D1C"/>
    <w:rsid w:val="00250D5A"/>
    <w:rsid w:val="00252624"/>
    <w:rsid w:val="00252897"/>
    <w:rsid w:val="00252A9E"/>
    <w:rsid w:val="002569B4"/>
    <w:rsid w:val="002575EA"/>
    <w:rsid w:val="00262526"/>
    <w:rsid w:val="0026290B"/>
    <w:rsid w:val="002629F8"/>
    <w:rsid w:val="00262C99"/>
    <w:rsid w:val="00263F0C"/>
    <w:rsid w:val="0026412A"/>
    <w:rsid w:val="00264D79"/>
    <w:rsid w:val="002664F7"/>
    <w:rsid w:val="00267FB2"/>
    <w:rsid w:val="00271883"/>
    <w:rsid w:val="00272B0F"/>
    <w:rsid w:val="00273E30"/>
    <w:rsid w:val="002760C3"/>
    <w:rsid w:val="0027680D"/>
    <w:rsid w:val="00280929"/>
    <w:rsid w:val="00281F17"/>
    <w:rsid w:val="0028390E"/>
    <w:rsid w:val="00284083"/>
    <w:rsid w:val="00284C31"/>
    <w:rsid w:val="0028512B"/>
    <w:rsid w:val="002851E0"/>
    <w:rsid w:val="00285ECF"/>
    <w:rsid w:val="002878DB"/>
    <w:rsid w:val="0029039D"/>
    <w:rsid w:val="00291DA0"/>
    <w:rsid w:val="0029270E"/>
    <w:rsid w:val="00292B66"/>
    <w:rsid w:val="00292F67"/>
    <w:rsid w:val="00293213"/>
    <w:rsid w:val="002A0283"/>
    <w:rsid w:val="002A14FC"/>
    <w:rsid w:val="002A23AC"/>
    <w:rsid w:val="002A4192"/>
    <w:rsid w:val="002A5461"/>
    <w:rsid w:val="002A5732"/>
    <w:rsid w:val="002A749E"/>
    <w:rsid w:val="002A74A8"/>
    <w:rsid w:val="002A7911"/>
    <w:rsid w:val="002B0735"/>
    <w:rsid w:val="002B0942"/>
    <w:rsid w:val="002B2968"/>
    <w:rsid w:val="002B2983"/>
    <w:rsid w:val="002B49D0"/>
    <w:rsid w:val="002B6553"/>
    <w:rsid w:val="002B6FB2"/>
    <w:rsid w:val="002C0089"/>
    <w:rsid w:val="002C08EC"/>
    <w:rsid w:val="002C0AA7"/>
    <w:rsid w:val="002C16FB"/>
    <w:rsid w:val="002C28BF"/>
    <w:rsid w:val="002C2D11"/>
    <w:rsid w:val="002C48A7"/>
    <w:rsid w:val="002C4BDB"/>
    <w:rsid w:val="002C510E"/>
    <w:rsid w:val="002D080B"/>
    <w:rsid w:val="002D17FC"/>
    <w:rsid w:val="002D355B"/>
    <w:rsid w:val="002D6635"/>
    <w:rsid w:val="002D7587"/>
    <w:rsid w:val="002E0627"/>
    <w:rsid w:val="002E22CF"/>
    <w:rsid w:val="002E3198"/>
    <w:rsid w:val="002E3E50"/>
    <w:rsid w:val="002E62B3"/>
    <w:rsid w:val="002E731B"/>
    <w:rsid w:val="002E7402"/>
    <w:rsid w:val="002E77F8"/>
    <w:rsid w:val="002F04D2"/>
    <w:rsid w:val="002F0785"/>
    <w:rsid w:val="002F15BB"/>
    <w:rsid w:val="002F3178"/>
    <w:rsid w:val="002F321D"/>
    <w:rsid w:val="002F34D3"/>
    <w:rsid w:val="002F71C1"/>
    <w:rsid w:val="00302889"/>
    <w:rsid w:val="003056B8"/>
    <w:rsid w:val="00306DC5"/>
    <w:rsid w:val="0031091E"/>
    <w:rsid w:val="00310BC6"/>
    <w:rsid w:val="00310FA1"/>
    <w:rsid w:val="00311F35"/>
    <w:rsid w:val="003121E9"/>
    <w:rsid w:val="00312419"/>
    <w:rsid w:val="00312518"/>
    <w:rsid w:val="00315C0F"/>
    <w:rsid w:val="00316740"/>
    <w:rsid w:val="00316983"/>
    <w:rsid w:val="00317FA7"/>
    <w:rsid w:val="00320360"/>
    <w:rsid w:val="003210FF"/>
    <w:rsid w:val="00321429"/>
    <w:rsid w:val="0032239A"/>
    <w:rsid w:val="0032489D"/>
    <w:rsid w:val="00325DE3"/>
    <w:rsid w:val="00325F59"/>
    <w:rsid w:val="00327DDD"/>
    <w:rsid w:val="003306B9"/>
    <w:rsid w:val="00330D2D"/>
    <w:rsid w:val="00330F27"/>
    <w:rsid w:val="00333D16"/>
    <w:rsid w:val="00334530"/>
    <w:rsid w:val="00336766"/>
    <w:rsid w:val="003400BF"/>
    <w:rsid w:val="00342850"/>
    <w:rsid w:val="00344D0C"/>
    <w:rsid w:val="00347B2D"/>
    <w:rsid w:val="003507D9"/>
    <w:rsid w:val="00350BF7"/>
    <w:rsid w:val="003524BD"/>
    <w:rsid w:val="0035272B"/>
    <w:rsid w:val="003534D3"/>
    <w:rsid w:val="00353525"/>
    <w:rsid w:val="00354F1B"/>
    <w:rsid w:val="00361341"/>
    <w:rsid w:val="003618D6"/>
    <w:rsid w:val="003636E1"/>
    <w:rsid w:val="00365429"/>
    <w:rsid w:val="0036689A"/>
    <w:rsid w:val="00367608"/>
    <w:rsid w:val="00371AF7"/>
    <w:rsid w:val="00372652"/>
    <w:rsid w:val="003729B7"/>
    <w:rsid w:val="00372D81"/>
    <w:rsid w:val="00374957"/>
    <w:rsid w:val="00374EB0"/>
    <w:rsid w:val="00381060"/>
    <w:rsid w:val="003822C0"/>
    <w:rsid w:val="00382AB0"/>
    <w:rsid w:val="00384170"/>
    <w:rsid w:val="003844B1"/>
    <w:rsid w:val="00385A1D"/>
    <w:rsid w:val="00386801"/>
    <w:rsid w:val="003913CE"/>
    <w:rsid w:val="0039150F"/>
    <w:rsid w:val="003926FD"/>
    <w:rsid w:val="003942BF"/>
    <w:rsid w:val="00396965"/>
    <w:rsid w:val="003A1817"/>
    <w:rsid w:val="003A2A86"/>
    <w:rsid w:val="003A3225"/>
    <w:rsid w:val="003A322F"/>
    <w:rsid w:val="003A3B71"/>
    <w:rsid w:val="003A3D0F"/>
    <w:rsid w:val="003A4844"/>
    <w:rsid w:val="003A6936"/>
    <w:rsid w:val="003B0946"/>
    <w:rsid w:val="003B0F2B"/>
    <w:rsid w:val="003B0F3C"/>
    <w:rsid w:val="003B10B9"/>
    <w:rsid w:val="003B2485"/>
    <w:rsid w:val="003B295A"/>
    <w:rsid w:val="003B3970"/>
    <w:rsid w:val="003B3F74"/>
    <w:rsid w:val="003B450E"/>
    <w:rsid w:val="003B4AD9"/>
    <w:rsid w:val="003B505D"/>
    <w:rsid w:val="003B53D4"/>
    <w:rsid w:val="003B71AB"/>
    <w:rsid w:val="003C113F"/>
    <w:rsid w:val="003C3CF4"/>
    <w:rsid w:val="003C4DB4"/>
    <w:rsid w:val="003C5785"/>
    <w:rsid w:val="003C5868"/>
    <w:rsid w:val="003C77E3"/>
    <w:rsid w:val="003C79D4"/>
    <w:rsid w:val="003C7CA9"/>
    <w:rsid w:val="003D1FDE"/>
    <w:rsid w:val="003D2FB8"/>
    <w:rsid w:val="003D4821"/>
    <w:rsid w:val="003E1545"/>
    <w:rsid w:val="003E23DB"/>
    <w:rsid w:val="003E2DAE"/>
    <w:rsid w:val="003E45A9"/>
    <w:rsid w:val="003E5D18"/>
    <w:rsid w:val="003E5F30"/>
    <w:rsid w:val="003E6148"/>
    <w:rsid w:val="003E6C9C"/>
    <w:rsid w:val="003F4BD5"/>
    <w:rsid w:val="003F5761"/>
    <w:rsid w:val="003F6E44"/>
    <w:rsid w:val="00400D70"/>
    <w:rsid w:val="00400E62"/>
    <w:rsid w:val="0040341C"/>
    <w:rsid w:val="0040370F"/>
    <w:rsid w:val="0040583C"/>
    <w:rsid w:val="0040653C"/>
    <w:rsid w:val="00406BC6"/>
    <w:rsid w:val="0041034C"/>
    <w:rsid w:val="00412812"/>
    <w:rsid w:val="00412F15"/>
    <w:rsid w:val="004144CF"/>
    <w:rsid w:val="00414C9C"/>
    <w:rsid w:val="004155DA"/>
    <w:rsid w:val="00415B0F"/>
    <w:rsid w:val="00416603"/>
    <w:rsid w:val="00416CE7"/>
    <w:rsid w:val="0041737C"/>
    <w:rsid w:val="0042219E"/>
    <w:rsid w:val="004221FE"/>
    <w:rsid w:val="004250D3"/>
    <w:rsid w:val="004266CC"/>
    <w:rsid w:val="0043327F"/>
    <w:rsid w:val="0043608A"/>
    <w:rsid w:val="004360FC"/>
    <w:rsid w:val="00436625"/>
    <w:rsid w:val="00437636"/>
    <w:rsid w:val="00437902"/>
    <w:rsid w:val="00440EDD"/>
    <w:rsid w:val="0044190C"/>
    <w:rsid w:val="0044424E"/>
    <w:rsid w:val="00446BEE"/>
    <w:rsid w:val="0045098B"/>
    <w:rsid w:val="00452994"/>
    <w:rsid w:val="00452EF5"/>
    <w:rsid w:val="00453E04"/>
    <w:rsid w:val="00460C92"/>
    <w:rsid w:val="0046214A"/>
    <w:rsid w:val="00466864"/>
    <w:rsid w:val="00466C1E"/>
    <w:rsid w:val="00467A12"/>
    <w:rsid w:val="0047101F"/>
    <w:rsid w:val="00471A50"/>
    <w:rsid w:val="00471A81"/>
    <w:rsid w:val="004723EF"/>
    <w:rsid w:val="0047332E"/>
    <w:rsid w:val="00480F82"/>
    <w:rsid w:val="004827E7"/>
    <w:rsid w:val="00482CAA"/>
    <w:rsid w:val="00484729"/>
    <w:rsid w:val="00490CE3"/>
    <w:rsid w:val="00492E7F"/>
    <w:rsid w:val="004966A2"/>
    <w:rsid w:val="00496B46"/>
    <w:rsid w:val="004972EB"/>
    <w:rsid w:val="004A017C"/>
    <w:rsid w:val="004A2E37"/>
    <w:rsid w:val="004A4098"/>
    <w:rsid w:val="004A686C"/>
    <w:rsid w:val="004A6972"/>
    <w:rsid w:val="004A6A71"/>
    <w:rsid w:val="004A7125"/>
    <w:rsid w:val="004A7D34"/>
    <w:rsid w:val="004B0E58"/>
    <w:rsid w:val="004B2DB1"/>
    <w:rsid w:val="004B312D"/>
    <w:rsid w:val="004B4309"/>
    <w:rsid w:val="004B4F4D"/>
    <w:rsid w:val="004B597A"/>
    <w:rsid w:val="004B59D7"/>
    <w:rsid w:val="004B6E33"/>
    <w:rsid w:val="004C0D37"/>
    <w:rsid w:val="004C0EE3"/>
    <w:rsid w:val="004C23BE"/>
    <w:rsid w:val="004C439B"/>
    <w:rsid w:val="004C6760"/>
    <w:rsid w:val="004C6768"/>
    <w:rsid w:val="004D02B8"/>
    <w:rsid w:val="004D0F83"/>
    <w:rsid w:val="004D2BF2"/>
    <w:rsid w:val="004D4259"/>
    <w:rsid w:val="004D4329"/>
    <w:rsid w:val="004D50B3"/>
    <w:rsid w:val="004D6F63"/>
    <w:rsid w:val="004E16B5"/>
    <w:rsid w:val="004E1FF3"/>
    <w:rsid w:val="004E25DE"/>
    <w:rsid w:val="004E2BEB"/>
    <w:rsid w:val="004E5B6D"/>
    <w:rsid w:val="004E6E28"/>
    <w:rsid w:val="004F07E0"/>
    <w:rsid w:val="004F1116"/>
    <w:rsid w:val="004F201C"/>
    <w:rsid w:val="004F273B"/>
    <w:rsid w:val="004F2E78"/>
    <w:rsid w:val="004F3A51"/>
    <w:rsid w:val="004F5DEF"/>
    <w:rsid w:val="00500530"/>
    <w:rsid w:val="00500D3C"/>
    <w:rsid w:val="00502B7C"/>
    <w:rsid w:val="005032C9"/>
    <w:rsid w:val="00503E98"/>
    <w:rsid w:val="005043E1"/>
    <w:rsid w:val="0051009E"/>
    <w:rsid w:val="00510341"/>
    <w:rsid w:val="00510820"/>
    <w:rsid w:val="0051082E"/>
    <w:rsid w:val="00511073"/>
    <w:rsid w:val="0051231F"/>
    <w:rsid w:val="00516C26"/>
    <w:rsid w:val="0052015D"/>
    <w:rsid w:val="00521EFF"/>
    <w:rsid w:val="00522DFE"/>
    <w:rsid w:val="00522E0C"/>
    <w:rsid w:val="00523542"/>
    <w:rsid w:val="00524664"/>
    <w:rsid w:val="00525DCC"/>
    <w:rsid w:val="0052775B"/>
    <w:rsid w:val="0053541C"/>
    <w:rsid w:val="005403D8"/>
    <w:rsid w:val="00542250"/>
    <w:rsid w:val="005440A6"/>
    <w:rsid w:val="005440FC"/>
    <w:rsid w:val="0054797B"/>
    <w:rsid w:val="00551055"/>
    <w:rsid w:val="005513BF"/>
    <w:rsid w:val="0055140A"/>
    <w:rsid w:val="00553105"/>
    <w:rsid w:val="00554065"/>
    <w:rsid w:val="00554405"/>
    <w:rsid w:val="00557080"/>
    <w:rsid w:val="0056067D"/>
    <w:rsid w:val="00562D33"/>
    <w:rsid w:val="005644D6"/>
    <w:rsid w:val="00565F8D"/>
    <w:rsid w:val="00566F71"/>
    <w:rsid w:val="005732ED"/>
    <w:rsid w:val="00575368"/>
    <w:rsid w:val="005765BB"/>
    <w:rsid w:val="005769B0"/>
    <w:rsid w:val="00581449"/>
    <w:rsid w:val="00581AC5"/>
    <w:rsid w:val="0058223D"/>
    <w:rsid w:val="00583471"/>
    <w:rsid w:val="005856D1"/>
    <w:rsid w:val="00585ED7"/>
    <w:rsid w:val="005863F0"/>
    <w:rsid w:val="00586D3B"/>
    <w:rsid w:val="005870BE"/>
    <w:rsid w:val="00587252"/>
    <w:rsid w:val="00591CDD"/>
    <w:rsid w:val="00592968"/>
    <w:rsid w:val="00592D93"/>
    <w:rsid w:val="00593284"/>
    <w:rsid w:val="005933A4"/>
    <w:rsid w:val="00593B50"/>
    <w:rsid w:val="005955D2"/>
    <w:rsid w:val="005A281C"/>
    <w:rsid w:val="005A2F6E"/>
    <w:rsid w:val="005A365B"/>
    <w:rsid w:val="005A4284"/>
    <w:rsid w:val="005A53D5"/>
    <w:rsid w:val="005A715F"/>
    <w:rsid w:val="005B0477"/>
    <w:rsid w:val="005B0FA9"/>
    <w:rsid w:val="005B2688"/>
    <w:rsid w:val="005B27DA"/>
    <w:rsid w:val="005B4F5A"/>
    <w:rsid w:val="005B6FDB"/>
    <w:rsid w:val="005B78E8"/>
    <w:rsid w:val="005B79C6"/>
    <w:rsid w:val="005C3E04"/>
    <w:rsid w:val="005C430F"/>
    <w:rsid w:val="005C500E"/>
    <w:rsid w:val="005C52DE"/>
    <w:rsid w:val="005D0061"/>
    <w:rsid w:val="005D0539"/>
    <w:rsid w:val="005D11DB"/>
    <w:rsid w:val="005D139C"/>
    <w:rsid w:val="005D2FE4"/>
    <w:rsid w:val="005D6A29"/>
    <w:rsid w:val="005E115D"/>
    <w:rsid w:val="005E16C3"/>
    <w:rsid w:val="005E2A50"/>
    <w:rsid w:val="005E3129"/>
    <w:rsid w:val="005E3BE3"/>
    <w:rsid w:val="005E5DFB"/>
    <w:rsid w:val="005E6227"/>
    <w:rsid w:val="005E681F"/>
    <w:rsid w:val="005E6FA4"/>
    <w:rsid w:val="005E7FF9"/>
    <w:rsid w:val="005F4C74"/>
    <w:rsid w:val="005F57E9"/>
    <w:rsid w:val="00602AEB"/>
    <w:rsid w:val="00602B81"/>
    <w:rsid w:val="0060449C"/>
    <w:rsid w:val="00605110"/>
    <w:rsid w:val="00605B42"/>
    <w:rsid w:val="00607C30"/>
    <w:rsid w:val="00607D5F"/>
    <w:rsid w:val="00612D1E"/>
    <w:rsid w:val="006179EE"/>
    <w:rsid w:val="0062084E"/>
    <w:rsid w:val="0062205F"/>
    <w:rsid w:val="006227B5"/>
    <w:rsid w:val="00624113"/>
    <w:rsid w:val="0062411A"/>
    <w:rsid w:val="006244DD"/>
    <w:rsid w:val="00625CB7"/>
    <w:rsid w:val="006260D5"/>
    <w:rsid w:val="00632B34"/>
    <w:rsid w:val="00633492"/>
    <w:rsid w:val="00633BA6"/>
    <w:rsid w:val="00634FFD"/>
    <w:rsid w:val="00635D14"/>
    <w:rsid w:val="0063685D"/>
    <w:rsid w:val="00643818"/>
    <w:rsid w:val="00644DB3"/>
    <w:rsid w:val="00644F66"/>
    <w:rsid w:val="00645043"/>
    <w:rsid w:val="00645A13"/>
    <w:rsid w:val="006461E9"/>
    <w:rsid w:val="006470D6"/>
    <w:rsid w:val="0064760B"/>
    <w:rsid w:val="006477BC"/>
    <w:rsid w:val="006507F2"/>
    <w:rsid w:val="00653310"/>
    <w:rsid w:val="006539F2"/>
    <w:rsid w:val="006549FD"/>
    <w:rsid w:val="00657173"/>
    <w:rsid w:val="00660453"/>
    <w:rsid w:val="0066114C"/>
    <w:rsid w:val="006615AB"/>
    <w:rsid w:val="00670102"/>
    <w:rsid w:val="006762DF"/>
    <w:rsid w:val="00677751"/>
    <w:rsid w:val="006803C9"/>
    <w:rsid w:val="00680507"/>
    <w:rsid w:val="00680539"/>
    <w:rsid w:val="00682306"/>
    <w:rsid w:val="00684040"/>
    <w:rsid w:val="00684550"/>
    <w:rsid w:val="00685708"/>
    <w:rsid w:val="0068751F"/>
    <w:rsid w:val="00690847"/>
    <w:rsid w:val="006936FA"/>
    <w:rsid w:val="0069446F"/>
    <w:rsid w:val="00695607"/>
    <w:rsid w:val="006964A3"/>
    <w:rsid w:val="00696B0D"/>
    <w:rsid w:val="006A11AE"/>
    <w:rsid w:val="006A1B8F"/>
    <w:rsid w:val="006A4003"/>
    <w:rsid w:val="006A5A5A"/>
    <w:rsid w:val="006A5DB7"/>
    <w:rsid w:val="006A7694"/>
    <w:rsid w:val="006B074E"/>
    <w:rsid w:val="006B242F"/>
    <w:rsid w:val="006B2BD5"/>
    <w:rsid w:val="006B55F8"/>
    <w:rsid w:val="006B6C47"/>
    <w:rsid w:val="006B7615"/>
    <w:rsid w:val="006C1D31"/>
    <w:rsid w:val="006C1DED"/>
    <w:rsid w:val="006C689A"/>
    <w:rsid w:val="006C7E4C"/>
    <w:rsid w:val="006D0E3D"/>
    <w:rsid w:val="006D1A99"/>
    <w:rsid w:val="006D1D1E"/>
    <w:rsid w:val="006D2E8A"/>
    <w:rsid w:val="006D4AB0"/>
    <w:rsid w:val="006D5658"/>
    <w:rsid w:val="006D57F6"/>
    <w:rsid w:val="006E02A8"/>
    <w:rsid w:val="006E1741"/>
    <w:rsid w:val="006E2B04"/>
    <w:rsid w:val="006E2B2E"/>
    <w:rsid w:val="006E405B"/>
    <w:rsid w:val="006E4E17"/>
    <w:rsid w:val="006E7B3F"/>
    <w:rsid w:val="006F0E4B"/>
    <w:rsid w:val="006F173E"/>
    <w:rsid w:val="006F24DA"/>
    <w:rsid w:val="006F284C"/>
    <w:rsid w:val="006F57BC"/>
    <w:rsid w:val="006F7227"/>
    <w:rsid w:val="007000BD"/>
    <w:rsid w:val="00700BAF"/>
    <w:rsid w:val="0070136C"/>
    <w:rsid w:val="00702366"/>
    <w:rsid w:val="00704245"/>
    <w:rsid w:val="00706BB9"/>
    <w:rsid w:val="00710070"/>
    <w:rsid w:val="00710841"/>
    <w:rsid w:val="00713ABA"/>
    <w:rsid w:val="007157C9"/>
    <w:rsid w:val="007162B2"/>
    <w:rsid w:val="007163BC"/>
    <w:rsid w:val="007166A1"/>
    <w:rsid w:val="00716751"/>
    <w:rsid w:val="0071697C"/>
    <w:rsid w:val="00722E9A"/>
    <w:rsid w:val="00722F40"/>
    <w:rsid w:val="00724C16"/>
    <w:rsid w:val="00725AF2"/>
    <w:rsid w:val="0073065F"/>
    <w:rsid w:val="00730AE3"/>
    <w:rsid w:val="00731C22"/>
    <w:rsid w:val="00732620"/>
    <w:rsid w:val="00732EE6"/>
    <w:rsid w:val="00733D73"/>
    <w:rsid w:val="00736BC2"/>
    <w:rsid w:val="00742491"/>
    <w:rsid w:val="0074440B"/>
    <w:rsid w:val="00744BDA"/>
    <w:rsid w:val="00746010"/>
    <w:rsid w:val="00746AD1"/>
    <w:rsid w:val="00746D5D"/>
    <w:rsid w:val="00747C90"/>
    <w:rsid w:val="00752263"/>
    <w:rsid w:val="00752990"/>
    <w:rsid w:val="00753449"/>
    <w:rsid w:val="00753BDB"/>
    <w:rsid w:val="007552D1"/>
    <w:rsid w:val="00755966"/>
    <w:rsid w:val="0075740B"/>
    <w:rsid w:val="00757ACD"/>
    <w:rsid w:val="00762593"/>
    <w:rsid w:val="0076378D"/>
    <w:rsid w:val="0076476F"/>
    <w:rsid w:val="0076524F"/>
    <w:rsid w:val="00766363"/>
    <w:rsid w:val="00766641"/>
    <w:rsid w:val="007700CD"/>
    <w:rsid w:val="0077503A"/>
    <w:rsid w:val="00775238"/>
    <w:rsid w:val="00775BAC"/>
    <w:rsid w:val="00776E08"/>
    <w:rsid w:val="00777F35"/>
    <w:rsid w:val="007808DA"/>
    <w:rsid w:val="00780E99"/>
    <w:rsid w:val="00781971"/>
    <w:rsid w:val="00782CCA"/>
    <w:rsid w:val="00783473"/>
    <w:rsid w:val="0078393A"/>
    <w:rsid w:val="007903BE"/>
    <w:rsid w:val="0079228B"/>
    <w:rsid w:val="00792370"/>
    <w:rsid w:val="00792DD9"/>
    <w:rsid w:val="00792FE6"/>
    <w:rsid w:val="0079325E"/>
    <w:rsid w:val="00793280"/>
    <w:rsid w:val="00793668"/>
    <w:rsid w:val="00796E28"/>
    <w:rsid w:val="007A025A"/>
    <w:rsid w:val="007A2A1C"/>
    <w:rsid w:val="007A4C4A"/>
    <w:rsid w:val="007A705C"/>
    <w:rsid w:val="007A70A8"/>
    <w:rsid w:val="007B1587"/>
    <w:rsid w:val="007B2CC1"/>
    <w:rsid w:val="007B304E"/>
    <w:rsid w:val="007B45A8"/>
    <w:rsid w:val="007B6364"/>
    <w:rsid w:val="007B7B36"/>
    <w:rsid w:val="007C054B"/>
    <w:rsid w:val="007C38E6"/>
    <w:rsid w:val="007C3DA5"/>
    <w:rsid w:val="007C5285"/>
    <w:rsid w:val="007C5E4F"/>
    <w:rsid w:val="007C633B"/>
    <w:rsid w:val="007C779C"/>
    <w:rsid w:val="007D08CA"/>
    <w:rsid w:val="007D2331"/>
    <w:rsid w:val="007D3182"/>
    <w:rsid w:val="007D3CC3"/>
    <w:rsid w:val="007D5E0B"/>
    <w:rsid w:val="007D724C"/>
    <w:rsid w:val="007E25A8"/>
    <w:rsid w:val="007E41A8"/>
    <w:rsid w:val="007E559A"/>
    <w:rsid w:val="007E78BE"/>
    <w:rsid w:val="007F1D67"/>
    <w:rsid w:val="007F27BB"/>
    <w:rsid w:val="007F4464"/>
    <w:rsid w:val="007F4D27"/>
    <w:rsid w:val="007F603D"/>
    <w:rsid w:val="007F6045"/>
    <w:rsid w:val="007F7C67"/>
    <w:rsid w:val="00800553"/>
    <w:rsid w:val="00800B7F"/>
    <w:rsid w:val="008026F3"/>
    <w:rsid w:val="00803346"/>
    <w:rsid w:val="00805931"/>
    <w:rsid w:val="00806FD1"/>
    <w:rsid w:val="008118F0"/>
    <w:rsid w:val="00814340"/>
    <w:rsid w:val="00814D2D"/>
    <w:rsid w:val="00815A08"/>
    <w:rsid w:val="00816858"/>
    <w:rsid w:val="00816881"/>
    <w:rsid w:val="0081734A"/>
    <w:rsid w:val="00821B70"/>
    <w:rsid w:val="00823134"/>
    <w:rsid w:val="00825524"/>
    <w:rsid w:val="00826607"/>
    <w:rsid w:val="008303FF"/>
    <w:rsid w:val="00831939"/>
    <w:rsid w:val="0083211E"/>
    <w:rsid w:val="008323BE"/>
    <w:rsid w:val="00834890"/>
    <w:rsid w:val="00837B9B"/>
    <w:rsid w:val="00841A66"/>
    <w:rsid w:val="00842982"/>
    <w:rsid w:val="00842A02"/>
    <w:rsid w:val="00842C49"/>
    <w:rsid w:val="00843FF1"/>
    <w:rsid w:val="0084542A"/>
    <w:rsid w:val="00845A61"/>
    <w:rsid w:val="00845ABD"/>
    <w:rsid w:val="00845E61"/>
    <w:rsid w:val="00852682"/>
    <w:rsid w:val="0085384F"/>
    <w:rsid w:val="008538DC"/>
    <w:rsid w:val="00857745"/>
    <w:rsid w:val="00857A79"/>
    <w:rsid w:val="0086369F"/>
    <w:rsid w:val="0086574F"/>
    <w:rsid w:val="00866C93"/>
    <w:rsid w:val="00866D8E"/>
    <w:rsid w:val="00866ED9"/>
    <w:rsid w:val="00867852"/>
    <w:rsid w:val="00870D40"/>
    <w:rsid w:val="00871BE0"/>
    <w:rsid w:val="008734CC"/>
    <w:rsid w:val="00874448"/>
    <w:rsid w:val="008753DE"/>
    <w:rsid w:val="00875709"/>
    <w:rsid w:val="00880ACF"/>
    <w:rsid w:val="0088188A"/>
    <w:rsid w:val="00882D5B"/>
    <w:rsid w:val="00886E20"/>
    <w:rsid w:val="00887A97"/>
    <w:rsid w:val="00890237"/>
    <w:rsid w:val="00890B2A"/>
    <w:rsid w:val="008920A1"/>
    <w:rsid w:val="00892D96"/>
    <w:rsid w:val="00894CD3"/>
    <w:rsid w:val="008955B9"/>
    <w:rsid w:val="008A0525"/>
    <w:rsid w:val="008A0782"/>
    <w:rsid w:val="008A128E"/>
    <w:rsid w:val="008A7CB2"/>
    <w:rsid w:val="008B3580"/>
    <w:rsid w:val="008B4028"/>
    <w:rsid w:val="008B65F6"/>
    <w:rsid w:val="008B7120"/>
    <w:rsid w:val="008C013C"/>
    <w:rsid w:val="008C1E35"/>
    <w:rsid w:val="008C2E59"/>
    <w:rsid w:val="008D1F86"/>
    <w:rsid w:val="008D5AA2"/>
    <w:rsid w:val="008E1946"/>
    <w:rsid w:val="008E2FD6"/>
    <w:rsid w:val="008E3285"/>
    <w:rsid w:val="008E4ED5"/>
    <w:rsid w:val="008E55B6"/>
    <w:rsid w:val="008E5F84"/>
    <w:rsid w:val="008E7040"/>
    <w:rsid w:val="008E7500"/>
    <w:rsid w:val="008F4FB9"/>
    <w:rsid w:val="008F552D"/>
    <w:rsid w:val="008F72A0"/>
    <w:rsid w:val="008F7D2A"/>
    <w:rsid w:val="0090150A"/>
    <w:rsid w:val="00901DFA"/>
    <w:rsid w:val="00902CF4"/>
    <w:rsid w:val="00903CA7"/>
    <w:rsid w:val="009067F8"/>
    <w:rsid w:val="00907842"/>
    <w:rsid w:val="009122F1"/>
    <w:rsid w:val="00912FF5"/>
    <w:rsid w:val="0091355E"/>
    <w:rsid w:val="009141C7"/>
    <w:rsid w:val="0091506C"/>
    <w:rsid w:val="009157A4"/>
    <w:rsid w:val="0091677F"/>
    <w:rsid w:val="0092144D"/>
    <w:rsid w:val="009229D7"/>
    <w:rsid w:val="00922EAD"/>
    <w:rsid w:val="00923AC2"/>
    <w:rsid w:val="0092455A"/>
    <w:rsid w:val="00924B75"/>
    <w:rsid w:val="0092794B"/>
    <w:rsid w:val="00931862"/>
    <w:rsid w:val="0093440C"/>
    <w:rsid w:val="00936F3E"/>
    <w:rsid w:val="00941683"/>
    <w:rsid w:val="00941AFD"/>
    <w:rsid w:val="009433AF"/>
    <w:rsid w:val="009439CA"/>
    <w:rsid w:val="00945384"/>
    <w:rsid w:val="00953856"/>
    <w:rsid w:val="00954662"/>
    <w:rsid w:val="009554D5"/>
    <w:rsid w:val="009611C1"/>
    <w:rsid w:val="00961C34"/>
    <w:rsid w:val="009702FA"/>
    <w:rsid w:val="00971705"/>
    <w:rsid w:val="00972A75"/>
    <w:rsid w:val="00974DA2"/>
    <w:rsid w:val="0097540D"/>
    <w:rsid w:val="009817BE"/>
    <w:rsid w:val="009822CF"/>
    <w:rsid w:val="0098249B"/>
    <w:rsid w:val="00984A22"/>
    <w:rsid w:val="00985283"/>
    <w:rsid w:val="00986575"/>
    <w:rsid w:val="0098761E"/>
    <w:rsid w:val="009913E0"/>
    <w:rsid w:val="00991439"/>
    <w:rsid w:val="009938AE"/>
    <w:rsid w:val="009A0E1E"/>
    <w:rsid w:val="009A2E52"/>
    <w:rsid w:val="009A3742"/>
    <w:rsid w:val="009A4DC4"/>
    <w:rsid w:val="009A51BA"/>
    <w:rsid w:val="009A5B4C"/>
    <w:rsid w:val="009B0046"/>
    <w:rsid w:val="009B00E8"/>
    <w:rsid w:val="009B06C8"/>
    <w:rsid w:val="009B120B"/>
    <w:rsid w:val="009B41D2"/>
    <w:rsid w:val="009B4E34"/>
    <w:rsid w:val="009B5E1D"/>
    <w:rsid w:val="009B73E3"/>
    <w:rsid w:val="009C1D41"/>
    <w:rsid w:val="009C3281"/>
    <w:rsid w:val="009C55ED"/>
    <w:rsid w:val="009C63D0"/>
    <w:rsid w:val="009C7B16"/>
    <w:rsid w:val="009D1270"/>
    <w:rsid w:val="009D1BA9"/>
    <w:rsid w:val="009D2A00"/>
    <w:rsid w:val="009D2F92"/>
    <w:rsid w:val="009D6242"/>
    <w:rsid w:val="009E00FA"/>
    <w:rsid w:val="009E2B79"/>
    <w:rsid w:val="009E4222"/>
    <w:rsid w:val="009E53F1"/>
    <w:rsid w:val="009E6510"/>
    <w:rsid w:val="009E70A3"/>
    <w:rsid w:val="009F4626"/>
    <w:rsid w:val="009F4AC6"/>
    <w:rsid w:val="009F4C03"/>
    <w:rsid w:val="009F6528"/>
    <w:rsid w:val="009F6D33"/>
    <w:rsid w:val="00A012BD"/>
    <w:rsid w:val="00A03B7F"/>
    <w:rsid w:val="00A0465E"/>
    <w:rsid w:val="00A05A3F"/>
    <w:rsid w:val="00A06E9F"/>
    <w:rsid w:val="00A10051"/>
    <w:rsid w:val="00A103E7"/>
    <w:rsid w:val="00A12380"/>
    <w:rsid w:val="00A12AA1"/>
    <w:rsid w:val="00A157F4"/>
    <w:rsid w:val="00A15E99"/>
    <w:rsid w:val="00A16F73"/>
    <w:rsid w:val="00A20F36"/>
    <w:rsid w:val="00A20F49"/>
    <w:rsid w:val="00A2246F"/>
    <w:rsid w:val="00A250E3"/>
    <w:rsid w:val="00A255D3"/>
    <w:rsid w:val="00A27693"/>
    <w:rsid w:val="00A276DF"/>
    <w:rsid w:val="00A27834"/>
    <w:rsid w:val="00A30470"/>
    <w:rsid w:val="00A30648"/>
    <w:rsid w:val="00A30DAD"/>
    <w:rsid w:val="00A31D73"/>
    <w:rsid w:val="00A32F79"/>
    <w:rsid w:val="00A33D90"/>
    <w:rsid w:val="00A348CB"/>
    <w:rsid w:val="00A34F0A"/>
    <w:rsid w:val="00A36816"/>
    <w:rsid w:val="00A37924"/>
    <w:rsid w:val="00A37E18"/>
    <w:rsid w:val="00A4147C"/>
    <w:rsid w:val="00A42ADA"/>
    <w:rsid w:val="00A43060"/>
    <w:rsid w:val="00A448E0"/>
    <w:rsid w:val="00A53E9C"/>
    <w:rsid w:val="00A61072"/>
    <w:rsid w:val="00A610C4"/>
    <w:rsid w:val="00A61CEE"/>
    <w:rsid w:val="00A62205"/>
    <w:rsid w:val="00A67A2F"/>
    <w:rsid w:val="00A7507E"/>
    <w:rsid w:val="00A75C1F"/>
    <w:rsid w:val="00A76145"/>
    <w:rsid w:val="00A76DFC"/>
    <w:rsid w:val="00A76F4D"/>
    <w:rsid w:val="00A80179"/>
    <w:rsid w:val="00A820A9"/>
    <w:rsid w:val="00A82D02"/>
    <w:rsid w:val="00A856FE"/>
    <w:rsid w:val="00A915F1"/>
    <w:rsid w:val="00A92006"/>
    <w:rsid w:val="00A93EE1"/>
    <w:rsid w:val="00A93F05"/>
    <w:rsid w:val="00A94E43"/>
    <w:rsid w:val="00AA014E"/>
    <w:rsid w:val="00AA0499"/>
    <w:rsid w:val="00AA0DB3"/>
    <w:rsid w:val="00AA1DFD"/>
    <w:rsid w:val="00AB118A"/>
    <w:rsid w:val="00AB198D"/>
    <w:rsid w:val="00AB3DEA"/>
    <w:rsid w:val="00AB4908"/>
    <w:rsid w:val="00AB5C0B"/>
    <w:rsid w:val="00AB7CE2"/>
    <w:rsid w:val="00AC1A07"/>
    <w:rsid w:val="00AC1E69"/>
    <w:rsid w:val="00AC3379"/>
    <w:rsid w:val="00AC4BC2"/>
    <w:rsid w:val="00AC7334"/>
    <w:rsid w:val="00AD32ED"/>
    <w:rsid w:val="00AD3B1D"/>
    <w:rsid w:val="00AD4EB1"/>
    <w:rsid w:val="00AD4F4E"/>
    <w:rsid w:val="00AD7306"/>
    <w:rsid w:val="00AD7C0C"/>
    <w:rsid w:val="00AD7CC2"/>
    <w:rsid w:val="00AE0DD4"/>
    <w:rsid w:val="00AE2424"/>
    <w:rsid w:val="00AE3DF2"/>
    <w:rsid w:val="00AE51FF"/>
    <w:rsid w:val="00AE579A"/>
    <w:rsid w:val="00AE74DE"/>
    <w:rsid w:val="00AE7E41"/>
    <w:rsid w:val="00AF0AB8"/>
    <w:rsid w:val="00AF17E8"/>
    <w:rsid w:val="00AF18D7"/>
    <w:rsid w:val="00AF1C90"/>
    <w:rsid w:val="00AF5463"/>
    <w:rsid w:val="00AF5D9F"/>
    <w:rsid w:val="00AF6096"/>
    <w:rsid w:val="00AF6B74"/>
    <w:rsid w:val="00AF705A"/>
    <w:rsid w:val="00AF7275"/>
    <w:rsid w:val="00B00E1A"/>
    <w:rsid w:val="00B012FB"/>
    <w:rsid w:val="00B03077"/>
    <w:rsid w:val="00B05C1F"/>
    <w:rsid w:val="00B06B50"/>
    <w:rsid w:val="00B214D3"/>
    <w:rsid w:val="00B218DD"/>
    <w:rsid w:val="00B23242"/>
    <w:rsid w:val="00B23B11"/>
    <w:rsid w:val="00B23FE8"/>
    <w:rsid w:val="00B240CB"/>
    <w:rsid w:val="00B24475"/>
    <w:rsid w:val="00B245B2"/>
    <w:rsid w:val="00B249ED"/>
    <w:rsid w:val="00B271A0"/>
    <w:rsid w:val="00B3016B"/>
    <w:rsid w:val="00B3299A"/>
    <w:rsid w:val="00B3761B"/>
    <w:rsid w:val="00B379FE"/>
    <w:rsid w:val="00B41407"/>
    <w:rsid w:val="00B437CD"/>
    <w:rsid w:val="00B4404F"/>
    <w:rsid w:val="00B5146D"/>
    <w:rsid w:val="00B520C4"/>
    <w:rsid w:val="00B52192"/>
    <w:rsid w:val="00B53AB0"/>
    <w:rsid w:val="00B55150"/>
    <w:rsid w:val="00B555E1"/>
    <w:rsid w:val="00B56315"/>
    <w:rsid w:val="00B56B11"/>
    <w:rsid w:val="00B5754B"/>
    <w:rsid w:val="00B61C13"/>
    <w:rsid w:val="00B63E0B"/>
    <w:rsid w:val="00B65E84"/>
    <w:rsid w:val="00B66B4E"/>
    <w:rsid w:val="00B70BA4"/>
    <w:rsid w:val="00B71D3C"/>
    <w:rsid w:val="00B72A58"/>
    <w:rsid w:val="00B739E5"/>
    <w:rsid w:val="00B752BD"/>
    <w:rsid w:val="00B77C0A"/>
    <w:rsid w:val="00B80DB9"/>
    <w:rsid w:val="00B824FE"/>
    <w:rsid w:val="00B8380F"/>
    <w:rsid w:val="00B83E56"/>
    <w:rsid w:val="00B84191"/>
    <w:rsid w:val="00B853F0"/>
    <w:rsid w:val="00B85F9B"/>
    <w:rsid w:val="00BA1498"/>
    <w:rsid w:val="00BA1D42"/>
    <w:rsid w:val="00BA24B3"/>
    <w:rsid w:val="00BA29CB"/>
    <w:rsid w:val="00BA3233"/>
    <w:rsid w:val="00BA4986"/>
    <w:rsid w:val="00BA5EEF"/>
    <w:rsid w:val="00BB007A"/>
    <w:rsid w:val="00BB01CD"/>
    <w:rsid w:val="00BB03D2"/>
    <w:rsid w:val="00BB26DD"/>
    <w:rsid w:val="00BB3537"/>
    <w:rsid w:val="00BB5C19"/>
    <w:rsid w:val="00BC18D3"/>
    <w:rsid w:val="00BC1EF3"/>
    <w:rsid w:val="00BC24E9"/>
    <w:rsid w:val="00BC579F"/>
    <w:rsid w:val="00BC6171"/>
    <w:rsid w:val="00BD1995"/>
    <w:rsid w:val="00BD1B96"/>
    <w:rsid w:val="00BD38EF"/>
    <w:rsid w:val="00BD5667"/>
    <w:rsid w:val="00BD7166"/>
    <w:rsid w:val="00BE0CA1"/>
    <w:rsid w:val="00BE2391"/>
    <w:rsid w:val="00BE2E99"/>
    <w:rsid w:val="00BE37A4"/>
    <w:rsid w:val="00BE39C0"/>
    <w:rsid w:val="00BE3D76"/>
    <w:rsid w:val="00BE45DE"/>
    <w:rsid w:val="00BE5C7F"/>
    <w:rsid w:val="00BF1BDC"/>
    <w:rsid w:val="00BF3148"/>
    <w:rsid w:val="00BF3AAF"/>
    <w:rsid w:val="00BF3DC9"/>
    <w:rsid w:val="00BF6666"/>
    <w:rsid w:val="00C0174F"/>
    <w:rsid w:val="00C045DF"/>
    <w:rsid w:val="00C04B94"/>
    <w:rsid w:val="00C05456"/>
    <w:rsid w:val="00C076A9"/>
    <w:rsid w:val="00C0798E"/>
    <w:rsid w:val="00C121DA"/>
    <w:rsid w:val="00C1268E"/>
    <w:rsid w:val="00C148A2"/>
    <w:rsid w:val="00C15A80"/>
    <w:rsid w:val="00C15BBB"/>
    <w:rsid w:val="00C16311"/>
    <w:rsid w:val="00C209B5"/>
    <w:rsid w:val="00C23379"/>
    <w:rsid w:val="00C272A7"/>
    <w:rsid w:val="00C30C5F"/>
    <w:rsid w:val="00C31BBF"/>
    <w:rsid w:val="00C31FC0"/>
    <w:rsid w:val="00C32C74"/>
    <w:rsid w:val="00C345F7"/>
    <w:rsid w:val="00C35BDD"/>
    <w:rsid w:val="00C35DE8"/>
    <w:rsid w:val="00C370B3"/>
    <w:rsid w:val="00C372BC"/>
    <w:rsid w:val="00C37FF1"/>
    <w:rsid w:val="00C40ACE"/>
    <w:rsid w:val="00C42C01"/>
    <w:rsid w:val="00C4481A"/>
    <w:rsid w:val="00C4541B"/>
    <w:rsid w:val="00C4595C"/>
    <w:rsid w:val="00C46788"/>
    <w:rsid w:val="00C46D04"/>
    <w:rsid w:val="00C50483"/>
    <w:rsid w:val="00C507CD"/>
    <w:rsid w:val="00C51CC0"/>
    <w:rsid w:val="00C5254A"/>
    <w:rsid w:val="00C52FBA"/>
    <w:rsid w:val="00C53EFF"/>
    <w:rsid w:val="00C55EC6"/>
    <w:rsid w:val="00C5739B"/>
    <w:rsid w:val="00C6065C"/>
    <w:rsid w:val="00C60E4E"/>
    <w:rsid w:val="00C622F1"/>
    <w:rsid w:val="00C63322"/>
    <w:rsid w:val="00C64507"/>
    <w:rsid w:val="00C65A05"/>
    <w:rsid w:val="00C70B08"/>
    <w:rsid w:val="00C70EEB"/>
    <w:rsid w:val="00C71C97"/>
    <w:rsid w:val="00C7246E"/>
    <w:rsid w:val="00C73AD8"/>
    <w:rsid w:val="00C75700"/>
    <w:rsid w:val="00C7579D"/>
    <w:rsid w:val="00C85E35"/>
    <w:rsid w:val="00C85EA4"/>
    <w:rsid w:val="00C912FE"/>
    <w:rsid w:val="00C9162B"/>
    <w:rsid w:val="00C91B3B"/>
    <w:rsid w:val="00C91C68"/>
    <w:rsid w:val="00C93C26"/>
    <w:rsid w:val="00C94D57"/>
    <w:rsid w:val="00C95A5A"/>
    <w:rsid w:val="00C95BC9"/>
    <w:rsid w:val="00C96015"/>
    <w:rsid w:val="00C978EB"/>
    <w:rsid w:val="00CA1572"/>
    <w:rsid w:val="00CA3545"/>
    <w:rsid w:val="00CA4A2C"/>
    <w:rsid w:val="00CA6B87"/>
    <w:rsid w:val="00CA7EA4"/>
    <w:rsid w:val="00CB32D6"/>
    <w:rsid w:val="00CB4B9A"/>
    <w:rsid w:val="00CB50BA"/>
    <w:rsid w:val="00CB65FD"/>
    <w:rsid w:val="00CB660D"/>
    <w:rsid w:val="00CC144E"/>
    <w:rsid w:val="00CC1496"/>
    <w:rsid w:val="00CC2031"/>
    <w:rsid w:val="00CC3D46"/>
    <w:rsid w:val="00CC41AC"/>
    <w:rsid w:val="00CC755F"/>
    <w:rsid w:val="00CD1799"/>
    <w:rsid w:val="00CD2723"/>
    <w:rsid w:val="00CD65B8"/>
    <w:rsid w:val="00CD68DE"/>
    <w:rsid w:val="00CE0E03"/>
    <w:rsid w:val="00CE51C3"/>
    <w:rsid w:val="00CE54FE"/>
    <w:rsid w:val="00CF2483"/>
    <w:rsid w:val="00CF2F38"/>
    <w:rsid w:val="00CF3399"/>
    <w:rsid w:val="00CF4F69"/>
    <w:rsid w:val="00CF63B8"/>
    <w:rsid w:val="00CF69E3"/>
    <w:rsid w:val="00CF7E3C"/>
    <w:rsid w:val="00D007D1"/>
    <w:rsid w:val="00D00A0E"/>
    <w:rsid w:val="00D05AFF"/>
    <w:rsid w:val="00D0744A"/>
    <w:rsid w:val="00D1072F"/>
    <w:rsid w:val="00D10744"/>
    <w:rsid w:val="00D11344"/>
    <w:rsid w:val="00D11E98"/>
    <w:rsid w:val="00D12296"/>
    <w:rsid w:val="00D1296E"/>
    <w:rsid w:val="00D131B6"/>
    <w:rsid w:val="00D13B6E"/>
    <w:rsid w:val="00D1467F"/>
    <w:rsid w:val="00D15589"/>
    <w:rsid w:val="00D17334"/>
    <w:rsid w:val="00D17883"/>
    <w:rsid w:val="00D20D8B"/>
    <w:rsid w:val="00D21815"/>
    <w:rsid w:val="00D22383"/>
    <w:rsid w:val="00D22AE8"/>
    <w:rsid w:val="00D235C1"/>
    <w:rsid w:val="00D244AA"/>
    <w:rsid w:val="00D25B07"/>
    <w:rsid w:val="00D26998"/>
    <w:rsid w:val="00D27D9B"/>
    <w:rsid w:val="00D30C19"/>
    <w:rsid w:val="00D3191C"/>
    <w:rsid w:val="00D323C2"/>
    <w:rsid w:val="00D344BE"/>
    <w:rsid w:val="00D3471A"/>
    <w:rsid w:val="00D37094"/>
    <w:rsid w:val="00D37BBE"/>
    <w:rsid w:val="00D43009"/>
    <w:rsid w:val="00D432AD"/>
    <w:rsid w:val="00D442E0"/>
    <w:rsid w:val="00D46DFF"/>
    <w:rsid w:val="00D51069"/>
    <w:rsid w:val="00D51E75"/>
    <w:rsid w:val="00D53816"/>
    <w:rsid w:val="00D56456"/>
    <w:rsid w:val="00D56CCE"/>
    <w:rsid w:val="00D60836"/>
    <w:rsid w:val="00D6233C"/>
    <w:rsid w:val="00D62410"/>
    <w:rsid w:val="00D65ACA"/>
    <w:rsid w:val="00D66A71"/>
    <w:rsid w:val="00D711FA"/>
    <w:rsid w:val="00D73786"/>
    <w:rsid w:val="00D75124"/>
    <w:rsid w:val="00D75369"/>
    <w:rsid w:val="00D7656A"/>
    <w:rsid w:val="00D77F6E"/>
    <w:rsid w:val="00D80A1F"/>
    <w:rsid w:val="00D823C5"/>
    <w:rsid w:val="00D83BD4"/>
    <w:rsid w:val="00D8426D"/>
    <w:rsid w:val="00D851B3"/>
    <w:rsid w:val="00D8781E"/>
    <w:rsid w:val="00D87B3B"/>
    <w:rsid w:val="00D91829"/>
    <w:rsid w:val="00D91B5D"/>
    <w:rsid w:val="00D91EF1"/>
    <w:rsid w:val="00D920E5"/>
    <w:rsid w:val="00D9537D"/>
    <w:rsid w:val="00D9689B"/>
    <w:rsid w:val="00DA14A7"/>
    <w:rsid w:val="00DA2039"/>
    <w:rsid w:val="00DA3315"/>
    <w:rsid w:val="00DA3D79"/>
    <w:rsid w:val="00DA41C8"/>
    <w:rsid w:val="00DA4A69"/>
    <w:rsid w:val="00DA4A6D"/>
    <w:rsid w:val="00DA6DD2"/>
    <w:rsid w:val="00DB097D"/>
    <w:rsid w:val="00DB1742"/>
    <w:rsid w:val="00DB1760"/>
    <w:rsid w:val="00DB19AE"/>
    <w:rsid w:val="00DB1DA3"/>
    <w:rsid w:val="00DB237F"/>
    <w:rsid w:val="00DB30EB"/>
    <w:rsid w:val="00DB6243"/>
    <w:rsid w:val="00DB6254"/>
    <w:rsid w:val="00DB6CCC"/>
    <w:rsid w:val="00DC0277"/>
    <w:rsid w:val="00DC471A"/>
    <w:rsid w:val="00DD1950"/>
    <w:rsid w:val="00DD1FF3"/>
    <w:rsid w:val="00DD35EA"/>
    <w:rsid w:val="00DD52CC"/>
    <w:rsid w:val="00DD5879"/>
    <w:rsid w:val="00DD6D04"/>
    <w:rsid w:val="00DE0DCA"/>
    <w:rsid w:val="00DE308B"/>
    <w:rsid w:val="00DF0002"/>
    <w:rsid w:val="00DF129E"/>
    <w:rsid w:val="00DF2D93"/>
    <w:rsid w:val="00E0091A"/>
    <w:rsid w:val="00E00B42"/>
    <w:rsid w:val="00E065CA"/>
    <w:rsid w:val="00E13969"/>
    <w:rsid w:val="00E13D01"/>
    <w:rsid w:val="00E15FB3"/>
    <w:rsid w:val="00E16B89"/>
    <w:rsid w:val="00E16C4E"/>
    <w:rsid w:val="00E16C5B"/>
    <w:rsid w:val="00E17339"/>
    <w:rsid w:val="00E17F4C"/>
    <w:rsid w:val="00E21B7C"/>
    <w:rsid w:val="00E22131"/>
    <w:rsid w:val="00E22B53"/>
    <w:rsid w:val="00E24084"/>
    <w:rsid w:val="00E24375"/>
    <w:rsid w:val="00E265A9"/>
    <w:rsid w:val="00E273A5"/>
    <w:rsid w:val="00E31F2D"/>
    <w:rsid w:val="00E32A4B"/>
    <w:rsid w:val="00E33EE5"/>
    <w:rsid w:val="00E34B58"/>
    <w:rsid w:val="00E362C1"/>
    <w:rsid w:val="00E365C9"/>
    <w:rsid w:val="00E37186"/>
    <w:rsid w:val="00E37A7A"/>
    <w:rsid w:val="00E41491"/>
    <w:rsid w:val="00E435A9"/>
    <w:rsid w:val="00E453FA"/>
    <w:rsid w:val="00E45451"/>
    <w:rsid w:val="00E47630"/>
    <w:rsid w:val="00E47C98"/>
    <w:rsid w:val="00E559FA"/>
    <w:rsid w:val="00E55B3B"/>
    <w:rsid w:val="00E55E91"/>
    <w:rsid w:val="00E5612E"/>
    <w:rsid w:val="00E5618B"/>
    <w:rsid w:val="00E568AD"/>
    <w:rsid w:val="00E57A10"/>
    <w:rsid w:val="00E57E5D"/>
    <w:rsid w:val="00E60404"/>
    <w:rsid w:val="00E605C9"/>
    <w:rsid w:val="00E60A6C"/>
    <w:rsid w:val="00E64AC6"/>
    <w:rsid w:val="00E66E46"/>
    <w:rsid w:val="00E70745"/>
    <w:rsid w:val="00E73880"/>
    <w:rsid w:val="00E738EC"/>
    <w:rsid w:val="00E765E7"/>
    <w:rsid w:val="00E771CF"/>
    <w:rsid w:val="00E81563"/>
    <w:rsid w:val="00E82492"/>
    <w:rsid w:val="00E83D87"/>
    <w:rsid w:val="00E83D98"/>
    <w:rsid w:val="00E8577E"/>
    <w:rsid w:val="00E91E2F"/>
    <w:rsid w:val="00E93C12"/>
    <w:rsid w:val="00E94157"/>
    <w:rsid w:val="00E950F5"/>
    <w:rsid w:val="00E95882"/>
    <w:rsid w:val="00E9792B"/>
    <w:rsid w:val="00E9793A"/>
    <w:rsid w:val="00E979C2"/>
    <w:rsid w:val="00EA004D"/>
    <w:rsid w:val="00EA1688"/>
    <w:rsid w:val="00EA1E2C"/>
    <w:rsid w:val="00EA3690"/>
    <w:rsid w:val="00EA505C"/>
    <w:rsid w:val="00EA7525"/>
    <w:rsid w:val="00EB01B1"/>
    <w:rsid w:val="00EB2FEF"/>
    <w:rsid w:val="00EB33FE"/>
    <w:rsid w:val="00EB34E9"/>
    <w:rsid w:val="00EB4A66"/>
    <w:rsid w:val="00EB4EC1"/>
    <w:rsid w:val="00EB54CC"/>
    <w:rsid w:val="00EB62FF"/>
    <w:rsid w:val="00EB6F51"/>
    <w:rsid w:val="00EC015D"/>
    <w:rsid w:val="00EC0262"/>
    <w:rsid w:val="00EC0891"/>
    <w:rsid w:val="00EC09F2"/>
    <w:rsid w:val="00EC18E6"/>
    <w:rsid w:val="00EC1942"/>
    <w:rsid w:val="00EC1F95"/>
    <w:rsid w:val="00EC4697"/>
    <w:rsid w:val="00EC5795"/>
    <w:rsid w:val="00EC63A1"/>
    <w:rsid w:val="00EC6CEF"/>
    <w:rsid w:val="00EC7177"/>
    <w:rsid w:val="00ED0ECA"/>
    <w:rsid w:val="00ED1846"/>
    <w:rsid w:val="00ED3438"/>
    <w:rsid w:val="00ED51FE"/>
    <w:rsid w:val="00ED5BE0"/>
    <w:rsid w:val="00ED6E56"/>
    <w:rsid w:val="00EE2060"/>
    <w:rsid w:val="00EE46D5"/>
    <w:rsid w:val="00EE4713"/>
    <w:rsid w:val="00EE4C33"/>
    <w:rsid w:val="00EE51DB"/>
    <w:rsid w:val="00EF2023"/>
    <w:rsid w:val="00EF55F3"/>
    <w:rsid w:val="00F00F5D"/>
    <w:rsid w:val="00F01139"/>
    <w:rsid w:val="00F01503"/>
    <w:rsid w:val="00F01ABA"/>
    <w:rsid w:val="00F01F6A"/>
    <w:rsid w:val="00F02588"/>
    <w:rsid w:val="00F03865"/>
    <w:rsid w:val="00F050E9"/>
    <w:rsid w:val="00F05A93"/>
    <w:rsid w:val="00F0742E"/>
    <w:rsid w:val="00F079F3"/>
    <w:rsid w:val="00F1003B"/>
    <w:rsid w:val="00F10D84"/>
    <w:rsid w:val="00F11234"/>
    <w:rsid w:val="00F13DC0"/>
    <w:rsid w:val="00F13ED3"/>
    <w:rsid w:val="00F14485"/>
    <w:rsid w:val="00F14D78"/>
    <w:rsid w:val="00F14F04"/>
    <w:rsid w:val="00F1507B"/>
    <w:rsid w:val="00F15C44"/>
    <w:rsid w:val="00F161D1"/>
    <w:rsid w:val="00F16F02"/>
    <w:rsid w:val="00F1741A"/>
    <w:rsid w:val="00F179B3"/>
    <w:rsid w:val="00F2233B"/>
    <w:rsid w:val="00F24223"/>
    <w:rsid w:val="00F2453E"/>
    <w:rsid w:val="00F26A60"/>
    <w:rsid w:val="00F26AB9"/>
    <w:rsid w:val="00F27B82"/>
    <w:rsid w:val="00F3038C"/>
    <w:rsid w:val="00F30647"/>
    <w:rsid w:val="00F30AF3"/>
    <w:rsid w:val="00F36803"/>
    <w:rsid w:val="00F37E2A"/>
    <w:rsid w:val="00F418A8"/>
    <w:rsid w:val="00F41DC8"/>
    <w:rsid w:val="00F41EC9"/>
    <w:rsid w:val="00F43970"/>
    <w:rsid w:val="00F43D7B"/>
    <w:rsid w:val="00F44B3C"/>
    <w:rsid w:val="00F458E9"/>
    <w:rsid w:val="00F465B6"/>
    <w:rsid w:val="00F50542"/>
    <w:rsid w:val="00F52835"/>
    <w:rsid w:val="00F5464E"/>
    <w:rsid w:val="00F55623"/>
    <w:rsid w:val="00F621D8"/>
    <w:rsid w:val="00F627EF"/>
    <w:rsid w:val="00F62929"/>
    <w:rsid w:val="00F64CB9"/>
    <w:rsid w:val="00F65B2C"/>
    <w:rsid w:val="00F65EE8"/>
    <w:rsid w:val="00F67181"/>
    <w:rsid w:val="00F67FB8"/>
    <w:rsid w:val="00F70574"/>
    <w:rsid w:val="00F732A2"/>
    <w:rsid w:val="00F7372F"/>
    <w:rsid w:val="00F7500A"/>
    <w:rsid w:val="00F770E6"/>
    <w:rsid w:val="00F773F3"/>
    <w:rsid w:val="00F77628"/>
    <w:rsid w:val="00F77C28"/>
    <w:rsid w:val="00F77D64"/>
    <w:rsid w:val="00F808A6"/>
    <w:rsid w:val="00F80AEE"/>
    <w:rsid w:val="00F8309A"/>
    <w:rsid w:val="00F838DD"/>
    <w:rsid w:val="00F83EEF"/>
    <w:rsid w:val="00F84850"/>
    <w:rsid w:val="00F87351"/>
    <w:rsid w:val="00F87E69"/>
    <w:rsid w:val="00F90DA7"/>
    <w:rsid w:val="00F90FDF"/>
    <w:rsid w:val="00F910FA"/>
    <w:rsid w:val="00F92869"/>
    <w:rsid w:val="00F93FE6"/>
    <w:rsid w:val="00F95C0A"/>
    <w:rsid w:val="00F975F2"/>
    <w:rsid w:val="00F97BF7"/>
    <w:rsid w:val="00FA02A8"/>
    <w:rsid w:val="00FA03C0"/>
    <w:rsid w:val="00FA0617"/>
    <w:rsid w:val="00FA0871"/>
    <w:rsid w:val="00FA1A3C"/>
    <w:rsid w:val="00FA201A"/>
    <w:rsid w:val="00FA28E3"/>
    <w:rsid w:val="00FA49F4"/>
    <w:rsid w:val="00FA6FAA"/>
    <w:rsid w:val="00FB06F3"/>
    <w:rsid w:val="00FB25B5"/>
    <w:rsid w:val="00FB2CD4"/>
    <w:rsid w:val="00FB3B70"/>
    <w:rsid w:val="00FB3FCD"/>
    <w:rsid w:val="00FB4B6A"/>
    <w:rsid w:val="00FC1E4D"/>
    <w:rsid w:val="00FC217E"/>
    <w:rsid w:val="00FC267A"/>
    <w:rsid w:val="00FC5B16"/>
    <w:rsid w:val="00FC6159"/>
    <w:rsid w:val="00FC7E7F"/>
    <w:rsid w:val="00FD061C"/>
    <w:rsid w:val="00FD0C6F"/>
    <w:rsid w:val="00FD1D52"/>
    <w:rsid w:val="00FD4E60"/>
    <w:rsid w:val="00FD6188"/>
    <w:rsid w:val="00FD6762"/>
    <w:rsid w:val="00FD7207"/>
    <w:rsid w:val="00FE0EAA"/>
    <w:rsid w:val="00FE2B01"/>
    <w:rsid w:val="00FE3CD6"/>
    <w:rsid w:val="00FE3E81"/>
    <w:rsid w:val="00FE5859"/>
    <w:rsid w:val="00FE5C7B"/>
    <w:rsid w:val="00FE635C"/>
    <w:rsid w:val="00FE6A68"/>
    <w:rsid w:val="00FE760E"/>
    <w:rsid w:val="00FE7621"/>
    <w:rsid w:val="00FE774C"/>
    <w:rsid w:val="00FE7920"/>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FC8B53"/>
  <w15:docId w15:val="{F3FD0B87-A730-46D6-A502-5280256F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uiPriority w:val="9"/>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5513BF"/>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5513BF"/>
    <w:pPr>
      <w:keepNext/>
      <w:jc w:val="right"/>
      <w:outlineLvl w:val="6"/>
    </w:pPr>
    <w:rPr>
      <w:rFonts w:ascii="Univers" w:hAnsi="Univers"/>
      <w:b/>
      <w:sz w:val="28"/>
    </w:rPr>
  </w:style>
  <w:style w:type="paragraph" w:styleId="Heading8">
    <w:name w:val="heading 8"/>
    <w:basedOn w:val="Normal"/>
    <w:next w:val="Normal"/>
    <w:link w:val="Heading8Char"/>
    <w:uiPriority w:val="9"/>
    <w:qFormat/>
    <w:rsid w:val="005513BF"/>
    <w:pPr>
      <w:keepNext/>
      <w:jc w:val="right"/>
      <w:outlineLvl w:val="7"/>
    </w:pPr>
    <w:rPr>
      <w:rFonts w:ascii="Univers" w:hAnsi="Univers"/>
      <w:b/>
      <w:sz w:val="32"/>
    </w:rPr>
  </w:style>
  <w:style w:type="paragraph" w:styleId="Heading9">
    <w:name w:val="heading 9"/>
    <w:basedOn w:val="Normal"/>
    <w:next w:val="Normal"/>
    <w:link w:val="Heading9Char"/>
    <w:uiPriority w:val="9"/>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uiPriority w:val="99"/>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styleId="UnresolvedMention">
    <w:name w:val="Unresolved Mention"/>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uiPriority w:val="9"/>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Heading3Char">
    <w:name w:val="Heading 3 Char"/>
    <w:basedOn w:val="DefaultParagraphFont"/>
    <w:link w:val="Heading3"/>
    <w:uiPriority w:val="9"/>
    <w:rsid w:val="00643818"/>
    <w:rPr>
      <w:i/>
      <w:iCs/>
      <w:sz w:val="22"/>
      <w:szCs w:val="24"/>
      <w:lang w:val="en-GB"/>
    </w:rPr>
  </w:style>
  <w:style w:type="character" w:customStyle="1" w:styleId="Heading4Char">
    <w:name w:val="Heading 4 Char"/>
    <w:basedOn w:val="DefaultParagraphFont"/>
    <w:link w:val="Heading4"/>
    <w:uiPriority w:val="9"/>
    <w:rsid w:val="00643818"/>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uiPriority w:val="9"/>
    <w:rsid w:val="00643818"/>
    <w:rPr>
      <w:bCs/>
      <w:i/>
      <w:sz w:val="22"/>
      <w:szCs w:val="26"/>
    </w:rPr>
  </w:style>
  <w:style w:type="character" w:customStyle="1" w:styleId="Heading6Char">
    <w:name w:val="Heading 6 Char"/>
    <w:basedOn w:val="DefaultParagraphFont"/>
    <w:link w:val="Heading6"/>
    <w:uiPriority w:val="9"/>
    <w:rsid w:val="00643818"/>
    <w:rPr>
      <w:sz w:val="22"/>
      <w:szCs w:val="24"/>
      <w:u w:val="single"/>
      <w:lang w:val="en-GB"/>
    </w:rPr>
  </w:style>
  <w:style w:type="character" w:customStyle="1" w:styleId="Heading7Char">
    <w:name w:val="Heading 7 Char"/>
    <w:basedOn w:val="DefaultParagraphFont"/>
    <w:link w:val="Heading7"/>
    <w:uiPriority w:val="9"/>
    <w:rsid w:val="00643818"/>
    <w:rPr>
      <w:rFonts w:ascii="Univers" w:hAnsi="Univers"/>
      <w:b/>
      <w:sz w:val="28"/>
      <w:szCs w:val="24"/>
      <w:lang w:val="en-GB"/>
    </w:rPr>
  </w:style>
  <w:style w:type="character" w:customStyle="1" w:styleId="Heading8Char">
    <w:name w:val="Heading 8 Char"/>
    <w:basedOn w:val="DefaultParagraphFont"/>
    <w:link w:val="Heading8"/>
    <w:uiPriority w:val="9"/>
    <w:rsid w:val="00643818"/>
    <w:rPr>
      <w:rFonts w:ascii="Univers" w:hAnsi="Univers"/>
      <w:b/>
      <w:sz w:val="32"/>
      <w:szCs w:val="24"/>
      <w:lang w:val="en-GB"/>
    </w:rPr>
  </w:style>
  <w:style w:type="character" w:customStyle="1" w:styleId="Heading9Char">
    <w:name w:val="Heading 9 Char"/>
    <w:basedOn w:val="DefaultParagraphFont"/>
    <w:link w:val="Heading9"/>
    <w:uiPriority w:val="9"/>
    <w:rsid w:val="00643818"/>
    <w:rPr>
      <w:i/>
      <w:iCs/>
      <w:sz w:val="22"/>
      <w:szCs w:val="24"/>
      <w:lang w:val="en-GB"/>
    </w:rPr>
  </w:style>
  <w:style w:type="paragraph" w:styleId="Subtitle">
    <w:name w:val="Subtitle"/>
    <w:basedOn w:val="Normal"/>
    <w:next w:val="Normal"/>
    <w:link w:val="SubtitleChar"/>
    <w:uiPriority w:val="11"/>
    <w:qFormat/>
    <w:rsid w:val="006438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3818"/>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643818"/>
    <w:pPr>
      <w:spacing w:before="160" w:after="160" w:line="278" w:lineRule="auto"/>
      <w:jc w:val="center"/>
    </w:pPr>
    <w:rPr>
      <w:rFonts w:asciiTheme="minorHAnsi" w:eastAsiaTheme="minorHAnsi" w:hAnsi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43818"/>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643818"/>
    <w:rPr>
      <w:i/>
      <w:iCs/>
      <w:color w:val="365F91" w:themeColor="accent1" w:themeShade="BF"/>
    </w:rPr>
  </w:style>
  <w:style w:type="paragraph" w:styleId="IntenseQuote">
    <w:name w:val="Intense Quote"/>
    <w:basedOn w:val="Normal"/>
    <w:next w:val="Normal"/>
    <w:link w:val="IntenseQuoteChar"/>
    <w:uiPriority w:val="30"/>
    <w:qFormat/>
    <w:rsid w:val="0064381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43818"/>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643818"/>
    <w:rPr>
      <w:b/>
      <w:bCs/>
      <w:smallCaps/>
      <w:color w:val="365F91" w:themeColor="accent1" w:themeShade="BF"/>
      <w:spacing w:val="5"/>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71AB"/>
    <w:rPr>
      <w:sz w:val="22"/>
      <w:szCs w:val="24"/>
      <w:lang w:val="en-GB"/>
    </w:rPr>
  </w:style>
  <w:style w:type="paragraph" w:customStyle="1" w:styleId="CBDDesicionAnnex">
    <w:name w:val="CBD_DesicionAnnex"/>
    <w:basedOn w:val="Normal"/>
    <w:next w:val="Normal"/>
    <w:qFormat/>
    <w:rsid w:val="00B53AB0"/>
    <w:pPr>
      <w:keepNext/>
      <w:keepLines/>
      <w:tabs>
        <w:tab w:val="left" w:pos="2835"/>
        <w:tab w:val="left" w:pos="3402"/>
      </w:tabs>
      <w:spacing w:before="240" w:after="120"/>
      <w:ind w:left="567"/>
      <w:jc w:val="left"/>
    </w:pPr>
    <w:rPr>
      <w:rFonts w:eastAsia="SimSun" w:cs="Times New Roman Bold"/>
      <w:b/>
      <w:bCs/>
      <w:sz w:val="24"/>
      <w:szCs w:val="22"/>
    </w:rPr>
  </w:style>
  <w:style w:type="paragraph" w:customStyle="1" w:styleId="CBDTableNormal">
    <w:name w:val="CBD_TableNormal"/>
    <w:basedOn w:val="Normal"/>
    <w:qFormat/>
    <w:rsid w:val="00B53AB0"/>
    <w:pPr>
      <w:tabs>
        <w:tab w:val="left" w:pos="567"/>
        <w:tab w:val="left" w:pos="1134"/>
        <w:tab w:val="left" w:pos="1701"/>
        <w:tab w:val="left" w:pos="2268"/>
        <w:tab w:val="left" w:pos="2835"/>
        <w:tab w:val="left" w:pos="3402"/>
      </w:tabs>
      <w:spacing w:before="40" w:after="80"/>
      <w:jc w:val="left"/>
    </w:pPr>
    <w:rPr>
      <w:rFonts w:eastAsia="SimSun"/>
      <w:sz w:val="20"/>
      <w:szCs w:val="22"/>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uiPriority w:val="99"/>
    <w:rsid w:val="00B53AB0"/>
    <w:pPr>
      <w:tabs>
        <w:tab w:val="num" w:pos="1800"/>
      </w:tabs>
      <w:spacing w:after="160" w:line="240" w:lineRule="exact"/>
      <w:jc w:val="left"/>
    </w:pPr>
    <w:rPr>
      <w:rFonts w:asciiTheme="minorHAnsi" w:eastAsiaTheme="minorHAnsi" w:hAnsiTheme="minorHAnsi" w:cstheme="minorBidi"/>
      <w:kern w:val="2"/>
      <w:szCs w:val="22"/>
      <w:vertAlign w:val="superscript"/>
      <w14:ligatures w14:val="standardContextual"/>
    </w:rPr>
  </w:style>
  <w:style w:type="table" w:customStyle="1" w:styleId="TableGrid11">
    <w:name w:val="Table Grid11"/>
    <w:basedOn w:val="TableNormal"/>
    <w:next w:val="TableGrid"/>
    <w:uiPriority w:val="39"/>
    <w:rsid w:val="00B53AB0"/>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489790214">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0969721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3.amazonaws.com/km.documents.attachments/743c/f18a/3a2d70cfb6ab4006111c188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p-mop-11/cp-mop-11-dec-07-a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d.int/doc/decisions/cp-mop-11/cp-mop-11-dec-06-a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09/cp-mop-09-dec-13-ar.pdf" TargetMode="External"/><Relationship Id="rId5" Type="http://schemas.openxmlformats.org/officeDocument/2006/relationships/webSettings" Target="webSettings.xml"/><Relationship Id="rId15" Type="http://schemas.openxmlformats.org/officeDocument/2006/relationships/hyperlink" Target="https://www.cbd.int/doc/decisions/cop-14/cop-14-dec-33-ar.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s3.amazonaws.com/km.documents.attachments/743c/f18a/3a2d70cfb6ab4006111c188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P/RA/AHTEG/2025/1/INF/2" TargetMode="External"/><Relationship Id="rId3" Type="http://schemas.openxmlformats.org/officeDocument/2006/relationships/hyperlink" Target="https://www.cbd.int/documents/CBD/CP/RA/AHTEG/2025/1/3" TargetMode="External"/><Relationship Id="rId7" Type="http://schemas.openxmlformats.org/officeDocument/2006/relationships/hyperlink" Target="https://www.cbd.int/documents/CBD/CP/RA/AHTEG/2025/1/INF/1" TargetMode="External"/><Relationship Id="rId2" Type="http://schemas.openxmlformats.org/officeDocument/2006/relationships/hyperlink" Target="https://www.cbd.int/doc/c/80f3/078a/9af7d341ed4e714f46959faa/sbstta-27-06-ar.pdf" TargetMode="External"/><Relationship Id="rId1" Type="http://schemas.openxmlformats.org/officeDocument/2006/relationships/hyperlink" Target="https://www.cbd.int/documents/CBD/CP/RA/AHTEG/2025/1/3" TargetMode="External"/><Relationship Id="rId6" Type="http://schemas.openxmlformats.org/officeDocument/2006/relationships/hyperlink" Target="https://www.cbd.int/doc/c/729a/bd19/43799b236ba843c4a836118a/cp-mop-11-09-ar.pdf" TargetMode="External"/><Relationship Id="rId5" Type="http://schemas.openxmlformats.org/officeDocument/2006/relationships/hyperlink" Target="https://www.cbd.int/doc/meetings/cop/cop-08/official/cop-08-31-ar.pdf" TargetMode="External"/><Relationship Id="rId4" Type="http://schemas.openxmlformats.org/officeDocument/2006/relationships/hyperlink" Target="https://www.cbd.int/doc/c/729a/bd19/43799b236ba843c4a836118a/cp-mop-11-09-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BAFB70E31247BCABC911C0F483B276"/>
        <w:category>
          <w:name w:val="General"/>
          <w:gallery w:val="placeholder"/>
        </w:category>
        <w:types>
          <w:type w:val="bbPlcHdr"/>
        </w:types>
        <w:behaviors>
          <w:behavior w:val="content"/>
        </w:behaviors>
        <w:guid w:val="{691327BF-561F-4B19-B5FC-9B2A4DC4007F}"/>
      </w:docPartPr>
      <w:docPartBody>
        <w:p w:rsidR="00C02B3A" w:rsidRDefault="00C02B3A" w:rsidP="00C02B3A">
          <w:pPr>
            <w:pStyle w:val="BBBAFB70E31247BCABC911C0F483B276"/>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6"/>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A"/>
    <w:rsid w:val="00040068"/>
    <w:rsid w:val="00B05C1F"/>
    <w:rsid w:val="00C02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2B3A"/>
    <w:rPr>
      <w:color w:val="808080"/>
    </w:rPr>
  </w:style>
  <w:style w:type="paragraph" w:customStyle="1" w:styleId="BBBAFB70E31247BCABC911C0F483B276">
    <w:name w:val="BBBAFB70E31247BCABC911C0F483B276"/>
    <w:rsid w:val="00C02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DB64-E51A-43CA-A5C5-53C888AE5D15}">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توصية اعتمدتها الهيئة الفرعية للمشورة العلمية والتقنية والتكنولوجية في 24 أكتوبر/تشرين الأول 2025</vt:lpstr>
    </vt:vector>
  </TitlesOfParts>
  <Company>Biodiversity</Company>
  <LinksUpToDate>false</LinksUpToDate>
  <CharactersWithSpaces>9594</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للمشورة العلمية والتقنية والتكنولوجية في 24 أكتوبر/تشرين الأول 2025</dc:title>
  <dc:subject>CBD/SBSTTA/REC/27/7</dc:subject>
  <dc:creator>Ali</dc:creator>
  <cp:lastModifiedBy>Mariko Nishi</cp:lastModifiedBy>
  <cp:revision>7</cp:revision>
  <cp:lastPrinted>2025-11-18T02:20:00Z</cp:lastPrinted>
  <dcterms:created xsi:type="dcterms:W3CDTF">2025-11-18T02:11:00Z</dcterms:created>
  <dcterms:modified xsi:type="dcterms:W3CDTF">2025-11-18T16:19:00Z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