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1065E9" w:rsidRPr="00D16F38" w14:paraId="139A89C9" w14:textId="77777777" w:rsidTr="001065E9">
        <w:trPr>
          <w:trHeight w:val="850"/>
        </w:trPr>
        <w:tc>
          <w:tcPr>
            <w:tcW w:w="975" w:type="dxa"/>
            <w:vAlign w:val="bottom"/>
          </w:tcPr>
          <w:p w14:paraId="558375E6" w14:textId="77777777" w:rsidR="005012FC" w:rsidRPr="00D16F38" w:rsidRDefault="005012FC" w:rsidP="005012FC">
            <w:pPr>
              <w:pStyle w:val="AASmallLogo"/>
            </w:pPr>
            <w:r w:rsidRPr="00B1090B">
              <w:rPr>
                <w:noProof/>
                <w:lang w:eastAsia="en-CA"/>
                <w14:ligatures w14:val="standardContextual"/>
              </w:rPr>
              <w:drawing>
                <wp:inline distT="0" distB="0" distL="0" distR="0" wp14:anchorId="108C7E4C" wp14:editId="78D5F55C">
                  <wp:extent cx="474727" cy="402337"/>
                  <wp:effectExtent l="0" t="0" r="1905" b="0"/>
                  <wp:docPr id="554334967" name="Picture 1"/>
                  <wp:cNvGraphicFramePr/>
                  <a:graphic xmlns:a="http://schemas.openxmlformats.org/drawingml/2006/main">
                    <a:graphicData uri="http://schemas.openxmlformats.org/drawingml/2006/picture">
                      <pic:pic xmlns:pic="http://schemas.openxmlformats.org/drawingml/2006/picture">
                        <pic:nvPicPr>
                          <pic:cNvPr id="554334967"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D16F38">
              <w:t xml:space="preserve"> </w:t>
            </w:r>
          </w:p>
          <w:p w14:paraId="2F4ED89D" w14:textId="77777777" w:rsidR="001065E9" w:rsidRPr="00D16F38" w:rsidRDefault="001065E9" w:rsidP="005012FC">
            <w:pPr>
              <w:pStyle w:val="AASmallLogo"/>
            </w:pPr>
          </w:p>
        </w:tc>
        <w:tc>
          <w:tcPr>
            <w:tcW w:w="1434" w:type="dxa"/>
            <w:noWrap/>
            <w:vAlign w:val="bottom"/>
          </w:tcPr>
          <w:p w14:paraId="7ED8D3A0" w14:textId="77777777" w:rsidR="005012FC" w:rsidRPr="00D16F38" w:rsidRDefault="005012FC" w:rsidP="005012FC">
            <w:pPr>
              <w:pStyle w:val="AASmallLogo"/>
            </w:pPr>
            <w:r w:rsidRPr="00B1090B">
              <w:rPr>
                <w:noProof/>
                <w:lang w:eastAsia="en-CA"/>
                <w14:ligatures w14:val="standardContextual"/>
              </w:rPr>
              <w:drawing>
                <wp:inline distT="0" distB="0" distL="0" distR="0" wp14:anchorId="4332BCC3" wp14:editId="0C8065E0">
                  <wp:extent cx="498788" cy="357465"/>
                  <wp:effectExtent l="0" t="0" r="0" b="5080"/>
                  <wp:docPr id="1758480141" name="Picture 2"/>
                  <wp:cNvGraphicFramePr/>
                  <a:graphic xmlns:a="http://schemas.openxmlformats.org/drawingml/2006/main">
                    <a:graphicData uri="http://schemas.openxmlformats.org/drawingml/2006/picture">
                      <pic:pic xmlns:pic="http://schemas.openxmlformats.org/drawingml/2006/picture">
                        <pic:nvPicPr>
                          <pic:cNvPr id="1758480141" name=""/>
                          <pic:cNvPicPr/>
                        </pic:nvPicPr>
                        <pic:blipFill>
                          <a:blip r:embed="rId12">
                            <a:extLst>
                              <a:ext uri="{28A0092B-C50C-407E-A947-70E740481C1C}">
                                <a14:useLocalDpi xmlns:a14="http://schemas.microsoft.com/office/drawing/2010/main" val="0"/>
                              </a:ext>
                            </a:extLst>
                          </a:blip>
                          <a:stretch>
                            <a:fillRect/>
                          </a:stretch>
                        </pic:blipFill>
                        <pic:spPr>
                          <a:xfrm>
                            <a:off x="0" y="0"/>
                            <a:ext cx="498788" cy="357465"/>
                          </a:xfrm>
                          <a:prstGeom prst="rect">
                            <a:avLst/>
                          </a:prstGeom>
                        </pic:spPr>
                      </pic:pic>
                    </a:graphicData>
                  </a:graphic>
                </wp:inline>
              </w:drawing>
            </w:r>
            <w:r w:rsidRPr="00D16F38">
              <w:t xml:space="preserve"> </w:t>
            </w:r>
          </w:p>
          <w:p w14:paraId="5F3BA419" w14:textId="77777777" w:rsidR="001065E9" w:rsidRPr="00D16F38" w:rsidRDefault="001065E9" w:rsidP="005012FC">
            <w:pPr>
              <w:pStyle w:val="AASmallLogo"/>
            </w:pPr>
          </w:p>
        </w:tc>
        <w:tc>
          <w:tcPr>
            <w:tcW w:w="8073" w:type="dxa"/>
            <w:vAlign w:val="bottom"/>
          </w:tcPr>
          <w:p w14:paraId="0E134068" w14:textId="5822118B" w:rsidR="001065E9" w:rsidRPr="00D16F38" w:rsidRDefault="009C0BBB" w:rsidP="00B1090B">
            <w:pPr>
              <w:pStyle w:val="ABSymbol"/>
            </w:pPr>
            <w:r w:rsidRPr="00B1090B">
              <w:rPr>
                <w:sz w:val="40"/>
              </w:rPr>
              <w:t>CBD</w:t>
            </w:r>
            <w:r w:rsidR="005012FC" w:rsidRPr="00D16F38">
              <w:t>/</w:t>
            </w:r>
            <w:r w:rsidRPr="00B1090B">
              <w:t>SBSTTA</w:t>
            </w:r>
            <w:r w:rsidR="005012FC" w:rsidRPr="00D16F38">
              <w:t>/</w:t>
            </w:r>
            <w:r w:rsidR="006874F8">
              <w:t>REC/</w:t>
            </w:r>
            <w:r w:rsidRPr="00612CDF">
              <w:t>27/</w:t>
            </w:r>
            <w:r w:rsidR="006874F8">
              <w:t>7</w:t>
            </w:r>
          </w:p>
        </w:tc>
      </w:tr>
    </w:tbl>
    <w:p w14:paraId="2AA499BF" w14:textId="77777777" w:rsidR="009F67EB" w:rsidRPr="00D16F38" w:rsidRDefault="009F67EB" w:rsidP="001065E9">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1065E9" w:rsidRPr="00D16F38" w14:paraId="09B77170" w14:textId="77777777" w:rsidTr="001065E9">
        <w:trPr>
          <w:trHeight w:val="1814"/>
        </w:trPr>
        <w:tc>
          <w:tcPr>
            <w:tcW w:w="7370" w:type="dxa"/>
          </w:tcPr>
          <w:p w14:paraId="07AAF0EF" w14:textId="77777777" w:rsidR="005012FC" w:rsidRPr="00D16F38" w:rsidRDefault="005012FC" w:rsidP="005012FC">
            <w:pPr>
              <w:pStyle w:val="ACLargeLogo"/>
            </w:pPr>
            <w:r w:rsidRPr="00B1090B">
              <w:rPr>
                <w:noProof/>
                <w:lang w:eastAsia="en-CA"/>
                <w14:ligatures w14:val="standardContextual"/>
              </w:rPr>
              <w:drawing>
                <wp:inline distT="0" distB="0" distL="0" distR="0" wp14:anchorId="34D0FE78" wp14:editId="50BF0EFE">
                  <wp:extent cx="2755631" cy="1030313"/>
                  <wp:effectExtent l="0" t="0" r="0" b="0"/>
                  <wp:docPr id="1745784610" name="Picture 3"/>
                  <wp:cNvGraphicFramePr/>
                  <a:graphic xmlns:a="http://schemas.openxmlformats.org/drawingml/2006/main">
                    <a:graphicData uri="http://schemas.openxmlformats.org/drawingml/2006/picture">
                      <pic:pic xmlns:pic="http://schemas.openxmlformats.org/drawingml/2006/picture">
                        <pic:nvPicPr>
                          <pic:cNvPr id="1745784610" name=""/>
                          <pic:cNvPicPr/>
                        </pic:nvPicPr>
                        <pic:blipFill>
                          <a:blip r:embed="rId13">
                            <a:extLst>
                              <a:ext uri="{28A0092B-C50C-407E-A947-70E740481C1C}">
                                <a14:useLocalDpi xmlns:a14="http://schemas.microsoft.com/office/drawing/2010/main" val="0"/>
                              </a:ext>
                            </a:extLst>
                          </a:blip>
                          <a:stretch>
                            <a:fillRect/>
                          </a:stretch>
                        </pic:blipFill>
                        <pic:spPr>
                          <a:xfrm>
                            <a:off x="0" y="0"/>
                            <a:ext cx="2755631" cy="1030313"/>
                          </a:xfrm>
                          <a:prstGeom prst="rect">
                            <a:avLst/>
                          </a:prstGeom>
                        </pic:spPr>
                      </pic:pic>
                    </a:graphicData>
                  </a:graphic>
                </wp:inline>
              </w:drawing>
            </w:r>
            <w:r w:rsidRPr="00D16F38">
              <w:t xml:space="preserve"> </w:t>
            </w:r>
          </w:p>
          <w:p w14:paraId="43E9AB4F" w14:textId="77777777" w:rsidR="001065E9" w:rsidRPr="00D16F38" w:rsidRDefault="001065E9" w:rsidP="005012FC">
            <w:pPr>
              <w:pStyle w:val="ACLargeLogo"/>
            </w:pPr>
          </w:p>
        </w:tc>
        <w:tc>
          <w:tcPr>
            <w:tcW w:w="3112" w:type="dxa"/>
          </w:tcPr>
          <w:p w14:paraId="765DCF29" w14:textId="2E07E24E" w:rsidR="005012FC" w:rsidRPr="007E2144" w:rsidRDefault="005012FC" w:rsidP="005012FC">
            <w:pPr>
              <w:pStyle w:val="AEDistrNormal"/>
            </w:pPr>
            <w:r w:rsidRPr="007E2144">
              <w:t xml:space="preserve">Distr.: </w:t>
            </w:r>
            <w:r w:rsidR="006874F8">
              <w:t>General</w:t>
            </w:r>
          </w:p>
          <w:p w14:paraId="07E15374" w14:textId="6D9B7A43" w:rsidR="005012FC" w:rsidRPr="007E2144" w:rsidRDefault="00612CDF" w:rsidP="005012FC">
            <w:pPr>
              <w:pStyle w:val="AEDistrNormal"/>
            </w:pPr>
            <w:r w:rsidRPr="007E2144">
              <w:t>2</w:t>
            </w:r>
            <w:r w:rsidR="00A8234D">
              <w:t>4</w:t>
            </w:r>
            <w:r w:rsidRPr="007E2144">
              <w:t xml:space="preserve"> </w:t>
            </w:r>
            <w:r w:rsidR="00573922" w:rsidRPr="007E2144">
              <w:t>October</w:t>
            </w:r>
            <w:r w:rsidR="00E513EF" w:rsidRPr="007E2144">
              <w:t xml:space="preserve"> 2025</w:t>
            </w:r>
          </w:p>
          <w:p w14:paraId="6A4B50D8" w14:textId="77777777" w:rsidR="005012FC" w:rsidRPr="007E2144" w:rsidRDefault="005012FC" w:rsidP="005012FC">
            <w:pPr>
              <w:pStyle w:val="AEDistrNormal"/>
            </w:pPr>
          </w:p>
          <w:p w14:paraId="66696826" w14:textId="77777777" w:rsidR="005012FC" w:rsidRPr="007E2144" w:rsidRDefault="005012FC" w:rsidP="005012FC">
            <w:pPr>
              <w:pStyle w:val="AEDistrNormal"/>
            </w:pPr>
            <w:r w:rsidRPr="007E2144">
              <w:t xml:space="preserve">Original: English </w:t>
            </w:r>
          </w:p>
          <w:p w14:paraId="74CD7968" w14:textId="77777777" w:rsidR="001065E9" w:rsidRPr="007E2144" w:rsidRDefault="001065E9" w:rsidP="005012FC">
            <w:pPr>
              <w:pStyle w:val="AEDistrNormal6pt"/>
            </w:pPr>
          </w:p>
        </w:tc>
      </w:tr>
    </w:tbl>
    <w:p w14:paraId="5D878378" w14:textId="77777777" w:rsidR="001065E9" w:rsidRPr="004136E4" w:rsidRDefault="001065E9" w:rsidP="001065E9">
      <w:pPr>
        <w:pStyle w:val="AISpacer"/>
        <w:rPr>
          <w:lang w:val="en-CA"/>
        </w:rP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1065E9" w:rsidRPr="00D16F38" w14:paraId="5FBB0DB2" w14:textId="77777777" w:rsidTr="001065E9">
        <w:trPr>
          <w:trHeight w:val="57"/>
        </w:trPr>
        <w:tc>
          <w:tcPr>
            <w:tcW w:w="6094" w:type="dxa"/>
          </w:tcPr>
          <w:p w14:paraId="32CB6BC2" w14:textId="77777777" w:rsidR="005012FC" w:rsidRPr="00D16F38" w:rsidRDefault="005012FC" w:rsidP="005012FC">
            <w:pPr>
              <w:pStyle w:val="AFCorN12Bold"/>
            </w:pPr>
            <w:r w:rsidRPr="00D16F38">
              <w:t xml:space="preserve">Subsidiary Body on Scientific, </w:t>
            </w:r>
            <w:r w:rsidR="007161A1" w:rsidRPr="00D16F38">
              <w:br/>
            </w:r>
            <w:r w:rsidRPr="00D16F38">
              <w:t>Technical and Technological Advice</w:t>
            </w:r>
          </w:p>
          <w:p w14:paraId="40F1D129" w14:textId="77777777" w:rsidR="005012FC" w:rsidRPr="00D16F38" w:rsidRDefault="00962822" w:rsidP="005012FC">
            <w:pPr>
              <w:pStyle w:val="AFCorNBold"/>
            </w:pPr>
            <w:r w:rsidRPr="00D16F38">
              <w:t>Twenty-seven</w:t>
            </w:r>
            <w:r w:rsidR="005012FC" w:rsidRPr="00D16F38">
              <w:t xml:space="preserve">th meeting </w:t>
            </w:r>
          </w:p>
          <w:p w14:paraId="17F1EA03" w14:textId="77777777" w:rsidR="005012FC" w:rsidRPr="00D16F38" w:rsidRDefault="00962822" w:rsidP="005012FC">
            <w:pPr>
              <w:pStyle w:val="AFCorNNormal"/>
            </w:pPr>
            <w:r w:rsidRPr="00D16F38">
              <w:t xml:space="preserve">Panama City, </w:t>
            </w:r>
            <w:r w:rsidR="001A5A37" w:rsidRPr="00D16F38">
              <w:t>20–24 October 2025</w:t>
            </w:r>
            <w:r w:rsidR="005012FC" w:rsidRPr="00D16F38">
              <w:t xml:space="preserve"> </w:t>
            </w:r>
          </w:p>
          <w:p w14:paraId="36AB3FF2" w14:textId="5A3162EB" w:rsidR="005012FC" w:rsidRPr="00D16F38" w:rsidRDefault="00573922" w:rsidP="005012FC">
            <w:pPr>
              <w:pStyle w:val="AFCorNNormal"/>
            </w:pPr>
            <w:r w:rsidRPr="00BC7D0F">
              <w:t>Agenda i</w:t>
            </w:r>
            <w:r w:rsidR="005012FC" w:rsidRPr="00BC7D0F">
              <w:t xml:space="preserve">tem </w:t>
            </w:r>
            <w:r w:rsidR="0009421D" w:rsidRPr="00BC7D0F">
              <w:t>7</w:t>
            </w:r>
          </w:p>
          <w:p w14:paraId="62C0EBFF" w14:textId="4E5B9F66" w:rsidR="001065E9" w:rsidRPr="00D16F38" w:rsidRDefault="0009421D" w:rsidP="00B1090B">
            <w:pPr>
              <w:pStyle w:val="AFCorNBold"/>
              <w:spacing w:after="120"/>
            </w:pPr>
            <w:r w:rsidRPr="00D16F38">
              <w:t>Risk assessment and risk management</w:t>
            </w:r>
          </w:p>
        </w:tc>
        <w:tc>
          <w:tcPr>
            <w:tcW w:w="4388" w:type="dxa"/>
          </w:tcPr>
          <w:p w14:paraId="1E2A819C" w14:textId="77777777" w:rsidR="001065E9" w:rsidRPr="00D16F38" w:rsidRDefault="001065E9" w:rsidP="001065E9">
            <w:pPr>
              <w:pStyle w:val="CBDNormal"/>
              <w:jc w:val="left"/>
            </w:pPr>
          </w:p>
        </w:tc>
      </w:tr>
    </w:tbl>
    <w:sdt>
      <w:sdtPr>
        <w:alias w:val="Title"/>
        <w:tag w:val=""/>
        <w:id w:val="-591865594"/>
        <w:placeholder>
          <w:docPart w:val="D176974CAE7F4C98B024CDADEBC38C0E"/>
        </w:placeholder>
        <w:dataBinding w:prefixMappings="xmlns:ns0='http://purl.org/dc/elements/1.1/' xmlns:ns1='http://schemas.openxmlformats.org/package/2006/metadata/core-properties' " w:xpath="/ns1:coreProperties[1]/ns0:title[1]" w:storeItemID="{6C3C8BC8-F283-45AE-878A-BAB7291924A1}"/>
        <w:text/>
      </w:sdtPr>
      <w:sdtContent>
        <w:p w14:paraId="26093F35" w14:textId="7F8197E2" w:rsidR="001065E9" w:rsidRPr="00D16F38" w:rsidRDefault="00E140B0" w:rsidP="003B142D">
          <w:pPr>
            <w:pStyle w:val="CBDTitle"/>
          </w:pPr>
          <w:r>
            <w:t>Recommendation adopted by the Subsidiary Body on Scientific, Technical and Technological Advice on 24 October 2025</w:t>
          </w:r>
        </w:p>
      </w:sdtContent>
    </w:sdt>
    <w:p w14:paraId="25EA73CB" w14:textId="05C4B06A" w:rsidR="00D4364D" w:rsidRPr="00D16F38" w:rsidRDefault="00E140B0" w:rsidP="00B1090B">
      <w:pPr>
        <w:pStyle w:val="CBDSubTitle"/>
      </w:pPr>
      <w:r>
        <w:t>27/7.</w:t>
      </w:r>
      <w:r w:rsidR="00520362">
        <w:tab/>
        <w:t>Risk assessment and risk management of living modified organisms</w:t>
      </w:r>
    </w:p>
    <w:p w14:paraId="16F2985F" w14:textId="77777777" w:rsidR="00B66BDF" w:rsidRPr="000D63BD" w:rsidRDefault="00B66BDF" w:rsidP="00B66BDF">
      <w:pPr>
        <w:tabs>
          <w:tab w:val="left" w:pos="2835"/>
          <w:tab w:val="left" w:pos="3402"/>
        </w:tabs>
        <w:spacing w:after="120"/>
        <w:ind w:left="567" w:firstLine="567"/>
        <w:rPr>
          <w:i/>
        </w:rPr>
      </w:pPr>
      <w:r w:rsidRPr="000D63BD">
        <w:rPr>
          <w:i/>
        </w:rPr>
        <w:t>The Subsidiary Body on Scientific, Technical and Technological Advice</w:t>
      </w:r>
    </w:p>
    <w:p w14:paraId="73CC2822" w14:textId="7884ABB5" w:rsidR="00B66BDF" w:rsidRDefault="00B66BDF" w:rsidP="00B66BDF">
      <w:pPr>
        <w:tabs>
          <w:tab w:val="left" w:pos="2835"/>
          <w:tab w:val="left" w:pos="3402"/>
        </w:tabs>
        <w:spacing w:after="120"/>
        <w:ind w:left="567" w:firstLine="567"/>
      </w:pPr>
      <w:r w:rsidRPr="000D63BD">
        <w:rPr>
          <w:i/>
        </w:rPr>
        <w:t>Recommends</w:t>
      </w:r>
      <w:r w:rsidRPr="000D63BD">
        <w:t xml:space="preserve"> that, at its twelfth meeting, the Conference of the Parties serving as the meeting of the Parties to the </w:t>
      </w:r>
      <w:r w:rsidR="003C43FD">
        <w:t xml:space="preserve">Cartagena </w:t>
      </w:r>
      <w:r w:rsidRPr="000D63BD">
        <w:t xml:space="preserve">Protocol </w:t>
      </w:r>
      <w:r w:rsidR="003C43FD">
        <w:t>on Biosafety</w:t>
      </w:r>
      <w:r w:rsidR="00F13E8F">
        <w:rPr>
          <w:rStyle w:val="FootnoteReference"/>
        </w:rPr>
        <w:footnoteReference w:id="1"/>
      </w:r>
      <w:r w:rsidR="003C43FD">
        <w:t xml:space="preserve"> </w:t>
      </w:r>
      <w:r w:rsidRPr="000D63BD">
        <w:t>adopt a decision along the following lines:</w:t>
      </w:r>
      <w:r w:rsidRPr="00EB55FB">
        <w:t xml:space="preserve"> </w:t>
      </w:r>
    </w:p>
    <w:p w14:paraId="39DB4E9E" w14:textId="77777777" w:rsidR="00EB55FB" w:rsidRPr="00EB55FB" w:rsidRDefault="00EB55FB" w:rsidP="00BC7D0F">
      <w:pPr>
        <w:tabs>
          <w:tab w:val="clear" w:pos="567"/>
          <w:tab w:val="left" w:pos="2835"/>
          <w:tab w:val="left" w:pos="3402"/>
        </w:tabs>
        <w:spacing w:after="120"/>
        <w:ind w:left="1134" w:firstLine="567"/>
        <w:rPr>
          <w:i/>
          <w:iCs/>
        </w:rPr>
      </w:pPr>
      <w:r w:rsidRPr="00EB55FB">
        <w:rPr>
          <w:i/>
          <w:iCs/>
        </w:rPr>
        <w:t>The Conference of the Parties serving as the meeting of the Parties to the Cartagena Protocol</w:t>
      </w:r>
      <w:r w:rsidRPr="00EB55FB">
        <w:t>,</w:t>
      </w:r>
    </w:p>
    <w:p w14:paraId="2D63D43F" w14:textId="490B19D1" w:rsidR="00EB55FB" w:rsidRPr="00E96B14" w:rsidRDefault="00EB55FB" w:rsidP="00BC7D0F">
      <w:pPr>
        <w:tabs>
          <w:tab w:val="clear" w:pos="567"/>
          <w:tab w:val="left" w:pos="2835"/>
          <w:tab w:val="left" w:pos="3402"/>
          <w:tab w:val="left" w:pos="3969"/>
        </w:tabs>
        <w:spacing w:before="120" w:after="120"/>
        <w:ind w:left="1134" w:firstLine="567"/>
        <w:rPr>
          <w:i/>
          <w:iCs/>
        </w:rPr>
      </w:pPr>
      <w:r w:rsidRPr="00EB55FB">
        <w:rPr>
          <w:i/>
          <w:iCs/>
        </w:rPr>
        <w:t>Recalling</w:t>
      </w:r>
      <w:r w:rsidRPr="004136E4">
        <w:t xml:space="preserve"> </w:t>
      </w:r>
      <w:r w:rsidRPr="00E96B14">
        <w:t>decisions</w:t>
      </w:r>
      <w:r w:rsidRPr="004136E4">
        <w:t xml:space="preserve"> </w:t>
      </w:r>
      <w:hyperlink r:id="rId14" w:history="1">
        <w:r w:rsidRPr="004136E4">
          <w:rPr>
            <w:rStyle w:val="Hyperlink"/>
          </w:rPr>
          <w:t>CP-9/13</w:t>
        </w:r>
      </w:hyperlink>
      <w:r w:rsidRPr="00E96B14">
        <w:t xml:space="preserve"> of 28 November 2018 and </w:t>
      </w:r>
      <w:hyperlink r:id="rId15" w:history="1">
        <w:r w:rsidRPr="004136E4">
          <w:rPr>
            <w:rStyle w:val="Hyperlink"/>
          </w:rPr>
          <w:t>CP-11/7</w:t>
        </w:r>
      </w:hyperlink>
      <w:r w:rsidRPr="00E96B14">
        <w:t xml:space="preserve"> of 30 October 2024,</w:t>
      </w:r>
    </w:p>
    <w:p w14:paraId="69D24E59" w14:textId="3AA6B22B" w:rsidR="00EB55FB" w:rsidRPr="00E96B14" w:rsidRDefault="00EB55FB" w:rsidP="00BC7D0F">
      <w:pPr>
        <w:tabs>
          <w:tab w:val="clear" w:pos="567"/>
          <w:tab w:val="left" w:pos="2835"/>
          <w:tab w:val="left" w:pos="3402"/>
        </w:tabs>
        <w:spacing w:after="120"/>
        <w:ind w:left="1134" w:firstLine="567"/>
      </w:pPr>
      <w:r w:rsidRPr="00E96B14">
        <w:t>1.</w:t>
      </w:r>
      <w:r w:rsidRPr="00E96B14">
        <w:rPr>
          <w:i/>
          <w:iCs/>
        </w:rPr>
        <w:tab/>
      </w:r>
      <w:r w:rsidR="0069235F" w:rsidRPr="00E96B14">
        <w:rPr>
          <w:i/>
          <w:iCs/>
        </w:rPr>
        <w:t>Expresses a</w:t>
      </w:r>
      <w:r w:rsidRPr="00E96B14">
        <w:rPr>
          <w:i/>
          <w:iCs/>
        </w:rPr>
        <w:t>ppreciat</w:t>
      </w:r>
      <w:r w:rsidR="0069235F" w:rsidRPr="00E96B14">
        <w:rPr>
          <w:i/>
          <w:iCs/>
        </w:rPr>
        <w:t>ion</w:t>
      </w:r>
      <w:r w:rsidRPr="00E96B14">
        <w:rPr>
          <w:i/>
          <w:iCs/>
        </w:rPr>
        <w:t xml:space="preserve"> </w:t>
      </w:r>
      <w:r w:rsidR="0069235F" w:rsidRPr="00E96B14">
        <w:t>for</w:t>
      </w:r>
      <w:r w:rsidR="0069235F" w:rsidRPr="00E96B14">
        <w:rPr>
          <w:i/>
          <w:iCs/>
        </w:rPr>
        <w:t xml:space="preserve"> </w:t>
      </w:r>
      <w:r w:rsidRPr="00E96B14">
        <w:t>the work of the Ad Hoc Technical Expert Group on Risk Assessment</w:t>
      </w:r>
      <w:r w:rsidRPr="00E96B14">
        <w:rPr>
          <w:vertAlign w:val="superscript"/>
        </w:rPr>
        <w:footnoteReference w:id="2"/>
      </w:r>
      <w:r w:rsidRPr="00E96B14">
        <w:t xml:space="preserve"> and </w:t>
      </w:r>
      <w:r w:rsidR="007D54F4">
        <w:t>its</w:t>
      </w:r>
      <w:r w:rsidR="007D54F4" w:rsidRPr="00E96B14">
        <w:t xml:space="preserve"> </w:t>
      </w:r>
      <w:r w:rsidRPr="00E96B14">
        <w:t xml:space="preserve">application of the criteria set out in </w:t>
      </w:r>
      <w:r w:rsidR="00B66BDF" w:rsidRPr="00E96B14">
        <w:t>a</w:t>
      </w:r>
      <w:r w:rsidRPr="00E96B14">
        <w:t xml:space="preserve">nnex I to decision </w:t>
      </w:r>
      <w:hyperlink r:id="rId16" w:history="1">
        <w:r w:rsidRPr="00E96B14">
          <w:rPr>
            <w:rStyle w:val="Hyperlink"/>
          </w:rPr>
          <w:t>CP</w:t>
        </w:r>
        <w:r w:rsidR="004D6023" w:rsidRPr="00E96B14">
          <w:rPr>
            <w:rStyle w:val="Hyperlink"/>
          </w:rPr>
          <w:t>-</w:t>
        </w:r>
        <w:r w:rsidRPr="00E96B14">
          <w:rPr>
            <w:rStyle w:val="Hyperlink"/>
          </w:rPr>
          <w:t>9/13</w:t>
        </w:r>
      </w:hyperlink>
      <w:r w:rsidRPr="00E96B14">
        <w:t xml:space="preserve"> to the topics proposed by Parties in relation to needs and priorities for further guidance on specific topics of risk assessment of living modified organisms;</w:t>
      </w:r>
      <w:r w:rsidRPr="00E96B14">
        <w:rPr>
          <w:vertAlign w:val="superscript"/>
        </w:rPr>
        <w:footnoteReference w:id="3"/>
      </w:r>
    </w:p>
    <w:p w14:paraId="3F9A8438" w14:textId="3EAB1F5F" w:rsidR="00EB55FB" w:rsidRPr="00EB55FB" w:rsidRDefault="00BA3617" w:rsidP="00BC7D0F">
      <w:pPr>
        <w:tabs>
          <w:tab w:val="clear" w:pos="567"/>
          <w:tab w:val="left" w:pos="2835"/>
          <w:tab w:val="left" w:pos="3402"/>
        </w:tabs>
        <w:spacing w:after="120"/>
        <w:ind w:left="1134" w:firstLine="567"/>
      </w:pPr>
      <w:r w:rsidRPr="00E96B14">
        <w:t>[</w:t>
      </w:r>
      <w:r w:rsidR="00420087" w:rsidRPr="00E96B14">
        <w:t>2</w:t>
      </w:r>
      <w:r w:rsidR="00420087" w:rsidRPr="00E96B14">
        <w:rPr>
          <w:i/>
          <w:iCs/>
        </w:rPr>
        <w:t>.</w:t>
      </w:r>
      <w:r w:rsidR="00420087" w:rsidRPr="00E96B14">
        <w:rPr>
          <w:i/>
          <w:iCs/>
        </w:rPr>
        <w:tab/>
      </w:r>
      <w:r w:rsidR="00EB55FB" w:rsidRPr="00E96B14">
        <w:rPr>
          <w:i/>
          <w:iCs/>
        </w:rPr>
        <w:t>Decides</w:t>
      </w:r>
      <w:r w:rsidR="00EB55FB" w:rsidRPr="00E96B14">
        <w:rPr>
          <w:i/>
        </w:rPr>
        <w:t xml:space="preserve"> </w:t>
      </w:r>
      <w:r w:rsidR="00EB55FB" w:rsidRPr="00E96B14">
        <w:t>to develop a m</w:t>
      </w:r>
      <w:r w:rsidR="001D3004" w:rsidRPr="00E96B14">
        <w:t>a</w:t>
      </w:r>
      <w:r w:rsidR="00EB55FB" w:rsidRPr="00E96B14">
        <w:t>ximum</w:t>
      </w:r>
      <w:r w:rsidR="00EB55FB" w:rsidRPr="00EB55FB">
        <w:t xml:space="preserve"> of two additional voluntary guidance materials in accordance with </w:t>
      </w:r>
      <w:r w:rsidR="00174200" w:rsidRPr="0092515A">
        <w:t>a</w:t>
      </w:r>
      <w:r w:rsidR="00EB55FB" w:rsidRPr="0092515A">
        <w:t>nnex III to</w:t>
      </w:r>
      <w:r w:rsidR="00EB55FB" w:rsidRPr="00EB55FB">
        <w:t xml:space="preserve"> the Cartagena Protocol</w:t>
      </w:r>
      <w:r w:rsidR="00332CE0">
        <w:t xml:space="preserve"> on B</w:t>
      </w:r>
      <w:r w:rsidR="00423A19">
        <w:t>iosafety</w:t>
      </w:r>
      <w:r w:rsidR="00EB55FB" w:rsidRPr="00EB55FB">
        <w:t>,</w:t>
      </w:r>
      <w:r w:rsidR="00423A19">
        <w:rPr>
          <w:rStyle w:val="FootnoteReference"/>
        </w:rPr>
        <w:footnoteReference w:id="4"/>
      </w:r>
      <w:r w:rsidR="00EB55FB" w:rsidRPr="00EB55FB">
        <w:t xml:space="preserve"> for the topics of </w:t>
      </w:r>
      <w:r w:rsidR="00EC3DF3" w:rsidRPr="00EB55FB">
        <w:t>[living modified algae</w:t>
      </w:r>
      <w:r w:rsidR="00EC3DF3">
        <w:t>,</w:t>
      </w:r>
      <w:r w:rsidR="00EC3DF3" w:rsidRPr="00EB55FB">
        <w:t>]</w:t>
      </w:r>
      <w:r w:rsidR="001E67F0">
        <w:t xml:space="preserve"> </w:t>
      </w:r>
      <w:r w:rsidR="00EB55FB" w:rsidRPr="00EB55FB">
        <w:t>[living modified fish,]</w:t>
      </w:r>
      <w:r w:rsidR="001E67F0">
        <w:t xml:space="preserve"> </w:t>
      </w:r>
      <w:r w:rsidR="00EB55FB" w:rsidRPr="00EB55FB">
        <w:t>[living modified microorganisms</w:t>
      </w:r>
      <w:r w:rsidR="00420087">
        <w:t>,]</w:t>
      </w:r>
      <w:r w:rsidR="00EC3DF3" w:rsidRPr="00EC3DF3">
        <w:t xml:space="preserve"> </w:t>
      </w:r>
      <w:r w:rsidR="00EC3DF3" w:rsidRPr="00EB55FB">
        <w:t>[</w:t>
      </w:r>
      <w:r w:rsidR="00EC3DF3">
        <w:t>l</w:t>
      </w:r>
      <w:r w:rsidR="00EC3DF3" w:rsidRPr="00EB55FB">
        <w:t>iving modified organisms expressing genome editing machinery for pest or pathogen control</w:t>
      </w:r>
      <w:r w:rsidR="00EC3DF3">
        <w:t>,</w:t>
      </w:r>
      <w:r w:rsidR="00EC3DF3" w:rsidRPr="00EB55FB">
        <w:t>]</w:t>
      </w:r>
      <w:r w:rsidR="001E67F0" w:rsidRPr="001E67F0">
        <w:t xml:space="preserve"> </w:t>
      </w:r>
      <w:r w:rsidR="001E67F0" w:rsidRPr="00EB55FB">
        <w:t>[</w:t>
      </w:r>
      <w:r w:rsidR="001E67F0">
        <w:t>l</w:t>
      </w:r>
      <w:r w:rsidR="001E67F0" w:rsidRPr="00EB55FB">
        <w:t>ong-term and cumulative effects of genetic constructs</w:t>
      </w:r>
      <w:r w:rsidR="001E67F0">
        <w:t xml:space="preserve"> and</w:t>
      </w:r>
      <w:r w:rsidR="001E67F0" w:rsidRPr="00EB55FB">
        <w:t xml:space="preserve"> living modified organisms</w:t>
      </w:r>
      <w:r w:rsidR="001E67F0">
        <w:t>,</w:t>
      </w:r>
      <w:r w:rsidR="001E67F0" w:rsidRPr="00EB55FB">
        <w:t>]</w:t>
      </w:r>
      <w:r w:rsidR="001E67F0">
        <w:t xml:space="preserve"> </w:t>
      </w:r>
      <w:r w:rsidR="00EC3DF3">
        <w:t>[</w:t>
      </w:r>
      <w:r w:rsidR="00EB55FB" w:rsidRPr="00EB55FB">
        <w:t>operationalizing protection goals into relevant assessment and measurement end points</w:t>
      </w:r>
      <w:r w:rsidR="00420087">
        <w:t>,</w:t>
      </w:r>
      <w:r w:rsidR="00EB55FB" w:rsidRPr="00EB55FB">
        <w:t>]</w:t>
      </w:r>
      <w:r w:rsidR="00711EA9">
        <w:t xml:space="preserve"> </w:t>
      </w:r>
      <w:r w:rsidR="00EB55FB" w:rsidRPr="00EB55FB">
        <w:t>[</w:t>
      </w:r>
      <w:r w:rsidR="00420087">
        <w:t xml:space="preserve">the </w:t>
      </w:r>
      <w:r w:rsidR="00EB55FB" w:rsidRPr="00EB55FB">
        <w:t>use of living modified organisms in centres of origin and in traditional agricultural systems],</w:t>
      </w:r>
      <w:r w:rsidR="00561234">
        <w:t xml:space="preserve"> </w:t>
      </w:r>
      <w:r w:rsidR="00EB55FB" w:rsidRPr="00EB55FB">
        <w:t>while avoiding duplication with and</w:t>
      </w:r>
      <w:r w:rsidR="000E031D">
        <w:t>,</w:t>
      </w:r>
      <w:r w:rsidR="00EB55FB" w:rsidRPr="00EB55FB">
        <w:t xml:space="preserve"> where appropriate</w:t>
      </w:r>
      <w:r w:rsidR="000E031D">
        <w:t>,</w:t>
      </w:r>
      <w:r w:rsidR="00EB55FB" w:rsidRPr="00EB55FB">
        <w:t xml:space="preserve"> supplementing existing guidance materials;</w:t>
      </w:r>
      <w:r w:rsidR="001D3004" w:rsidRPr="00420087">
        <w:t>]</w:t>
      </w:r>
    </w:p>
    <w:p w14:paraId="25CF35B5" w14:textId="280DF7DC" w:rsidR="00EB55FB" w:rsidRPr="00EB55FB" w:rsidRDefault="00EB55FB" w:rsidP="00EB55FB">
      <w:pPr>
        <w:tabs>
          <w:tab w:val="clear" w:pos="567"/>
          <w:tab w:val="left" w:pos="2835"/>
          <w:tab w:val="left" w:pos="3402"/>
        </w:tabs>
        <w:spacing w:after="120"/>
        <w:ind w:left="1134" w:firstLine="567"/>
        <w:rPr>
          <w:b/>
          <w:bCs/>
          <w:u w:val="single"/>
        </w:rPr>
      </w:pPr>
      <w:r w:rsidRPr="00EB55FB">
        <w:t>[</w:t>
      </w:r>
      <w:r w:rsidR="00BA3617" w:rsidRPr="0040017E">
        <w:t>3</w:t>
      </w:r>
      <w:r w:rsidRPr="00EB55FB">
        <w:rPr>
          <w:i/>
          <w:iCs/>
        </w:rPr>
        <w:t>.</w:t>
      </w:r>
      <w:r w:rsidR="001D2583">
        <w:rPr>
          <w:i/>
          <w:iCs/>
        </w:rPr>
        <w:tab/>
      </w:r>
      <w:r w:rsidR="00D838EF">
        <w:rPr>
          <w:i/>
          <w:iCs/>
        </w:rPr>
        <w:t>Also d</w:t>
      </w:r>
      <w:r w:rsidRPr="00EB55FB">
        <w:rPr>
          <w:i/>
          <w:iCs/>
        </w:rPr>
        <w:t>ecides</w:t>
      </w:r>
      <w:r w:rsidRPr="00EB55FB">
        <w:t xml:space="preserve"> to expand capacity</w:t>
      </w:r>
      <w:r w:rsidR="00AF351A">
        <w:t>-</w:t>
      </w:r>
      <w:r w:rsidRPr="00EB55FB">
        <w:t xml:space="preserve">building efforts on </w:t>
      </w:r>
      <w:r w:rsidR="000F6A80">
        <w:t xml:space="preserve">the </w:t>
      </w:r>
      <w:r w:rsidRPr="00EB55FB">
        <w:t xml:space="preserve">risk assessment and risk management of living modified organisms, making use of existing information, </w:t>
      </w:r>
      <w:r w:rsidR="00C202D3">
        <w:t xml:space="preserve">approaches and </w:t>
      </w:r>
      <w:r w:rsidRPr="00EB55FB">
        <w:t>guidance materials</w:t>
      </w:r>
      <w:r w:rsidR="002B4DCA">
        <w:t xml:space="preserve"> on the topic</w:t>
      </w:r>
      <w:r w:rsidRPr="00EB55FB">
        <w:t xml:space="preserve">, including those produced under the </w:t>
      </w:r>
      <w:r w:rsidR="006235F3">
        <w:t>Cartagena Protocol</w:t>
      </w:r>
      <w:r w:rsidR="00D1032C">
        <w:t>,</w:t>
      </w:r>
      <w:r w:rsidRPr="00EB55FB">
        <w:t xml:space="preserve"> such as </w:t>
      </w:r>
      <w:r w:rsidRPr="00BC7D0F">
        <w:rPr>
          <w:i/>
          <w:iCs/>
        </w:rPr>
        <w:t>Biosafety Technical Series 07</w:t>
      </w:r>
      <w:r w:rsidRPr="00EB55FB">
        <w:t>;</w:t>
      </w:r>
      <w:r w:rsidR="005210A7">
        <w:t>]</w:t>
      </w:r>
    </w:p>
    <w:p w14:paraId="194C20AC" w14:textId="50D9A106" w:rsidR="00EB55FB" w:rsidRPr="00EB55FB" w:rsidRDefault="00EB55FB" w:rsidP="00EB55FB">
      <w:pPr>
        <w:tabs>
          <w:tab w:val="clear" w:pos="567"/>
          <w:tab w:val="left" w:pos="2835"/>
          <w:tab w:val="left" w:pos="3402"/>
        </w:tabs>
        <w:spacing w:after="120"/>
        <w:ind w:left="1134" w:firstLine="567"/>
      </w:pPr>
      <w:r w:rsidRPr="00C221F8">
        <w:t>[</w:t>
      </w:r>
      <w:r w:rsidR="00974894" w:rsidRPr="00BC7D0F">
        <w:t>3</w:t>
      </w:r>
      <w:r w:rsidR="00BF3815">
        <w:t>.</w:t>
      </w:r>
      <w:r w:rsidR="00F069AD" w:rsidRPr="00C221F8">
        <w:t>a</w:t>
      </w:r>
      <w:r w:rsidRPr="00BC7D0F">
        <w:t>lt</w:t>
      </w:r>
      <w:r w:rsidRPr="00EB55FB">
        <w:rPr>
          <w:i/>
          <w:iCs/>
        </w:rPr>
        <w:t xml:space="preserve"> </w:t>
      </w:r>
      <w:r w:rsidR="00D838EF">
        <w:rPr>
          <w:i/>
          <w:iCs/>
        </w:rPr>
        <w:t>Also d</w:t>
      </w:r>
      <w:r w:rsidRPr="00EB55FB">
        <w:rPr>
          <w:i/>
          <w:iCs/>
        </w:rPr>
        <w:t>ecides</w:t>
      </w:r>
      <w:r w:rsidRPr="00EB55FB">
        <w:t xml:space="preserve"> to expand capacity</w:t>
      </w:r>
      <w:r w:rsidR="00CB687D">
        <w:t>-</w:t>
      </w:r>
      <w:r w:rsidRPr="00EB55FB">
        <w:t xml:space="preserve">building efforts on </w:t>
      </w:r>
      <w:r w:rsidR="00E16C67">
        <w:t xml:space="preserve">the </w:t>
      </w:r>
      <w:r w:rsidRPr="00EB55FB">
        <w:t>risk assessment and risk management of living modified organisms, making use of existing information, guidance materials</w:t>
      </w:r>
      <w:r w:rsidR="008D28EC">
        <w:t xml:space="preserve"> </w:t>
      </w:r>
      <w:r w:rsidRPr="00EB55FB">
        <w:t xml:space="preserve">and the approach to risk assessment of </w:t>
      </w:r>
      <w:r w:rsidR="00974894">
        <w:t>living modified organism</w:t>
      </w:r>
      <w:r w:rsidRPr="00EB55FB">
        <w:t xml:space="preserve">s </w:t>
      </w:r>
      <w:r w:rsidR="000C282D">
        <w:t>described</w:t>
      </w:r>
      <w:r w:rsidRPr="00EB55FB">
        <w:t xml:space="preserve"> in </w:t>
      </w:r>
      <w:r w:rsidRPr="00BC7D0F">
        <w:rPr>
          <w:i/>
          <w:iCs/>
        </w:rPr>
        <w:t xml:space="preserve">Biosafety </w:t>
      </w:r>
      <w:r w:rsidR="00974894" w:rsidRPr="00BC7D0F">
        <w:rPr>
          <w:i/>
          <w:iCs/>
        </w:rPr>
        <w:t>T</w:t>
      </w:r>
      <w:r w:rsidRPr="00BC7D0F">
        <w:rPr>
          <w:i/>
          <w:iCs/>
        </w:rPr>
        <w:t xml:space="preserve">echnical </w:t>
      </w:r>
      <w:r w:rsidR="00974894" w:rsidRPr="00BC7D0F">
        <w:rPr>
          <w:i/>
          <w:iCs/>
        </w:rPr>
        <w:t>S</w:t>
      </w:r>
      <w:r w:rsidRPr="00BC7D0F">
        <w:rPr>
          <w:i/>
          <w:iCs/>
        </w:rPr>
        <w:t xml:space="preserve">eries </w:t>
      </w:r>
      <w:r w:rsidR="00974894" w:rsidRPr="00BC7D0F">
        <w:rPr>
          <w:i/>
          <w:iCs/>
        </w:rPr>
        <w:t>0</w:t>
      </w:r>
      <w:r w:rsidRPr="00BC7D0F">
        <w:rPr>
          <w:i/>
          <w:iCs/>
        </w:rPr>
        <w:t>7</w:t>
      </w:r>
      <w:r w:rsidRPr="007E2144">
        <w:t>;]</w:t>
      </w:r>
    </w:p>
    <w:p w14:paraId="1E2DA80D" w14:textId="0DFFCF90" w:rsidR="00EB55FB" w:rsidRPr="00EB55FB" w:rsidRDefault="00EB55FB" w:rsidP="00BC7D0F">
      <w:pPr>
        <w:tabs>
          <w:tab w:val="clear" w:pos="567"/>
          <w:tab w:val="left" w:pos="2835"/>
          <w:tab w:val="left" w:pos="3402"/>
        </w:tabs>
        <w:spacing w:after="120"/>
        <w:ind w:left="1134" w:firstLine="567"/>
      </w:pPr>
      <w:r w:rsidRPr="00EB55FB">
        <w:t>[4.</w:t>
      </w:r>
      <w:r w:rsidRPr="00EB55FB">
        <w:rPr>
          <w:i/>
          <w:iCs/>
        </w:rPr>
        <w:tab/>
      </w:r>
      <w:r w:rsidR="00A11F1C">
        <w:rPr>
          <w:i/>
          <w:iCs/>
        </w:rPr>
        <w:t>Further d</w:t>
      </w:r>
      <w:r w:rsidRPr="00EB55FB">
        <w:rPr>
          <w:i/>
          <w:iCs/>
        </w:rPr>
        <w:t xml:space="preserve">ecides </w:t>
      </w:r>
      <w:r w:rsidRPr="00EB55FB">
        <w:t>to establish a new ad hoc technical expert group on risk assessment, with the terms of reference contained in the annex to the present decision;]</w:t>
      </w:r>
    </w:p>
    <w:p w14:paraId="5894BA69" w14:textId="31530269" w:rsidR="00EB55FB" w:rsidRPr="00BC7D0F" w:rsidRDefault="00EB55FB" w:rsidP="00BC7D0F">
      <w:pPr>
        <w:tabs>
          <w:tab w:val="clear" w:pos="567"/>
          <w:tab w:val="left" w:pos="2835"/>
          <w:tab w:val="left" w:pos="3402"/>
        </w:tabs>
        <w:spacing w:after="120"/>
        <w:ind w:left="1134" w:firstLine="567"/>
        <w:rPr>
          <w:b/>
          <w:u w:val="single"/>
        </w:rPr>
      </w:pPr>
      <w:r w:rsidRPr="00EB55FB">
        <w:t>[5.</w:t>
      </w:r>
      <w:r w:rsidRPr="00EB55FB">
        <w:rPr>
          <w:i/>
          <w:iCs/>
        </w:rPr>
        <w:tab/>
        <w:t xml:space="preserve">Invites </w:t>
      </w:r>
      <w:r w:rsidRPr="00EB55FB">
        <w:t>Parties, other Governments, indigenous peoples and local communities, women</w:t>
      </w:r>
      <w:r w:rsidR="006A7087">
        <w:t xml:space="preserve">, </w:t>
      </w:r>
      <w:r w:rsidRPr="00EB55FB">
        <w:t xml:space="preserve">youth, academia and relevant organizations to submit </w:t>
      </w:r>
      <w:r w:rsidR="003E6ED0">
        <w:t xml:space="preserve">relevant </w:t>
      </w:r>
      <w:r w:rsidRPr="00EB55FB">
        <w:t>information</w:t>
      </w:r>
      <w:r w:rsidR="003E6ED0">
        <w:t xml:space="preserve">, </w:t>
      </w:r>
      <w:r w:rsidRPr="00EB55FB">
        <w:t xml:space="preserve">such as national and regional risk assessment experiences and existing resources for risk assessment for the </w:t>
      </w:r>
      <w:r w:rsidR="00202136">
        <w:t xml:space="preserve">selected </w:t>
      </w:r>
      <w:r w:rsidRPr="00EB55FB">
        <w:t>topic</w:t>
      </w:r>
      <w:r w:rsidR="00202136">
        <w:t>s</w:t>
      </w:r>
      <w:r w:rsidR="005130F4">
        <w:t>,</w:t>
      </w:r>
      <w:r w:rsidRPr="00EB55FB">
        <w:t xml:space="preserve"> </w:t>
      </w:r>
      <w:r w:rsidR="005130F4">
        <w:t xml:space="preserve">to </w:t>
      </w:r>
      <w:r w:rsidRPr="00EB55FB">
        <w:t>support the work of the Ad Hoc Technical Expert Group on Risk Assessment;]</w:t>
      </w:r>
    </w:p>
    <w:p w14:paraId="5CC0371E" w14:textId="28850E64" w:rsidR="00EB55FB" w:rsidRPr="00EB55FB" w:rsidRDefault="00974894" w:rsidP="00BC7D0F">
      <w:pPr>
        <w:tabs>
          <w:tab w:val="clear" w:pos="567"/>
          <w:tab w:val="left" w:pos="2835"/>
          <w:tab w:val="left" w:pos="3402"/>
        </w:tabs>
        <w:spacing w:after="120"/>
        <w:ind w:left="1134" w:firstLine="567"/>
      </w:pPr>
      <w:r>
        <w:t>[</w:t>
      </w:r>
      <w:r w:rsidR="00EB55FB" w:rsidRPr="00EB55FB">
        <w:t>6.</w:t>
      </w:r>
      <w:r w:rsidR="00EB55FB" w:rsidRPr="00EB55FB">
        <w:rPr>
          <w:i/>
          <w:iCs/>
        </w:rPr>
        <w:tab/>
        <w:t>Decides</w:t>
      </w:r>
      <w:r w:rsidR="00EB55FB" w:rsidRPr="00EB55FB">
        <w:t xml:space="preserve"> to extend the Open-ended Online Forum on Risk Assessment and Risk Management to support the work of the Ad Hoc Technical Expert Group on Risk Assessment;</w:t>
      </w:r>
      <w:r>
        <w:t>]</w:t>
      </w:r>
    </w:p>
    <w:p w14:paraId="550F6618" w14:textId="7767E83F" w:rsidR="00EB55FB" w:rsidRPr="00EB55FB" w:rsidRDefault="00EB55FB" w:rsidP="00BC7D0F">
      <w:pPr>
        <w:tabs>
          <w:tab w:val="clear" w:pos="567"/>
          <w:tab w:val="left" w:pos="2835"/>
          <w:tab w:val="left" w:pos="3402"/>
        </w:tabs>
        <w:spacing w:after="120"/>
        <w:ind w:left="1134" w:firstLine="567"/>
      </w:pPr>
      <w:r w:rsidRPr="00EB55FB">
        <w:t>[7.</w:t>
      </w:r>
      <w:r w:rsidRPr="00EB55FB">
        <w:rPr>
          <w:i/>
          <w:iCs/>
        </w:rPr>
        <w:tab/>
        <w:t xml:space="preserve">Also decides </w:t>
      </w:r>
      <w:r w:rsidRPr="00EB55FB">
        <w:t xml:space="preserve">to consider at its thirteenth meeting additional issues on which guidance materials on risk assessment may be needed, further to the process established in decision </w:t>
      </w:r>
      <w:hyperlink r:id="rId17" w:history="1">
        <w:r w:rsidRPr="004136E4">
          <w:rPr>
            <w:rStyle w:val="Hyperlink"/>
          </w:rPr>
          <w:t>CP-9/13</w:t>
        </w:r>
      </w:hyperlink>
      <w:r w:rsidRPr="00EB55FB">
        <w:t xml:space="preserve"> for the identification and prioritization of specific issues of risk assessment of living modified organisms that may warrant consideration, taking into account the priorities identified by Parties, including in their national reports, and the topics identified by the Ad Hoc Technical Expert Group on Risk Assessment;</w:t>
      </w:r>
      <w:r w:rsidRPr="00EB55FB">
        <w:rPr>
          <w:vertAlign w:val="superscript"/>
        </w:rPr>
        <w:footnoteReference w:id="5"/>
      </w:r>
      <w:r w:rsidRPr="00EB55FB">
        <w:t>]</w:t>
      </w:r>
    </w:p>
    <w:p w14:paraId="4ACC8BA6" w14:textId="74CA579F" w:rsidR="00EB55FB" w:rsidRPr="00EB55FB" w:rsidRDefault="00EB55FB" w:rsidP="00C67FE4">
      <w:pPr>
        <w:tabs>
          <w:tab w:val="clear" w:pos="567"/>
          <w:tab w:val="left" w:pos="2835"/>
          <w:tab w:val="left" w:pos="3402"/>
        </w:tabs>
        <w:spacing w:after="120"/>
        <w:ind w:left="1134" w:firstLine="567"/>
      </w:pPr>
      <w:r w:rsidRPr="00EB55FB">
        <w:t>[8.</w:t>
      </w:r>
      <w:r w:rsidRPr="00EB55FB">
        <w:tab/>
      </w:r>
      <w:r w:rsidRPr="00EB55FB">
        <w:rPr>
          <w:i/>
          <w:iCs/>
        </w:rPr>
        <w:t xml:space="preserve">Invites </w:t>
      </w:r>
      <w:r w:rsidRPr="00EB55FB">
        <w:t xml:space="preserve">Parties, other Governments, indigenous peoples and local communities, </w:t>
      </w:r>
      <w:r w:rsidR="00C76BE3">
        <w:t xml:space="preserve">and </w:t>
      </w:r>
      <w:r w:rsidRPr="00EB55FB">
        <w:t>women</w:t>
      </w:r>
      <w:r w:rsidR="00E6345F">
        <w:t xml:space="preserve">, </w:t>
      </w:r>
      <w:r w:rsidRPr="00EB55FB">
        <w:t xml:space="preserve">youth and relevant organizations to submit information on experiences </w:t>
      </w:r>
      <w:r w:rsidR="00CF326B">
        <w:t>with</w:t>
      </w:r>
      <w:r w:rsidRPr="00EB55FB">
        <w:t xml:space="preserve"> the implementation of </w:t>
      </w:r>
      <w:r w:rsidR="00DF2AB2">
        <w:t xml:space="preserve">the </w:t>
      </w:r>
      <w:r w:rsidRPr="00EB55FB">
        <w:t xml:space="preserve">simplified procedure </w:t>
      </w:r>
      <w:r w:rsidR="00BB6D0D">
        <w:t>provided</w:t>
      </w:r>
      <w:r w:rsidR="00BB6D0D" w:rsidRPr="00EB55FB">
        <w:t xml:space="preserve"> </w:t>
      </w:r>
      <w:r w:rsidRPr="00EB55FB">
        <w:t xml:space="preserve">in Article </w:t>
      </w:r>
      <w:hyperlink r:id="rId18" w:history="1">
        <w:r w:rsidRPr="00A75975">
          <w:rPr>
            <w:rStyle w:val="Hyperlink"/>
          </w:rPr>
          <w:t>13</w:t>
        </w:r>
      </w:hyperlink>
      <w:r w:rsidRPr="00EB55FB">
        <w:t xml:space="preserve"> of the Cartagena Protocol, bilateral, regional and multilateral agreements and arrangements provided in Article </w:t>
      </w:r>
      <w:hyperlink r:id="rId19" w:history="1">
        <w:r w:rsidRPr="009E01E6">
          <w:rPr>
            <w:rStyle w:val="Hyperlink"/>
          </w:rPr>
          <w:t>14</w:t>
        </w:r>
      </w:hyperlink>
      <w:r w:rsidRPr="00EB55FB">
        <w:t xml:space="preserve"> of the Protocol, and on </w:t>
      </w:r>
      <w:r w:rsidR="00B21EB2">
        <w:t xml:space="preserve">the </w:t>
      </w:r>
      <w:r w:rsidRPr="00EB55FB">
        <w:t>transportability</w:t>
      </w:r>
      <w:r w:rsidR="00E47ADE">
        <w:t xml:space="preserve"> of data</w:t>
      </w:r>
      <w:r w:rsidRPr="00EB55FB">
        <w:t xml:space="preserve"> for risk assessment of living modified organisms</w:t>
      </w:r>
      <w:r w:rsidR="006C2C47">
        <w:t>[</w:t>
      </w:r>
      <w:r w:rsidRPr="00EB55FB">
        <w:t>, recogni</w:t>
      </w:r>
      <w:r w:rsidR="00BE059F">
        <w:t>z</w:t>
      </w:r>
      <w:r w:rsidRPr="00EB55FB">
        <w:t xml:space="preserve">ing that </w:t>
      </w:r>
      <w:r w:rsidR="00FD1157">
        <w:t xml:space="preserve">the </w:t>
      </w:r>
      <w:r w:rsidRPr="00EB55FB">
        <w:t xml:space="preserve">acceptance of risk assessment data </w:t>
      </w:r>
      <w:r w:rsidR="002955FE">
        <w:t xml:space="preserve">from other countries </w:t>
      </w:r>
      <w:r w:rsidRPr="00EB55FB">
        <w:t>shall be subject to national evaluation and confirmation of ecological relevance and comparability</w:t>
      </w:r>
      <w:r w:rsidR="006C2C47">
        <w:t>]</w:t>
      </w:r>
      <w:r w:rsidRPr="00EB55FB">
        <w:t>;]</w:t>
      </w:r>
    </w:p>
    <w:p w14:paraId="24162C7C" w14:textId="5EE03C13" w:rsidR="00EB55FB" w:rsidRPr="00EB55FB" w:rsidRDefault="00EB55FB" w:rsidP="00EB55FB">
      <w:pPr>
        <w:tabs>
          <w:tab w:val="clear" w:pos="567"/>
          <w:tab w:val="left" w:pos="2835"/>
          <w:tab w:val="left" w:pos="3402"/>
        </w:tabs>
        <w:spacing w:after="120"/>
        <w:ind w:left="1134" w:firstLine="567"/>
      </w:pPr>
      <w:r w:rsidRPr="00EB55FB">
        <w:t>[9.</w:t>
      </w:r>
      <w:r w:rsidRPr="00EB55FB">
        <w:tab/>
      </w:r>
      <w:r w:rsidRPr="00EB55FB">
        <w:rPr>
          <w:i/>
          <w:iCs/>
        </w:rPr>
        <w:t>Decides</w:t>
      </w:r>
      <w:r w:rsidRPr="00BC7D0F">
        <w:t xml:space="preserve"> </w:t>
      </w:r>
      <w:r w:rsidRPr="00EB55FB">
        <w:t xml:space="preserve">to consider at its thirteenth meeting the information submitted in response to paragraph 8 </w:t>
      </w:r>
      <w:r w:rsidR="0093408C" w:rsidRPr="0093408C">
        <w:t>above</w:t>
      </w:r>
      <w:r w:rsidRPr="0093408C">
        <w:t>;]</w:t>
      </w:r>
    </w:p>
    <w:p w14:paraId="2296D468" w14:textId="11906D2B" w:rsidR="00EB55FB" w:rsidRPr="00EB55FB" w:rsidRDefault="00EB55FB" w:rsidP="00236891">
      <w:pPr>
        <w:tabs>
          <w:tab w:val="clear" w:pos="567"/>
          <w:tab w:val="left" w:pos="2835"/>
          <w:tab w:val="left" w:pos="3402"/>
        </w:tabs>
        <w:spacing w:after="120"/>
        <w:ind w:left="1134" w:firstLine="567"/>
      </w:pPr>
      <w:r w:rsidRPr="001F6C32">
        <w:t>10.</w:t>
      </w:r>
      <w:r w:rsidRPr="001F6C32">
        <w:tab/>
      </w:r>
      <w:r w:rsidRPr="001F6C32">
        <w:rPr>
          <w:i/>
          <w:iCs/>
        </w:rPr>
        <w:t xml:space="preserve">Urges </w:t>
      </w:r>
      <w:r w:rsidRPr="001F6C32">
        <w:t>Parties</w:t>
      </w:r>
      <w:r w:rsidR="005104D9" w:rsidRPr="001F6C32">
        <w:t>,</w:t>
      </w:r>
      <w:r w:rsidRPr="001F6C32">
        <w:t xml:space="preserve"> and invites other Governments, indigenous peoples and local</w:t>
      </w:r>
      <w:r w:rsidRPr="00EB55FB">
        <w:t xml:space="preserve"> communities, </w:t>
      </w:r>
      <w:r w:rsidR="0066793E">
        <w:t xml:space="preserve">and </w:t>
      </w:r>
      <w:r w:rsidRPr="00EB55FB">
        <w:t>women</w:t>
      </w:r>
      <w:r w:rsidR="00E74F78">
        <w:t>,</w:t>
      </w:r>
      <w:r w:rsidRPr="00EB55FB">
        <w:t xml:space="preserve"> youth and relevant organizations</w:t>
      </w:r>
      <w:r w:rsidR="001909A8" w:rsidRPr="0093408C">
        <w:t>,</w:t>
      </w:r>
      <w:r w:rsidRPr="00EB55FB">
        <w:t xml:space="preserve"> to engage in broad international cooperation to share information and experiences related to risk assessment</w:t>
      </w:r>
      <w:r w:rsidR="00F061C2" w:rsidRPr="00756429">
        <w:t>,</w:t>
      </w:r>
      <w:r w:rsidRPr="00756429">
        <w:t xml:space="preserve"> </w:t>
      </w:r>
      <w:r w:rsidR="00F061C2" w:rsidRPr="00756429">
        <w:t xml:space="preserve">in </w:t>
      </w:r>
      <w:r w:rsidRPr="00756429">
        <w:t>particular through the Biosafety Clearing-House</w:t>
      </w:r>
      <w:r w:rsidR="00F061C2" w:rsidRPr="00756429">
        <w:t>,</w:t>
      </w:r>
      <w:r w:rsidRPr="00756429">
        <w:t xml:space="preserve"> a</w:t>
      </w:r>
      <w:r w:rsidRPr="00EB55FB">
        <w:t xml:space="preserve">nd promote capacity-building and development activities with regard to the topics prioritized by the </w:t>
      </w:r>
      <w:r w:rsidR="00236891">
        <w:t>[</w:t>
      </w:r>
      <w:r w:rsidRPr="00EB55FB">
        <w:t>Ad Hoc Technical Expert Group on Risk Assessment</w:t>
      </w:r>
      <w:r w:rsidR="00A04F66">
        <w:t>;</w:t>
      </w:r>
      <w:r w:rsidR="00A04F66" w:rsidRPr="00EB55FB">
        <w:rPr>
          <w:vertAlign w:val="superscript"/>
        </w:rPr>
        <w:footnoteReference w:id="6"/>
      </w:r>
      <w:r w:rsidRPr="00EB55FB">
        <w:t>]</w:t>
      </w:r>
      <w:r w:rsidR="00236891">
        <w:t>[Subsidiary Body on Scientific, Technical and Technological Advice</w:t>
      </w:r>
      <w:r w:rsidR="00FE40C6">
        <w:t>;</w:t>
      </w:r>
      <w:r w:rsidR="00236891">
        <w:t>]</w:t>
      </w:r>
    </w:p>
    <w:p w14:paraId="0F5F4F10" w14:textId="2D64439A" w:rsidR="00EB55FB" w:rsidRPr="00EB55FB" w:rsidRDefault="00EB55FB" w:rsidP="00BE5904">
      <w:pPr>
        <w:tabs>
          <w:tab w:val="clear" w:pos="567"/>
          <w:tab w:val="left" w:pos="2835"/>
          <w:tab w:val="left" w:pos="3402"/>
        </w:tabs>
        <w:spacing w:after="120"/>
        <w:ind w:left="1134" w:firstLine="567"/>
      </w:pPr>
      <w:r w:rsidRPr="00EB55FB">
        <w:t>11</w:t>
      </w:r>
      <w:r w:rsidR="002F37E6">
        <w:t>.</w:t>
      </w:r>
      <w:r w:rsidRPr="00EB55FB">
        <w:tab/>
      </w:r>
      <w:r w:rsidRPr="00EB55FB">
        <w:rPr>
          <w:i/>
          <w:iCs/>
        </w:rPr>
        <w:t xml:space="preserve">Invites </w:t>
      </w:r>
      <w:r w:rsidRPr="00EB55FB">
        <w:t xml:space="preserve">the </w:t>
      </w:r>
      <w:r w:rsidR="00043FC2">
        <w:t xml:space="preserve">regional and </w:t>
      </w:r>
      <w:r w:rsidRPr="00EB55FB">
        <w:t xml:space="preserve">subregional technical </w:t>
      </w:r>
      <w:r w:rsidR="00BE5904" w:rsidRPr="00BE5904">
        <w:t xml:space="preserve">and scientific </w:t>
      </w:r>
      <w:r w:rsidR="000D3D12">
        <w:t xml:space="preserve">cooperation </w:t>
      </w:r>
      <w:r w:rsidRPr="00EB55FB">
        <w:t>support centres</w:t>
      </w:r>
      <w:r w:rsidR="00CC638A" w:rsidRPr="00E90B5B">
        <w:rPr>
          <w:vertAlign w:val="superscript"/>
        </w:rPr>
        <w:footnoteReference w:id="7"/>
      </w:r>
      <w:r w:rsidRPr="00EB55FB">
        <w:t xml:space="preserve"> to assist Parties in addressing their needs and priorities on risk assessment and risk </w:t>
      </w:r>
      <w:r w:rsidRPr="00E90B5B">
        <w:t>management</w:t>
      </w:r>
      <w:r w:rsidR="00F061C2" w:rsidRPr="00E90B5B">
        <w:t>;</w:t>
      </w:r>
    </w:p>
    <w:p w14:paraId="5668C28C" w14:textId="7A82266F" w:rsidR="00EB55FB" w:rsidRPr="00BC7D0F" w:rsidRDefault="00EB55FB" w:rsidP="004136E4">
      <w:pPr>
        <w:keepNext/>
        <w:tabs>
          <w:tab w:val="clear" w:pos="567"/>
          <w:tab w:val="left" w:pos="2835"/>
          <w:tab w:val="left" w:pos="3402"/>
        </w:tabs>
        <w:spacing w:after="120"/>
        <w:ind w:left="1134" w:firstLine="567"/>
        <w:rPr>
          <w:lang w:val="en-CA"/>
        </w:rPr>
      </w:pPr>
      <w:r w:rsidRPr="00EB55FB">
        <w:t>12.</w:t>
      </w:r>
      <w:r w:rsidRPr="00EB55FB">
        <w:rPr>
          <w:i/>
          <w:iCs/>
        </w:rPr>
        <w:tab/>
        <w:t xml:space="preserve">Requests </w:t>
      </w:r>
      <w:r w:rsidRPr="00EB55FB">
        <w:t>the Executive Secretary, subject to the availability of financial resources</w:t>
      </w:r>
      <w:r w:rsidR="00163BC0">
        <w:t>:</w:t>
      </w:r>
    </w:p>
    <w:p w14:paraId="0BFC555F" w14:textId="55CFE730" w:rsidR="00EB55FB" w:rsidRPr="00EB55FB" w:rsidRDefault="00EB55FB" w:rsidP="00BC7D0F">
      <w:pPr>
        <w:tabs>
          <w:tab w:val="clear" w:pos="567"/>
          <w:tab w:val="left" w:pos="2835"/>
          <w:tab w:val="left" w:pos="3402"/>
        </w:tabs>
        <w:spacing w:after="120"/>
        <w:ind w:left="1134" w:firstLine="567"/>
      </w:pPr>
      <w:r w:rsidRPr="00EB55FB">
        <w:t>[(a)</w:t>
      </w:r>
      <w:r w:rsidRPr="00EB55FB">
        <w:tab/>
      </w:r>
      <w:r w:rsidR="00163BC0">
        <w:t>To c</w:t>
      </w:r>
      <w:r w:rsidRPr="00EB55FB">
        <w:t>onvene at least two meetings of the Ad Hoc Technical Expert Group on Risk Assessment, one of which will be in person, before the thirteenth meeting of the Conference of the Parties serving as the meeting of the Parties to the Cartagena Protocol</w:t>
      </w:r>
      <w:r w:rsidR="008A29FB">
        <w:t>;</w:t>
      </w:r>
      <w:r w:rsidRPr="00EB55FB">
        <w:t>]</w:t>
      </w:r>
    </w:p>
    <w:p w14:paraId="6A63CF30" w14:textId="23E4FFF2" w:rsidR="00EB55FB" w:rsidRPr="00EB55FB" w:rsidRDefault="00EB55FB" w:rsidP="00BC7D0F">
      <w:pPr>
        <w:tabs>
          <w:tab w:val="clear" w:pos="567"/>
          <w:tab w:val="left" w:pos="2835"/>
          <w:tab w:val="left" w:pos="3402"/>
        </w:tabs>
        <w:spacing w:after="120"/>
        <w:ind w:left="1134" w:firstLine="567"/>
      </w:pPr>
      <w:r w:rsidRPr="00EB55FB">
        <w:t>[(b)</w:t>
      </w:r>
      <w:r w:rsidRPr="00EB55FB">
        <w:tab/>
      </w:r>
      <w:r w:rsidR="00163BC0">
        <w:t>To c</w:t>
      </w:r>
      <w:r w:rsidRPr="00EB55FB">
        <w:t xml:space="preserve">onvene discussions in the Open-ended Online Forum on Risk Assessment and Risk Management during the same intersessional period and encourage the active participation of indigenous peoples and local communities, women </w:t>
      </w:r>
      <w:r w:rsidR="001C14AF">
        <w:t xml:space="preserve">and </w:t>
      </w:r>
      <w:r w:rsidRPr="00EB55FB">
        <w:t>youth</w:t>
      </w:r>
      <w:r w:rsidR="001C14AF">
        <w:t xml:space="preserve"> organizations</w:t>
      </w:r>
      <w:r w:rsidRPr="00EB55FB">
        <w:t>, academia and other relevant organizations;]</w:t>
      </w:r>
    </w:p>
    <w:p w14:paraId="12104EB0" w14:textId="41E0B184" w:rsidR="00EB55FB" w:rsidRPr="004136E4" w:rsidRDefault="00EB55FB" w:rsidP="00BC7D0F">
      <w:pPr>
        <w:tabs>
          <w:tab w:val="clear" w:pos="567"/>
          <w:tab w:val="left" w:pos="2835"/>
          <w:tab w:val="left" w:pos="3402"/>
        </w:tabs>
        <w:spacing w:after="120"/>
        <w:ind w:left="1134" w:firstLine="567"/>
        <w:rPr>
          <w:lang w:val="en-CA"/>
        </w:rPr>
      </w:pPr>
      <w:r w:rsidRPr="00EB55FB">
        <w:t>(c)</w:t>
      </w:r>
      <w:r w:rsidRPr="00EB55FB">
        <w:tab/>
      </w:r>
      <w:r w:rsidR="00163BC0">
        <w:t>To s</w:t>
      </w:r>
      <w:r w:rsidRPr="00EB55FB">
        <w:t xml:space="preserve">ynthesize information collected in response to paragraphs [5] and [8] of the present </w:t>
      </w:r>
      <w:proofErr w:type="gramStart"/>
      <w:r w:rsidRPr="00EB55FB">
        <w:t>decision</w:t>
      </w:r>
      <w:r w:rsidR="003C5B44">
        <w:t>[</w:t>
      </w:r>
      <w:proofErr w:type="gramEnd"/>
      <w:r w:rsidR="00A56B08">
        <w:t xml:space="preserve"> and through the </w:t>
      </w:r>
      <w:r w:rsidR="00A56B08" w:rsidRPr="00EB55FB">
        <w:t>Open-ended Online Forum on Risk Assessment and Risk Management</w:t>
      </w:r>
      <w:r w:rsidR="00FE5B4A">
        <w:t>]</w:t>
      </w:r>
      <w:r w:rsidRPr="00EB55FB">
        <w:t>, as well as the information related to specific needs for further guidance on specific topics of</w:t>
      </w:r>
      <w:r w:rsidRPr="00EB55FB">
        <w:rPr>
          <w:b/>
          <w:bCs/>
        </w:rPr>
        <w:t xml:space="preserve"> </w:t>
      </w:r>
      <w:r w:rsidRPr="00EB55FB">
        <w:t xml:space="preserve">risk assessment and risk management in national </w:t>
      </w:r>
      <w:r w:rsidRPr="007B75D5">
        <w:t>reports</w:t>
      </w:r>
      <w:r w:rsidR="00F061C2" w:rsidRPr="007B75D5">
        <w:t>;</w:t>
      </w:r>
      <w:r w:rsidRPr="007B75D5">
        <w:rPr>
          <w:vertAlign w:val="superscript"/>
        </w:rPr>
        <w:footnoteReference w:id="8"/>
      </w:r>
    </w:p>
    <w:p w14:paraId="16A77F25" w14:textId="78C47643" w:rsidR="00EB55FB" w:rsidRPr="00EB55FB" w:rsidRDefault="00EB55FB" w:rsidP="00BC7D0F">
      <w:pPr>
        <w:tabs>
          <w:tab w:val="clear" w:pos="567"/>
          <w:tab w:val="left" w:pos="2835"/>
          <w:tab w:val="left" w:pos="3402"/>
        </w:tabs>
        <w:spacing w:after="120"/>
        <w:ind w:left="1134" w:firstLine="567"/>
      </w:pPr>
      <w:r w:rsidRPr="00EB55FB">
        <w:t>(d)</w:t>
      </w:r>
      <w:r w:rsidRPr="00EB55FB">
        <w:tab/>
      </w:r>
      <w:r w:rsidR="00163BC0">
        <w:t>To c</w:t>
      </w:r>
      <w:r w:rsidRPr="00EB55FB">
        <w:t xml:space="preserve">ontinue to undertake capacity-building and development activities on existing guidance materials through regional workshops </w:t>
      </w:r>
      <w:proofErr w:type="gramStart"/>
      <w:r w:rsidR="0082650A">
        <w:t xml:space="preserve">in order </w:t>
      </w:r>
      <w:r w:rsidRPr="00EB55FB">
        <w:t>to</w:t>
      </w:r>
      <w:proofErr w:type="gramEnd"/>
      <w:r w:rsidRPr="00EB55FB">
        <w:t xml:space="preserve"> support the risk assessment of living modified organisms</w:t>
      </w:r>
      <w:r w:rsidR="000962BE">
        <w:t>,</w:t>
      </w:r>
      <w:r w:rsidRPr="00EB55FB">
        <w:t xml:space="preserve"> in collaboration with relevant initiatives and partnerships, as appropriate, ensuring equitable representation of all developing country Parties;</w:t>
      </w:r>
    </w:p>
    <w:p w14:paraId="32C573AD" w14:textId="23F9CFAB" w:rsidR="00EB55FB" w:rsidRPr="004136E4" w:rsidRDefault="00EB55FB" w:rsidP="00EB55FB">
      <w:pPr>
        <w:tabs>
          <w:tab w:val="clear" w:pos="567"/>
          <w:tab w:val="left" w:pos="2835"/>
          <w:tab w:val="left" w:pos="3402"/>
        </w:tabs>
        <w:spacing w:after="120"/>
        <w:ind w:left="1134" w:firstLine="567"/>
        <w:rPr>
          <w:lang w:val="en-CA"/>
        </w:rPr>
      </w:pPr>
      <w:r w:rsidRPr="00EB55FB">
        <w:t>(e)</w:t>
      </w:r>
      <w:r w:rsidRPr="00EB55FB">
        <w:tab/>
      </w:r>
      <w:r w:rsidR="00163BC0">
        <w:t>To c</w:t>
      </w:r>
      <w:r w:rsidRPr="00EB55FB">
        <w:t xml:space="preserve">ontinue to collect experiences </w:t>
      </w:r>
      <w:r w:rsidR="00151361">
        <w:t xml:space="preserve">on </w:t>
      </w:r>
      <w:r w:rsidRPr="00EB55FB">
        <w:t>and assessment</w:t>
      </w:r>
      <w:r w:rsidR="00D770D2">
        <w:t>s</w:t>
      </w:r>
      <w:r w:rsidRPr="00EB55FB">
        <w:t xml:space="preserve"> of the applicability and usefulness of the additional voluntary guidance materials to support case-by-case risk assessment</w:t>
      </w:r>
      <w:r w:rsidR="00D770D2">
        <w:t>s</w:t>
      </w:r>
      <w:r w:rsidRPr="00EB55FB">
        <w:t xml:space="preserve"> of living modified organisms containing engineered gene drives</w:t>
      </w:r>
      <w:r w:rsidRPr="00EB55FB">
        <w:rPr>
          <w:vertAlign w:val="superscript"/>
        </w:rPr>
        <w:footnoteReference w:id="9"/>
      </w:r>
      <w:r w:rsidRPr="00EB55FB">
        <w:t xml:space="preserve"> and make them available through the Biosafety </w:t>
      </w:r>
      <w:proofErr w:type="gramStart"/>
      <w:r w:rsidRPr="00EB55FB">
        <w:t>Clearing-House</w:t>
      </w:r>
      <w:proofErr w:type="gramEnd"/>
      <w:r w:rsidRPr="00EB55FB">
        <w:t>;</w:t>
      </w:r>
    </w:p>
    <w:p w14:paraId="5BF38764" w14:textId="2B861C0D" w:rsidR="00EB55FB" w:rsidRPr="00EB55FB" w:rsidRDefault="00EB55FB" w:rsidP="00BC7D0F">
      <w:pPr>
        <w:tabs>
          <w:tab w:val="clear" w:pos="567"/>
          <w:tab w:val="left" w:pos="2835"/>
          <w:tab w:val="left" w:pos="3402"/>
        </w:tabs>
        <w:spacing w:after="120"/>
        <w:ind w:left="1134" w:firstLine="567"/>
      </w:pPr>
      <w:r w:rsidRPr="00EB55FB">
        <w:t>[13.</w:t>
      </w:r>
      <w:r w:rsidRPr="00EB55FB">
        <w:rPr>
          <w:i/>
          <w:iCs/>
        </w:rPr>
        <w:tab/>
        <w:t>Requests</w:t>
      </w:r>
      <w:r w:rsidRPr="00EB55FB">
        <w:t xml:space="preserve"> the Subsidiary Body on Scientific, Technical and Technological Advice to consider the outcomes of the meeting</w:t>
      </w:r>
      <w:r w:rsidR="00AE7893">
        <w:t>s</w:t>
      </w:r>
      <w:r w:rsidRPr="00EB55FB">
        <w:t xml:space="preserve"> of the Ad Hoc Technical Expert Group on Risk Assessment at a meeting held before the thirteenth meeting of the Conference of the Parties serving as the meeting of the Parties to the Cartagena Protocol and to make recommendations to the Conference of the Parties serving as the meeting of the Parties to the Protocol</w:t>
      </w:r>
      <w:r w:rsidR="00AA7E2C">
        <w:t xml:space="preserve"> for consideration at its </w:t>
      </w:r>
      <w:r w:rsidR="00AA7E2C" w:rsidRPr="00EB55FB">
        <w:t>thirteenth meeting</w:t>
      </w:r>
      <w:r w:rsidRPr="00EB55FB">
        <w:t>.]</w:t>
      </w:r>
    </w:p>
    <w:p w14:paraId="1F678009" w14:textId="60A78ED7" w:rsidR="00094710" w:rsidRPr="00E82EE1" w:rsidRDefault="00094710" w:rsidP="00EB55FB">
      <w:pPr>
        <w:keepNext/>
        <w:keepLines/>
        <w:tabs>
          <w:tab w:val="clear" w:pos="567"/>
          <w:tab w:val="clear" w:pos="1134"/>
          <w:tab w:val="clear" w:pos="1701"/>
          <w:tab w:val="clear" w:pos="2268"/>
          <w:tab w:val="left" w:pos="2835"/>
          <w:tab w:val="left" w:pos="3402"/>
        </w:tabs>
        <w:spacing w:before="240" w:after="120"/>
        <w:ind w:left="1134"/>
        <w:jc w:val="left"/>
        <w:rPr>
          <w:rFonts w:ascii="Times New Roman Bold" w:hAnsi="Times New Roman Bold" w:cs="Times New Roman Bold" w:hint="eastAsia"/>
          <w:bCs/>
          <w:sz w:val="24"/>
        </w:rPr>
      </w:pPr>
      <w:r w:rsidRPr="00E82EE1">
        <w:rPr>
          <w:rFonts w:ascii="Times New Roman Bold" w:hAnsi="Times New Roman Bold" w:cs="Times New Roman Bold"/>
          <w:bCs/>
          <w:sz w:val="24"/>
        </w:rPr>
        <w:t>[</w:t>
      </w:r>
    </w:p>
    <w:p w14:paraId="4EDEFD3F" w14:textId="1D9AC4E4" w:rsidR="00EB55FB" w:rsidRPr="00A00B7E" w:rsidRDefault="00EB55FB" w:rsidP="004136E4">
      <w:pPr>
        <w:pStyle w:val="CBDDesicionAnnex"/>
        <w:ind w:left="1134"/>
        <w:rPr>
          <w:rFonts w:hint="eastAsia"/>
        </w:rPr>
      </w:pPr>
      <w:r w:rsidRPr="00BC7D0F">
        <w:rPr>
          <w:rFonts w:hint="eastAsia"/>
        </w:rPr>
        <w:t>Annex</w:t>
      </w:r>
      <w:r w:rsidR="006F2983">
        <w:br/>
      </w:r>
      <w:r w:rsidRPr="00BC7D0F">
        <w:rPr>
          <w:rFonts w:hint="eastAsia"/>
        </w:rPr>
        <w:t>Terms of reference for the Ad Hoc Technical Expert Group on Risk Assessment</w:t>
      </w:r>
    </w:p>
    <w:p w14:paraId="5BA62F01" w14:textId="77777777" w:rsidR="00EB55FB" w:rsidRPr="00EB55FB" w:rsidRDefault="00EB55FB" w:rsidP="00BC7D0F">
      <w:pPr>
        <w:numPr>
          <w:ilvl w:val="0"/>
          <w:numId w:val="15"/>
        </w:numPr>
        <w:tabs>
          <w:tab w:val="clear" w:pos="567"/>
          <w:tab w:val="left" w:pos="2835"/>
          <w:tab w:val="left" w:pos="3402"/>
          <w:tab w:val="left" w:pos="3969"/>
        </w:tabs>
        <w:spacing w:before="120" w:after="120"/>
        <w:ind w:left="1134"/>
      </w:pPr>
      <w:r w:rsidRPr="00EB55FB">
        <w:t>The Ad Hoc Technical Expert Group on Risk Assessment shall:</w:t>
      </w:r>
    </w:p>
    <w:p w14:paraId="11662065" w14:textId="558016E0" w:rsidR="00EB55FB" w:rsidRPr="00EB55FB" w:rsidRDefault="00EB55FB" w:rsidP="00BC7D0F">
      <w:pPr>
        <w:numPr>
          <w:ilvl w:val="1"/>
          <w:numId w:val="15"/>
        </w:numPr>
        <w:tabs>
          <w:tab w:val="clear" w:pos="567"/>
          <w:tab w:val="left" w:pos="2835"/>
          <w:tab w:val="left" w:pos="3402"/>
          <w:tab w:val="left" w:pos="3969"/>
        </w:tabs>
        <w:spacing w:before="120" w:after="120"/>
        <w:ind w:left="1134"/>
      </w:pPr>
      <w:r w:rsidRPr="00EB55FB">
        <w:t>Be composed of experts, selected in accordance with section H of the consolidated modus operandi of the Subsidiary Body on Scientific, Technical and Technological Advice,</w:t>
      </w:r>
      <w:r w:rsidRPr="00A8095C">
        <w:rPr>
          <w:vertAlign w:val="superscript"/>
        </w:rPr>
        <w:footnoteReference w:id="10"/>
      </w:r>
      <w:r w:rsidRPr="00EB55FB">
        <w:t xml:space="preserve"> with specific scientific and technical expertise relevant to the present mandate, and include experts from academia, relevant international organizations and indigenous peoples and local communities, women and youth</w:t>
      </w:r>
      <w:r w:rsidR="00322476">
        <w:t>,</w:t>
      </w:r>
      <w:r w:rsidRPr="00EB55FB">
        <w:t xml:space="preserve"> in line with decision </w:t>
      </w:r>
      <w:hyperlink r:id="rId20" w:history="1">
        <w:r w:rsidRPr="004136E4">
          <w:rPr>
            <w:rStyle w:val="Hyperlink"/>
          </w:rPr>
          <w:t>14/33</w:t>
        </w:r>
      </w:hyperlink>
      <w:r w:rsidRPr="00EB55FB">
        <w:t xml:space="preserve"> of 29</w:t>
      </w:r>
      <w:r w:rsidR="00332263">
        <w:t> </w:t>
      </w:r>
      <w:r w:rsidRPr="00EB55FB">
        <w:t xml:space="preserve">November 2018 on the procedure for avoiding or managing conflicts of interest in expert groups, as amended in decision </w:t>
      </w:r>
      <w:hyperlink r:id="rId21" w:history="1">
        <w:r w:rsidRPr="004136E4">
          <w:rPr>
            <w:rStyle w:val="Hyperlink"/>
          </w:rPr>
          <w:t>CP-11/6</w:t>
        </w:r>
      </w:hyperlink>
      <w:r w:rsidRPr="00EB55FB">
        <w:t xml:space="preserve"> of 1 November 2024;</w:t>
      </w:r>
    </w:p>
    <w:p w14:paraId="15F56CCE" w14:textId="77777777" w:rsidR="00EB55FB" w:rsidRPr="00EB55FB" w:rsidRDefault="00EB55FB" w:rsidP="00BC7D0F">
      <w:pPr>
        <w:numPr>
          <w:ilvl w:val="1"/>
          <w:numId w:val="15"/>
        </w:numPr>
        <w:tabs>
          <w:tab w:val="clear" w:pos="567"/>
          <w:tab w:val="left" w:pos="2835"/>
          <w:tab w:val="left" w:pos="3402"/>
          <w:tab w:val="left" w:pos="3969"/>
        </w:tabs>
        <w:spacing w:before="120" w:after="120"/>
        <w:ind w:left="1134"/>
      </w:pPr>
      <w:r w:rsidRPr="00EB55FB">
        <w:t>Subject to the availability of funds, hold at least two meetings, one of which will be in person, before the thirteenth meeting of the Conference of the Parties serving as the meeting of the Parties to the Cartagena Protocol on Biosafety</w:t>
      </w:r>
      <w:r w:rsidRPr="00A8095C">
        <w:rPr>
          <w:vertAlign w:val="superscript"/>
        </w:rPr>
        <w:footnoteReference w:id="11"/>
      </w:r>
      <w:r w:rsidRPr="00EB55FB">
        <w:t xml:space="preserve"> and perform any necessary tasks between its two meetings by online means of communication and engagement;</w:t>
      </w:r>
    </w:p>
    <w:p w14:paraId="035BD176" w14:textId="2DFA641F" w:rsidR="00EB55FB" w:rsidRPr="00EB55FB" w:rsidRDefault="00EB55FB" w:rsidP="00BC7D0F">
      <w:pPr>
        <w:numPr>
          <w:ilvl w:val="1"/>
          <w:numId w:val="15"/>
        </w:numPr>
        <w:tabs>
          <w:tab w:val="clear" w:pos="567"/>
          <w:tab w:val="left" w:pos="2835"/>
          <w:tab w:val="left" w:pos="3402"/>
          <w:tab w:val="left" w:pos="3969"/>
        </w:tabs>
        <w:spacing w:before="120" w:after="120"/>
        <w:ind w:left="1134"/>
      </w:pPr>
      <w:r w:rsidRPr="00EB55FB">
        <w:t xml:space="preserve">Develop draft additional voluntary guidance materials for living modified microorganisms and living modified fish, in accordance with </w:t>
      </w:r>
      <w:r w:rsidR="004B1ED4" w:rsidRPr="003179C8">
        <w:t>a</w:t>
      </w:r>
      <w:r w:rsidRPr="003179C8">
        <w:t>nnex III</w:t>
      </w:r>
      <w:r w:rsidRPr="00EB55FB">
        <w:t xml:space="preserve"> to the Cartagena Protocol, taking into account approaches to risk assessment set out in the additional voluntary guidance materials to support case-by-case risk assessment</w:t>
      </w:r>
      <w:r w:rsidR="00D51D4C">
        <w:t>s</w:t>
      </w:r>
      <w:r w:rsidRPr="00EB55FB">
        <w:t xml:space="preserve"> of living modified organisms containing engineered gene drives</w:t>
      </w:r>
      <w:r w:rsidRPr="00EB55FB">
        <w:rPr>
          <w:vertAlign w:val="superscript"/>
        </w:rPr>
        <w:footnoteReference w:id="12"/>
      </w:r>
      <w:r w:rsidRPr="00EB55FB">
        <w:t xml:space="preserve"> and avoiding duplication with existing guidance materials</w:t>
      </w:r>
      <w:r w:rsidR="004430FB">
        <w:t>,</w:t>
      </w:r>
      <w:r w:rsidRPr="00EB55FB">
        <w:t xml:space="preserve"> for consideration by the Subsidiary Body at a meeting held before the thirteenth meeting of the Conference of the Parties serving as the meeting of the Parties to the Protocol;</w:t>
      </w:r>
    </w:p>
    <w:p w14:paraId="747F5F4D" w14:textId="090F9AE6" w:rsidR="00EB55FB" w:rsidRPr="00EB55FB" w:rsidRDefault="00977FF4" w:rsidP="00FD6203">
      <w:pPr>
        <w:numPr>
          <w:ilvl w:val="1"/>
          <w:numId w:val="15"/>
        </w:numPr>
        <w:tabs>
          <w:tab w:val="clear" w:pos="567"/>
          <w:tab w:val="left" w:pos="2835"/>
          <w:tab w:val="left" w:pos="3402"/>
          <w:tab w:val="left" w:pos="3969"/>
        </w:tabs>
        <w:spacing w:before="120" w:after="120"/>
        <w:ind w:left="1134"/>
      </w:pPr>
      <w:r>
        <w:t>[</w:t>
      </w:r>
      <w:r w:rsidR="00EB55FB" w:rsidRPr="00EB55FB">
        <w:t>Develop draft technical notes</w:t>
      </w:r>
      <w:r w:rsidR="00EB55FB" w:rsidRPr="00A8095C">
        <w:rPr>
          <w:vertAlign w:val="superscript"/>
        </w:rPr>
        <w:footnoteReference w:id="13"/>
      </w:r>
      <w:r w:rsidR="00EB55FB" w:rsidRPr="00EB55FB">
        <w:t xml:space="preserve"> for voluntary use for the</w:t>
      </w:r>
      <w:r w:rsidR="00DE66FD">
        <w:t xml:space="preserve"> topic</w:t>
      </w:r>
      <w:r w:rsidR="00746139">
        <w:t>s</w:t>
      </w:r>
      <w:r w:rsidR="00DE66FD">
        <w:t xml:space="preserve"> of</w:t>
      </w:r>
      <w:r w:rsidR="00EB55FB" w:rsidRPr="00EB55FB">
        <w:t xml:space="preserve"> operationalizing protection goals into relevant assessment and measurement end points </w:t>
      </w:r>
      <w:r w:rsidR="007B0654">
        <w:t xml:space="preserve">and </w:t>
      </w:r>
      <w:r w:rsidR="00EB55FB" w:rsidRPr="00EB55FB">
        <w:t>the use of living modified organisms in centres of origin and in traditional agricultural systems</w:t>
      </w:r>
      <w:r w:rsidR="00EF1192">
        <w:t>]</w:t>
      </w:r>
      <w:r w:rsidR="00A8095C">
        <w:t>,</w:t>
      </w:r>
      <w:r w:rsidR="00EB55FB" w:rsidRPr="00EB55FB">
        <w:rPr>
          <w:vertAlign w:val="superscript"/>
        </w:rPr>
        <w:footnoteReference w:id="14"/>
      </w:r>
      <w:r w:rsidR="007B0654">
        <w:t xml:space="preserve">[Develop concise supplementary guidance for voluntary use </w:t>
      </w:r>
      <w:r w:rsidR="007B0654" w:rsidRPr="00D42E9A">
        <w:t>that</w:t>
      </w:r>
      <w:r w:rsidR="007B0654">
        <w:t xml:space="preserve"> provides specific, clear and focused information</w:t>
      </w:r>
      <w:r w:rsidR="00FD6203">
        <w:t xml:space="preserve"> </w:t>
      </w:r>
      <w:r w:rsidR="00FD6203" w:rsidRPr="00FD6203">
        <w:t>on [living modified algae,] [living modified fish,] [living modified microorganisms,] [living modified organisms expressing genome editing machinery for pest or pathogen control,] [long-term and cumulative effects of genetic constructs and living modified organisms,] [operationalizing protection goals into relevant assessment and measurement end points,] [the use of living modified organisms in centres of origin and in traditional agricultural systems]</w:t>
      </w:r>
      <w:r w:rsidR="007B0654">
        <w:t>]</w:t>
      </w:r>
      <w:r w:rsidR="00EB55FB" w:rsidRPr="00EB55FB">
        <w:t xml:space="preserve"> in accordance with </w:t>
      </w:r>
      <w:r w:rsidR="00816042" w:rsidRPr="00F14007">
        <w:t>a</w:t>
      </w:r>
      <w:r w:rsidR="00EB55FB" w:rsidRPr="00F14007">
        <w:t>nnex III</w:t>
      </w:r>
      <w:r w:rsidR="00EB55FB" w:rsidRPr="00EB55FB">
        <w:t xml:space="preserve"> to the </w:t>
      </w:r>
      <w:r w:rsidR="00F14007">
        <w:t xml:space="preserve">Cartagena </w:t>
      </w:r>
      <w:r w:rsidR="00EB55FB" w:rsidRPr="00EB55FB">
        <w:t>Protocol and avoiding duplication with existing guidance materials, for consideration by the Subsidiary Body at a meeting held before the thirteenth meeting of the Conference of the Parties serving as the meeting of the Parties to the Protocol.</w:t>
      </w:r>
      <w:r w:rsidR="007942FF">
        <w:t xml:space="preserve"> [The guidance may include procedural or practical elements or points to consider during risk assessment.]</w:t>
      </w:r>
    </w:p>
    <w:p w14:paraId="5577F918" w14:textId="3E4CA50E" w:rsidR="00EB55FB" w:rsidRPr="00EB55FB" w:rsidRDefault="00EB55FB" w:rsidP="00BC7D0F">
      <w:pPr>
        <w:numPr>
          <w:ilvl w:val="0"/>
          <w:numId w:val="15"/>
        </w:numPr>
        <w:tabs>
          <w:tab w:val="clear" w:pos="567"/>
          <w:tab w:val="left" w:pos="2835"/>
          <w:tab w:val="left" w:pos="3402"/>
          <w:tab w:val="left" w:pos="3969"/>
        </w:tabs>
        <w:spacing w:before="120" w:after="120"/>
        <w:ind w:left="1134"/>
      </w:pPr>
      <w:r w:rsidRPr="00EB55FB">
        <w:t xml:space="preserve">In </w:t>
      </w:r>
      <w:r w:rsidR="00624CAC" w:rsidRPr="00EB55FB">
        <w:t xml:space="preserve">conducting </w:t>
      </w:r>
      <w:r w:rsidRPr="00EB55FB">
        <w:t>its work, the Expert Group shall consider the information submitted pursuant to paragraph 5 of the present decision, the discussions held in the Open-ended Online Forum on Risk Assessment and Risk Management, the synthesis of information prepared by the Secretariat pursuant to paragraph 12</w:t>
      </w:r>
      <w:r w:rsidR="0099661A">
        <w:t> </w:t>
      </w:r>
      <w:r w:rsidRPr="00EB55FB">
        <w:t xml:space="preserve">(c) of the present decision, the synthesis of submissions of information on risk assessment and the discussions </w:t>
      </w:r>
      <w:r w:rsidR="001A173C">
        <w:t>held in</w:t>
      </w:r>
      <w:r w:rsidRPr="00EB55FB">
        <w:t xml:space="preserve"> the Online </w:t>
      </w:r>
      <w:r w:rsidR="005E25E1">
        <w:t xml:space="preserve">Forum </w:t>
      </w:r>
      <w:r w:rsidRPr="00A8095C">
        <w:rPr>
          <w:vertAlign w:val="superscript"/>
        </w:rPr>
        <w:footnoteReference w:id="15"/>
      </w:r>
      <w:r w:rsidRPr="00EB55FB">
        <w:t xml:space="preserve"> and the list of bibliographic</w:t>
      </w:r>
      <w:r w:rsidR="00E216C9">
        <w:t>al</w:t>
      </w:r>
      <w:r w:rsidRPr="00EB55FB">
        <w:t xml:space="preserve"> references provided in the submissions from Parties and during the discussions </w:t>
      </w:r>
      <w:r w:rsidR="001A173C">
        <w:t>held in</w:t>
      </w:r>
      <w:r w:rsidRPr="00EB55FB">
        <w:t xml:space="preserve"> the Online Forum.</w:t>
      </w:r>
      <w:r w:rsidRPr="00A8095C">
        <w:rPr>
          <w:vertAlign w:val="superscript"/>
        </w:rPr>
        <w:footnoteReference w:id="16"/>
      </w:r>
      <w:r w:rsidRPr="00EB55FB">
        <w:t xml:space="preserve"> </w:t>
      </w:r>
    </w:p>
    <w:p w14:paraId="769BEBC0" w14:textId="2DFEEBA0" w:rsidR="00EB55FB" w:rsidRDefault="00EB55FB" w:rsidP="00BC7D0F">
      <w:pPr>
        <w:numPr>
          <w:ilvl w:val="0"/>
          <w:numId w:val="15"/>
        </w:numPr>
        <w:tabs>
          <w:tab w:val="clear" w:pos="567"/>
          <w:tab w:val="left" w:pos="2835"/>
          <w:tab w:val="left" w:pos="3402"/>
          <w:tab w:val="left" w:pos="3969"/>
        </w:tabs>
        <w:spacing w:before="120" w:after="120"/>
        <w:ind w:left="1134"/>
      </w:pPr>
      <w:r w:rsidRPr="00EB55FB">
        <w:t>In conducting its work, the Expert Group shall also consider information produced by other international, regional and national bodies, to avoid the duplication of existing materials.</w:t>
      </w:r>
    </w:p>
    <w:p w14:paraId="3E282B4B" w14:textId="72495048" w:rsidR="00352721" w:rsidRDefault="00352721" w:rsidP="00352721">
      <w:pPr>
        <w:tabs>
          <w:tab w:val="clear" w:pos="567"/>
          <w:tab w:val="left" w:pos="2835"/>
          <w:tab w:val="left" w:pos="3402"/>
          <w:tab w:val="left" w:pos="3969"/>
        </w:tabs>
        <w:spacing w:before="120" w:after="120"/>
        <w:ind w:left="1134"/>
      </w:pPr>
      <w:r w:rsidRPr="00BC7D0F">
        <w:t>]</w:t>
      </w:r>
    </w:p>
    <w:p w14:paraId="44050B3A" w14:textId="7C096EB4" w:rsidR="001065E9" w:rsidRPr="00BC7D0F" w:rsidRDefault="00EB55FB" w:rsidP="001D654A">
      <w:pPr>
        <w:jc w:val="center"/>
        <w:rPr>
          <w:lang w:val="en-CA"/>
        </w:rPr>
      </w:pPr>
      <w:r w:rsidRPr="00EB55FB">
        <w:rPr>
          <w:lang w:val="en-CA"/>
        </w:rPr>
        <w:t>__________</w:t>
      </w:r>
    </w:p>
    <w:sectPr w:rsidR="001065E9" w:rsidRPr="00BC7D0F" w:rsidSect="00BC7D0F">
      <w:headerReference w:type="even" r:id="rId22"/>
      <w:headerReference w:type="default" r:id="rId23"/>
      <w:footerReference w:type="even" r:id="rId24"/>
      <w:footerReference w:type="default" r:id="rId25"/>
      <w:footnotePr>
        <w:numRestart w:val="eachSect"/>
      </w:footnotePr>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5B76C" w14:textId="77777777" w:rsidR="00405237" w:rsidRDefault="00405237" w:rsidP="00840E56">
      <w:r>
        <w:separator/>
      </w:r>
    </w:p>
  </w:endnote>
  <w:endnote w:type="continuationSeparator" w:id="0">
    <w:p w14:paraId="5AEF6A9E" w14:textId="77777777" w:rsidR="00405237" w:rsidRDefault="00405237" w:rsidP="00840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5708784"/>
      <w:docPartObj>
        <w:docPartGallery w:val="Page Numbers (Top of Page)"/>
        <w:docPartUnique/>
      </w:docPartObj>
    </w:sdtPr>
    <w:sdtEndPr/>
    <w:sdtContent>
      <w:p w14:paraId="73BA6EA0" w14:textId="1A4C2C88" w:rsidR="00D4364D" w:rsidRDefault="004D2538">
        <w:pPr>
          <w:pStyle w:val="Footer"/>
        </w:pPr>
        <w:r w:rsidRPr="002A5512">
          <w:rPr>
            <w:szCs w:val="20"/>
          </w:rPr>
          <w:fldChar w:fldCharType="begin"/>
        </w:r>
        <w:r w:rsidRPr="002A5512">
          <w:rPr>
            <w:szCs w:val="20"/>
          </w:rPr>
          <w:instrText xml:space="preserve"> PAGE </w:instrText>
        </w:r>
        <w:r w:rsidRPr="002A5512">
          <w:rPr>
            <w:szCs w:val="20"/>
          </w:rPr>
          <w:fldChar w:fldCharType="separate"/>
        </w:r>
        <w:r>
          <w:rPr>
            <w:szCs w:val="20"/>
          </w:rPr>
          <w:t>2</w:t>
        </w:r>
        <w:r w:rsidRPr="002A5512">
          <w:rPr>
            <w:szCs w:val="20"/>
          </w:rPr>
          <w:fldChar w:fldCharType="end"/>
        </w:r>
        <w:r w:rsidRPr="002A5512">
          <w:rPr>
            <w:szCs w:val="20"/>
          </w:rPr>
          <w:t>/</w:t>
        </w:r>
        <w:r w:rsidRPr="002A5512">
          <w:rPr>
            <w:szCs w:val="20"/>
          </w:rPr>
          <w:fldChar w:fldCharType="begin"/>
        </w:r>
        <w:r w:rsidRPr="002A5512">
          <w:rPr>
            <w:szCs w:val="20"/>
          </w:rPr>
          <w:instrText xml:space="preserve"> NUMPAGES  </w:instrText>
        </w:r>
        <w:r w:rsidRPr="002A5512">
          <w:rPr>
            <w:szCs w:val="20"/>
          </w:rPr>
          <w:fldChar w:fldCharType="separate"/>
        </w:r>
        <w:r>
          <w:rPr>
            <w:szCs w:val="20"/>
          </w:rPr>
          <w:t>10</w:t>
        </w:r>
        <w:r w:rsidRPr="002A5512">
          <w:rPr>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556901"/>
      <w:docPartObj>
        <w:docPartGallery w:val="Page Numbers (Top of Page)"/>
        <w:docPartUnique/>
      </w:docPartObj>
    </w:sdtPr>
    <w:sdtEndPr/>
    <w:sdtContent>
      <w:p w14:paraId="06BEFDC1" w14:textId="20072357" w:rsidR="00D4364D" w:rsidRDefault="004D2538" w:rsidP="00B1090B">
        <w:pPr>
          <w:pStyle w:val="Footer"/>
          <w:jc w:val="right"/>
        </w:pPr>
        <w:r w:rsidRPr="002A5512">
          <w:rPr>
            <w:szCs w:val="20"/>
          </w:rPr>
          <w:fldChar w:fldCharType="begin"/>
        </w:r>
        <w:r w:rsidRPr="002A5512">
          <w:rPr>
            <w:szCs w:val="20"/>
          </w:rPr>
          <w:instrText xml:space="preserve"> PAGE </w:instrText>
        </w:r>
        <w:r w:rsidRPr="002A5512">
          <w:rPr>
            <w:szCs w:val="20"/>
          </w:rPr>
          <w:fldChar w:fldCharType="separate"/>
        </w:r>
        <w:r>
          <w:rPr>
            <w:szCs w:val="20"/>
          </w:rPr>
          <w:t>2</w:t>
        </w:r>
        <w:r w:rsidRPr="002A5512">
          <w:rPr>
            <w:szCs w:val="20"/>
          </w:rPr>
          <w:fldChar w:fldCharType="end"/>
        </w:r>
        <w:r w:rsidRPr="002A5512">
          <w:rPr>
            <w:szCs w:val="20"/>
          </w:rPr>
          <w:t>/</w:t>
        </w:r>
        <w:r w:rsidRPr="002A5512">
          <w:rPr>
            <w:szCs w:val="20"/>
          </w:rPr>
          <w:fldChar w:fldCharType="begin"/>
        </w:r>
        <w:r w:rsidRPr="002A5512">
          <w:rPr>
            <w:szCs w:val="20"/>
          </w:rPr>
          <w:instrText xml:space="preserve"> NUMPAGES  </w:instrText>
        </w:r>
        <w:r w:rsidRPr="002A5512">
          <w:rPr>
            <w:szCs w:val="20"/>
          </w:rPr>
          <w:fldChar w:fldCharType="separate"/>
        </w:r>
        <w:r>
          <w:rPr>
            <w:szCs w:val="20"/>
          </w:rPr>
          <w:t>10</w:t>
        </w:r>
        <w:r w:rsidRPr="002A5512">
          <w:rPr>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574AF" w14:textId="77777777" w:rsidR="00405237" w:rsidRDefault="00405237" w:rsidP="00840E56">
      <w:r>
        <w:separator/>
      </w:r>
    </w:p>
  </w:footnote>
  <w:footnote w:type="continuationSeparator" w:id="0">
    <w:p w14:paraId="5184CC43" w14:textId="77777777" w:rsidR="00405237" w:rsidRDefault="00405237" w:rsidP="00840E56">
      <w:r>
        <w:continuationSeparator/>
      </w:r>
    </w:p>
  </w:footnote>
  <w:footnote w:id="1">
    <w:p w14:paraId="14BC4747" w14:textId="46DCD9E3" w:rsidR="00F13E8F" w:rsidRPr="00F13E8F" w:rsidRDefault="00F13E8F">
      <w:pPr>
        <w:pStyle w:val="FootnoteText"/>
      </w:pPr>
      <w:r>
        <w:rPr>
          <w:rStyle w:val="FootnoteReference"/>
        </w:rPr>
        <w:footnoteRef/>
      </w:r>
      <w:r>
        <w:t xml:space="preserve"> </w:t>
      </w:r>
      <w:r w:rsidRPr="00F13E8F">
        <w:t xml:space="preserve">United Nations, </w:t>
      </w:r>
      <w:r w:rsidRPr="00BC7D0F">
        <w:rPr>
          <w:i/>
          <w:iCs/>
        </w:rPr>
        <w:t>Treaty Series</w:t>
      </w:r>
      <w:r w:rsidRPr="00F13E8F">
        <w:t>, vol. 2226, No. 30619.</w:t>
      </w:r>
    </w:p>
  </w:footnote>
  <w:footnote w:id="2">
    <w:p w14:paraId="3E4A192E" w14:textId="1257785C" w:rsidR="00EB55FB" w:rsidRDefault="00EB55FB" w:rsidP="00EB55FB">
      <w:pPr>
        <w:pStyle w:val="FootnoteText"/>
      </w:pPr>
      <w:r>
        <w:rPr>
          <w:rStyle w:val="FootnoteReference"/>
        </w:rPr>
        <w:footnoteRef/>
      </w:r>
      <w:r>
        <w:t xml:space="preserve"> See </w:t>
      </w:r>
      <w:hyperlink r:id="rId1" w:history="1">
        <w:r w:rsidRPr="00B66BDF">
          <w:rPr>
            <w:rStyle w:val="Hyperlink"/>
          </w:rPr>
          <w:t>CBD/CP/RA/AHTEG/2025/1/3</w:t>
        </w:r>
      </w:hyperlink>
      <w:r>
        <w:t>.</w:t>
      </w:r>
    </w:p>
  </w:footnote>
  <w:footnote w:id="3">
    <w:p w14:paraId="3BB4C47D" w14:textId="66D15569" w:rsidR="00EB55FB" w:rsidRDefault="00EB55FB" w:rsidP="00EB55FB">
      <w:pPr>
        <w:pStyle w:val="FootnoteText"/>
      </w:pPr>
      <w:r>
        <w:rPr>
          <w:rStyle w:val="FootnoteReference"/>
        </w:rPr>
        <w:footnoteRef/>
      </w:r>
      <w:r>
        <w:rPr>
          <w:lang w:val="en-US"/>
        </w:rPr>
        <w:t xml:space="preserve"> </w:t>
      </w:r>
      <w:r w:rsidR="00F67968">
        <w:rPr>
          <w:lang w:val="en-US"/>
        </w:rPr>
        <w:t xml:space="preserve">See </w:t>
      </w:r>
      <w:hyperlink r:id="rId2" w:history="1">
        <w:r w:rsidRPr="00B66BDF">
          <w:rPr>
            <w:rStyle w:val="Hyperlink"/>
            <w:lang w:val="en-US"/>
          </w:rPr>
          <w:t>CBD/SBSTTA/27/6</w:t>
        </w:r>
      </w:hyperlink>
      <w:r>
        <w:t>, annex.</w:t>
      </w:r>
    </w:p>
  </w:footnote>
  <w:footnote w:id="4">
    <w:p w14:paraId="136CF64A" w14:textId="77777777" w:rsidR="00423A19" w:rsidRPr="00F13E8F" w:rsidRDefault="00423A19" w:rsidP="00423A19">
      <w:pPr>
        <w:pStyle w:val="FootnoteText"/>
      </w:pPr>
      <w:r>
        <w:rPr>
          <w:rStyle w:val="FootnoteReference"/>
        </w:rPr>
        <w:footnoteRef/>
      </w:r>
      <w:r>
        <w:t xml:space="preserve"> </w:t>
      </w:r>
      <w:r w:rsidRPr="00F13E8F">
        <w:t xml:space="preserve">United Nations, </w:t>
      </w:r>
      <w:r w:rsidRPr="003A0875">
        <w:rPr>
          <w:i/>
          <w:iCs/>
        </w:rPr>
        <w:t>Treaty Series</w:t>
      </w:r>
      <w:r w:rsidRPr="00F13E8F">
        <w:t>, vol. 2226, No. 30619.</w:t>
      </w:r>
    </w:p>
  </w:footnote>
  <w:footnote w:id="5">
    <w:p w14:paraId="28478C9A" w14:textId="5AE4A97C" w:rsidR="00EB55FB" w:rsidRDefault="00EB55FB" w:rsidP="00EB55FB">
      <w:pPr>
        <w:pStyle w:val="FootnoteText"/>
        <w:rPr>
          <w:lang w:val="en-CA"/>
        </w:rPr>
      </w:pPr>
      <w:r>
        <w:rPr>
          <w:rStyle w:val="FootnoteReference"/>
        </w:rPr>
        <w:footnoteRef/>
      </w:r>
      <w:r>
        <w:t xml:space="preserve"> </w:t>
      </w:r>
      <w:r w:rsidR="00E00DD8">
        <w:t>[L</w:t>
      </w:r>
      <w:r w:rsidR="00E00DD8" w:rsidRPr="00E00DD8">
        <w:t>iving modified algae,] [living modified fish,] [living modified microorganisms,] [living modified organisms expressing genome editing machinery for pest or pathogen control,] [long-term and cumulative effects of genetic constructs and living modified organisms,] [operationalizing protection goals into relevant assessment and measurement end points,]</w:t>
      </w:r>
      <w:r w:rsidR="00E6345F">
        <w:t xml:space="preserve"> </w:t>
      </w:r>
      <w:r w:rsidR="00E00DD8" w:rsidRPr="00E00DD8">
        <w:t>[the use of living modified organisms in centres of origin and in traditional agricultural systems]</w:t>
      </w:r>
      <w:r w:rsidR="00E6345F">
        <w:t>.</w:t>
      </w:r>
    </w:p>
  </w:footnote>
  <w:footnote w:id="6">
    <w:p w14:paraId="4422F246" w14:textId="77777777" w:rsidR="00A04F66" w:rsidRDefault="00A04F66" w:rsidP="00A04F66">
      <w:pPr>
        <w:pStyle w:val="FootnoteText"/>
      </w:pPr>
      <w:r>
        <w:rPr>
          <w:rStyle w:val="FootnoteReference"/>
        </w:rPr>
        <w:footnoteRef/>
      </w:r>
      <w:r>
        <w:t xml:space="preserve"> See </w:t>
      </w:r>
      <w:hyperlink r:id="rId3" w:history="1">
        <w:r w:rsidRPr="00F061C2">
          <w:rPr>
            <w:rStyle w:val="Hyperlink"/>
          </w:rPr>
          <w:t>CBD/CP/RA/AHTEG/2025/1/3</w:t>
        </w:r>
      </w:hyperlink>
      <w:r>
        <w:t>.</w:t>
      </w:r>
    </w:p>
  </w:footnote>
  <w:footnote w:id="7">
    <w:p w14:paraId="6D695474" w14:textId="77777777" w:rsidR="00CC638A" w:rsidRDefault="00CC638A" w:rsidP="00CC638A">
      <w:pPr>
        <w:pStyle w:val="FootnoteText"/>
        <w:rPr>
          <w:lang w:val="en-US"/>
        </w:rPr>
      </w:pPr>
      <w:r>
        <w:rPr>
          <w:rStyle w:val="FootnoteReference"/>
        </w:rPr>
        <w:footnoteRef/>
      </w:r>
      <w:r>
        <w:t xml:space="preserve"> </w:t>
      </w:r>
      <w:r>
        <w:rPr>
          <w:lang w:val="en-US"/>
        </w:rPr>
        <w:t xml:space="preserve">See </w:t>
      </w:r>
      <w:hyperlink r:id="rId4" w:tgtFrame="_blank" w:tooltip="https://www.cbd.int/tsc/tscm/subregionalcentres" w:history="1">
        <w:r>
          <w:rPr>
            <w:rStyle w:val="Hyperlink"/>
          </w:rPr>
          <w:t>www.cbd.int/tsc/tscm/subregionalcentres</w:t>
        </w:r>
      </w:hyperlink>
      <w:r>
        <w:rPr>
          <w:lang w:val="en-US"/>
        </w:rPr>
        <w:t>.</w:t>
      </w:r>
    </w:p>
  </w:footnote>
  <w:footnote w:id="8">
    <w:p w14:paraId="793F456D" w14:textId="54C575EC" w:rsidR="00EB55FB" w:rsidRDefault="00EB55FB" w:rsidP="00EB55FB">
      <w:pPr>
        <w:pStyle w:val="FootnoteText"/>
        <w:rPr>
          <w:lang w:val="en-CA"/>
        </w:rPr>
      </w:pPr>
      <w:r>
        <w:rPr>
          <w:rStyle w:val="FootnoteReference"/>
        </w:rPr>
        <w:footnoteRef/>
      </w:r>
      <w:r>
        <w:t xml:space="preserve"> </w:t>
      </w:r>
      <w:r w:rsidR="001718C4">
        <w:t xml:space="preserve">As provided in response to </w:t>
      </w:r>
      <w:r w:rsidR="001718C4">
        <w:rPr>
          <w:lang w:val="en-CA"/>
        </w:rPr>
        <w:t>q</w:t>
      </w:r>
      <w:r>
        <w:rPr>
          <w:lang w:val="en-CA"/>
        </w:rPr>
        <w:t>uestion 68</w:t>
      </w:r>
      <w:r w:rsidR="00C51807">
        <w:rPr>
          <w:lang w:val="en-CA"/>
        </w:rPr>
        <w:t xml:space="preserve"> of the </w:t>
      </w:r>
      <w:r w:rsidR="007B75D5">
        <w:rPr>
          <w:lang w:val="en-CA"/>
        </w:rPr>
        <w:t>f</w:t>
      </w:r>
      <w:r w:rsidR="00C51807">
        <w:rPr>
          <w:lang w:val="en-CA"/>
        </w:rPr>
        <w:t xml:space="preserve">ifth </w:t>
      </w:r>
      <w:r w:rsidR="007B75D5">
        <w:rPr>
          <w:lang w:val="en-CA"/>
        </w:rPr>
        <w:t>n</w:t>
      </w:r>
      <w:r w:rsidR="00C51807">
        <w:rPr>
          <w:lang w:val="en-CA"/>
        </w:rPr>
        <w:t xml:space="preserve">ational </w:t>
      </w:r>
      <w:r w:rsidR="007B75D5">
        <w:rPr>
          <w:lang w:val="en-CA"/>
        </w:rPr>
        <w:t>r</w:t>
      </w:r>
      <w:r w:rsidR="00C51807">
        <w:rPr>
          <w:lang w:val="en-CA"/>
        </w:rPr>
        <w:t xml:space="preserve">eport </w:t>
      </w:r>
      <w:r w:rsidR="00F84E8D">
        <w:rPr>
          <w:lang w:val="en-CA"/>
        </w:rPr>
        <w:t xml:space="preserve">under </w:t>
      </w:r>
      <w:r w:rsidR="00C51807">
        <w:rPr>
          <w:lang w:val="en-CA"/>
        </w:rPr>
        <w:t>the Cartagena Protocol</w:t>
      </w:r>
      <w:r w:rsidR="00E176DE">
        <w:rPr>
          <w:lang w:val="en-CA"/>
        </w:rPr>
        <w:t>.</w:t>
      </w:r>
    </w:p>
  </w:footnote>
  <w:footnote w:id="9">
    <w:p w14:paraId="0B575ABD" w14:textId="36CEF4A7" w:rsidR="00EB55FB" w:rsidRDefault="00EB55FB" w:rsidP="00EB55FB">
      <w:pPr>
        <w:pStyle w:val="FootnoteText"/>
        <w:rPr>
          <w:lang w:val="en-CA"/>
        </w:rPr>
      </w:pPr>
      <w:r>
        <w:rPr>
          <w:rStyle w:val="FootnoteReference"/>
        </w:rPr>
        <w:footnoteRef/>
      </w:r>
      <w:r>
        <w:t xml:space="preserve"> </w:t>
      </w:r>
      <w:r>
        <w:rPr>
          <w:lang w:val="en-CA"/>
        </w:rPr>
        <w:t xml:space="preserve">See </w:t>
      </w:r>
      <w:hyperlink r:id="rId5" w:history="1">
        <w:r w:rsidRPr="006D7B26">
          <w:rPr>
            <w:rStyle w:val="Hyperlink"/>
            <w:lang w:val="en-CA"/>
          </w:rPr>
          <w:t>CBD/CP/MOP/11/9</w:t>
        </w:r>
      </w:hyperlink>
      <w:r>
        <w:rPr>
          <w:lang w:val="en-CA"/>
        </w:rPr>
        <w:t>.</w:t>
      </w:r>
    </w:p>
  </w:footnote>
  <w:footnote w:id="10">
    <w:p w14:paraId="3140CD1E" w14:textId="77777777" w:rsidR="00EB55FB" w:rsidRDefault="00EB55FB" w:rsidP="00EB55FB">
      <w:pPr>
        <w:pStyle w:val="FootnoteText"/>
      </w:pPr>
      <w:r>
        <w:rPr>
          <w:rStyle w:val="FootnoteReference"/>
        </w:rPr>
        <w:footnoteRef/>
      </w:r>
      <w:r>
        <w:t xml:space="preserve"> Decision </w:t>
      </w:r>
      <w:hyperlink r:id="rId6" w:history="1">
        <w:r>
          <w:rPr>
            <w:rStyle w:val="Hyperlink"/>
          </w:rPr>
          <w:t>VIII/10</w:t>
        </w:r>
      </w:hyperlink>
      <w:r>
        <w:t>, annex III.</w:t>
      </w:r>
    </w:p>
  </w:footnote>
  <w:footnote w:id="11">
    <w:p w14:paraId="1E09C42E" w14:textId="77777777" w:rsidR="00EB55FB" w:rsidRDefault="00EB55FB" w:rsidP="00EB55FB">
      <w:pPr>
        <w:pStyle w:val="FootnoteText"/>
      </w:pPr>
      <w:r>
        <w:rPr>
          <w:rStyle w:val="FootnoteReference"/>
        </w:rPr>
        <w:footnoteRef/>
      </w:r>
      <w:r>
        <w:t xml:space="preserve"> United Nations, </w:t>
      </w:r>
      <w:r>
        <w:rPr>
          <w:i/>
          <w:iCs/>
        </w:rPr>
        <w:t>Treaty Series</w:t>
      </w:r>
      <w:r>
        <w:t>, vol. 2226, No. 30619.</w:t>
      </w:r>
    </w:p>
  </w:footnote>
  <w:footnote w:id="12">
    <w:p w14:paraId="77B7C8BD" w14:textId="66C5EEB5" w:rsidR="00EB55FB" w:rsidRDefault="00EB55FB" w:rsidP="00EB55FB">
      <w:pPr>
        <w:pStyle w:val="FootnoteText"/>
      </w:pPr>
      <w:r>
        <w:rPr>
          <w:rStyle w:val="FootnoteReference"/>
        </w:rPr>
        <w:footnoteRef/>
      </w:r>
      <w:r>
        <w:t xml:space="preserve"> See </w:t>
      </w:r>
      <w:hyperlink r:id="rId7" w:history="1">
        <w:r w:rsidRPr="003C75CF">
          <w:rPr>
            <w:rStyle w:val="Hyperlink"/>
          </w:rPr>
          <w:t>CBD/CP/MOP/11/9</w:t>
        </w:r>
      </w:hyperlink>
      <w:r>
        <w:t>.</w:t>
      </w:r>
    </w:p>
  </w:footnote>
  <w:footnote w:id="13">
    <w:p w14:paraId="609CE50F" w14:textId="31E2A63B" w:rsidR="00EB55FB" w:rsidRDefault="00EB55FB" w:rsidP="00EB55FB">
      <w:pPr>
        <w:pStyle w:val="FootnoteText"/>
      </w:pPr>
      <w:r>
        <w:rPr>
          <w:rStyle w:val="FootnoteReference"/>
        </w:rPr>
        <w:footnoteRef/>
      </w:r>
      <w:r>
        <w:t xml:space="preserve"> A technical note may be a concise document that provides practical information on a specific topic or issue. It supplements existing guidance materials and may include procedural elements or points to consider when addressing a specific topic or context.</w:t>
      </w:r>
    </w:p>
  </w:footnote>
  <w:footnote w:id="14">
    <w:p w14:paraId="7E0C4796" w14:textId="511F1157" w:rsidR="00EB55FB" w:rsidRDefault="00EB55FB" w:rsidP="00EB55FB">
      <w:pPr>
        <w:pStyle w:val="FootnoteText"/>
        <w:rPr>
          <w:lang w:val="en-CA"/>
        </w:rPr>
      </w:pPr>
      <w:r>
        <w:rPr>
          <w:rStyle w:val="FootnoteReference"/>
        </w:rPr>
        <w:footnoteRef/>
      </w:r>
      <w:r>
        <w:t xml:space="preserve"> The technical note </w:t>
      </w:r>
      <w:r w:rsidR="007A797B">
        <w:t>on</w:t>
      </w:r>
      <w:r>
        <w:t xml:space="preserve"> the use of living modified organisms in centres of origin and in traditional agricultural systems should be consistent with the Akwé: Kon Voluntary Guidelines</w:t>
      </w:r>
      <w:r w:rsidR="002551D9" w:rsidRPr="002551D9">
        <w:t xml:space="preserve"> for the Conduct of Cultural, Environmental and Social Impact Assessments regarding Developments Proposed to Take Place on, or which are Likely to Impact On, Sacred Sites and On Lands and Waters Traditionally Occupied or Used by Indigenous and Local Communities</w:t>
      </w:r>
      <w:r>
        <w:t>.</w:t>
      </w:r>
    </w:p>
  </w:footnote>
  <w:footnote w:id="15">
    <w:p w14:paraId="38234F36" w14:textId="77777777" w:rsidR="00EB55FB" w:rsidRDefault="00EB55FB" w:rsidP="00EB55FB">
      <w:pPr>
        <w:pStyle w:val="FootnoteText"/>
      </w:pPr>
      <w:r>
        <w:rPr>
          <w:rStyle w:val="FootnoteReference"/>
        </w:rPr>
        <w:footnoteRef/>
      </w:r>
      <w:r>
        <w:t xml:space="preserve"> </w:t>
      </w:r>
      <w:hyperlink r:id="rId8" w:history="1">
        <w:r>
          <w:rPr>
            <w:rStyle w:val="Hyperlink"/>
          </w:rPr>
          <w:t>CBD/CP/RA/AHTEG/2025/1/INF/1</w:t>
        </w:r>
      </w:hyperlink>
      <w:r>
        <w:t>.</w:t>
      </w:r>
    </w:p>
  </w:footnote>
  <w:footnote w:id="16">
    <w:p w14:paraId="3DA29F10" w14:textId="77777777" w:rsidR="00EB55FB" w:rsidRDefault="00EB55FB" w:rsidP="00EB55FB">
      <w:pPr>
        <w:pStyle w:val="FootnoteText"/>
      </w:pPr>
      <w:r>
        <w:rPr>
          <w:rStyle w:val="FootnoteReference"/>
        </w:rPr>
        <w:footnoteRef/>
      </w:r>
      <w:r>
        <w:t xml:space="preserve"> </w:t>
      </w:r>
      <w:hyperlink r:id="rId9" w:history="1">
        <w:r>
          <w:rPr>
            <w:rStyle w:val="Hyperlink"/>
          </w:rPr>
          <w:t>CBD/CP/RA/AHTEG/2025/1/INF/2</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C677D" w14:textId="428669E6" w:rsidR="00D4364D" w:rsidRPr="00B1090B" w:rsidRDefault="00D4364D" w:rsidP="00776D82">
    <w:pPr>
      <w:pStyle w:val="Header"/>
      <w:spacing w:after="240"/>
      <w:rPr>
        <w:lang w:val="en-US"/>
      </w:rPr>
    </w:pPr>
    <w:r>
      <w:rPr>
        <w:lang w:val="en-US"/>
      </w:rPr>
      <w:t>CBD/SBSTTA/</w:t>
    </w:r>
    <w:r w:rsidR="00590207">
      <w:rPr>
        <w:lang w:val="en-US"/>
      </w:rPr>
      <w:t>REC/</w:t>
    </w:r>
    <w:r>
      <w:rPr>
        <w:lang w:val="en-US"/>
      </w:rPr>
      <w:t>27</w:t>
    </w:r>
    <w:r w:rsidR="00BD1DFA">
      <w:rPr>
        <w:lang w:val="en-US"/>
      </w:rPr>
      <w:t>/</w:t>
    </w:r>
    <w:r w:rsidR="00590207">
      <w:rPr>
        <w:lang w:val="en-US"/>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D83F4" w14:textId="399961CA" w:rsidR="00D4364D" w:rsidRPr="00B1090B" w:rsidRDefault="00BD1DFA" w:rsidP="00776D82">
    <w:pPr>
      <w:pStyle w:val="Header"/>
      <w:spacing w:after="240"/>
      <w:jc w:val="right"/>
      <w:rPr>
        <w:lang w:val="en-US"/>
      </w:rPr>
    </w:pPr>
    <w:r>
      <w:rPr>
        <w:lang w:val="en-US"/>
      </w:rPr>
      <w:t>CBD/SBSTTA/</w:t>
    </w:r>
    <w:r w:rsidR="00590207">
      <w:rPr>
        <w:lang w:val="en-US"/>
      </w:rPr>
      <w:t>REC/</w:t>
    </w:r>
    <w:r>
      <w:rPr>
        <w:lang w:val="en-US"/>
      </w:rPr>
      <w:t>27/</w:t>
    </w:r>
    <w:r w:rsidR="00590207">
      <w:rPr>
        <w:lang w:val="en-US"/>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EC92B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4EC5FB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929B3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640AAE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E8628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34C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342F8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206D0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C63D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0F2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5627F2C"/>
    <w:multiLevelType w:val="hybridMultilevel"/>
    <w:tmpl w:val="44061504"/>
    <w:lvl w:ilvl="0" w:tplc="9D4C0668">
      <w:start w:val="1"/>
      <w:numFmt w:val="lowerLetter"/>
      <w:lvlText w:val="%1)"/>
      <w:lvlJc w:val="left"/>
      <w:pPr>
        <w:ind w:left="1020" w:hanging="360"/>
      </w:pPr>
    </w:lvl>
    <w:lvl w:ilvl="1" w:tplc="0AC2154E">
      <w:start w:val="1"/>
      <w:numFmt w:val="lowerLetter"/>
      <w:lvlText w:val="%2)"/>
      <w:lvlJc w:val="left"/>
      <w:pPr>
        <w:ind w:left="1020" w:hanging="360"/>
      </w:pPr>
    </w:lvl>
    <w:lvl w:ilvl="2" w:tplc="CAB2A274">
      <w:start w:val="1"/>
      <w:numFmt w:val="lowerLetter"/>
      <w:lvlText w:val="%3)"/>
      <w:lvlJc w:val="left"/>
      <w:pPr>
        <w:ind w:left="1020" w:hanging="360"/>
      </w:pPr>
    </w:lvl>
    <w:lvl w:ilvl="3" w:tplc="AFC811FC">
      <w:start w:val="1"/>
      <w:numFmt w:val="lowerLetter"/>
      <w:lvlText w:val="%4)"/>
      <w:lvlJc w:val="left"/>
      <w:pPr>
        <w:ind w:left="1020" w:hanging="360"/>
      </w:pPr>
    </w:lvl>
    <w:lvl w:ilvl="4" w:tplc="61904424">
      <w:start w:val="1"/>
      <w:numFmt w:val="lowerLetter"/>
      <w:lvlText w:val="%5)"/>
      <w:lvlJc w:val="left"/>
      <w:pPr>
        <w:ind w:left="1020" w:hanging="360"/>
      </w:pPr>
    </w:lvl>
    <w:lvl w:ilvl="5" w:tplc="93886AF4">
      <w:start w:val="1"/>
      <w:numFmt w:val="lowerLetter"/>
      <w:lvlText w:val="%6)"/>
      <w:lvlJc w:val="left"/>
      <w:pPr>
        <w:ind w:left="1020" w:hanging="360"/>
      </w:pPr>
    </w:lvl>
    <w:lvl w:ilvl="6" w:tplc="741AA6D6">
      <w:start w:val="1"/>
      <w:numFmt w:val="lowerLetter"/>
      <w:lvlText w:val="%7)"/>
      <w:lvlJc w:val="left"/>
      <w:pPr>
        <w:ind w:left="1020" w:hanging="360"/>
      </w:pPr>
    </w:lvl>
    <w:lvl w:ilvl="7" w:tplc="DA22024C">
      <w:start w:val="1"/>
      <w:numFmt w:val="lowerLetter"/>
      <w:lvlText w:val="%8)"/>
      <w:lvlJc w:val="left"/>
      <w:pPr>
        <w:ind w:left="1020" w:hanging="360"/>
      </w:pPr>
    </w:lvl>
    <w:lvl w:ilvl="8" w:tplc="71C6207C">
      <w:start w:val="1"/>
      <w:numFmt w:val="lowerLetter"/>
      <w:lvlText w:val="%9)"/>
      <w:lvlJc w:val="left"/>
      <w:pPr>
        <w:ind w:left="1020" w:hanging="360"/>
      </w:pPr>
    </w:lvl>
  </w:abstractNum>
  <w:abstractNum w:abstractNumId="11" w15:restartNumberingAfterBreak="0">
    <w:nsid w:val="19E646BE"/>
    <w:multiLevelType w:val="hybridMultilevel"/>
    <w:tmpl w:val="5C4A16AE"/>
    <w:lvl w:ilvl="0" w:tplc="9042D268">
      <w:start w:val="1"/>
      <w:numFmt w:val="lowerLetter"/>
      <w:lvlText w:val="%1)"/>
      <w:lvlJc w:val="left"/>
      <w:pPr>
        <w:ind w:left="1020" w:hanging="360"/>
      </w:pPr>
    </w:lvl>
    <w:lvl w:ilvl="1" w:tplc="8AB0081E">
      <w:start w:val="1"/>
      <w:numFmt w:val="lowerLetter"/>
      <w:lvlText w:val="%2)"/>
      <w:lvlJc w:val="left"/>
      <w:pPr>
        <w:ind w:left="1020" w:hanging="360"/>
      </w:pPr>
    </w:lvl>
    <w:lvl w:ilvl="2" w:tplc="A32C404E">
      <w:start w:val="1"/>
      <w:numFmt w:val="lowerLetter"/>
      <w:lvlText w:val="%3)"/>
      <w:lvlJc w:val="left"/>
      <w:pPr>
        <w:ind w:left="1020" w:hanging="360"/>
      </w:pPr>
    </w:lvl>
    <w:lvl w:ilvl="3" w:tplc="7C4E49A4">
      <w:start w:val="1"/>
      <w:numFmt w:val="lowerLetter"/>
      <w:lvlText w:val="%4)"/>
      <w:lvlJc w:val="left"/>
      <w:pPr>
        <w:ind w:left="1020" w:hanging="360"/>
      </w:pPr>
    </w:lvl>
    <w:lvl w:ilvl="4" w:tplc="6A6C1B6E">
      <w:start w:val="1"/>
      <w:numFmt w:val="lowerLetter"/>
      <w:lvlText w:val="%5)"/>
      <w:lvlJc w:val="left"/>
      <w:pPr>
        <w:ind w:left="1020" w:hanging="360"/>
      </w:pPr>
    </w:lvl>
    <w:lvl w:ilvl="5" w:tplc="9894F3DC">
      <w:start w:val="1"/>
      <w:numFmt w:val="lowerLetter"/>
      <w:lvlText w:val="%6)"/>
      <w:lvlJc w:val="left"/>
      <w:pPr>
        <w:ind w:left="1020" w:hanging="360"/>
      </w:pPr>
    </w:lvl>
    <w:lvl w:ilvl="6" w:tplc="C2B094CA">
      <w:start w:val="1"/>
      <w:numFmt w:val="lowerLetter"/>
      <w:lvlText w:val="%7)"/>
      <w:lvlJc w:val="left"/>
      <w:pPr>
        <w:ind w:left="1020" w:hanging="360"/>
      </w:pPr>
    </w:lvl>
    <w:lvl w:ilvl="7" w:tplc="8326F04E">
      <w:start w:val="1"/>
      <w:numFmt w:val="lowerLetter"/>
      <w:lvlText w:val="%8)"/>
      <w:lvlJc w:val="left"/>
      <w:pPr>
        <w:ind w:left="1020" w:hanging="360"/>
      </w:pPr>
    </w:lvl>
    <w:lvl w:ilvl="8" w:tplc="7D5806C2">
      <w:start w:val="1"/>
      <w:numFmt w:val="lowerLetter"/>
      <w:lvlText w:val="%9)"/>
      <w:lvlJc w:val="left"/>
      <w:pPr>
        <w:ind w:left="1020" w:hanging="360"/>
      </w:pPr>
    </w:lvl>
  </w:abstractNum>
  <w:abstractNum w:abstractNumId="12" w15:restartNumberingAfterBreak="0">
    <w:nsid w:val="1B375478"/>
    <w:multiLevelType w:val="hybridMultilevel"/>
    <w:tmpl w:val="95463B96"/>
    <w:lvl w:ilvl="0" w:tplc="64E65416">
      <w:start w:val="1"/>
      <w:numFmt w:val="lowerLetter"/>
      <w:lvlText w:val="%1)"/>
      <w:lvlJc w:val="left"/>
      <w:pPr>
        <w:ind w:left="1020" w:hanging="360"/>
      </w:pPr>
    </w:lvl>
    <w:lvl w:ilvl="1" w:tplc="6276C692">
      <w:start w:val="1"/>
      <w:numFmt w:val="lowerLetter"/>
      <w:lvlText w:val="%2)"/>
      <w:lvlJc w:val="left"/>
      <w:pPr>
        <w:ind w:left="1020" w:hanging="360"/>
      </w:pPr>
    </w:lvl>
    <w:lvl w:ilvl="2" w:tplc="566AAFC8">
      <w:start w:val="1"/>
      <w:numFmt w:val="lowerLetter"/>
      <w:lvlText w:val="%3)"/>
      <w:lvlJc w:val="left"/>
      <w:pPr>
        <w:ind w:left="1020" w:hanging="360"/>
      </w:pPr>
    </w:lvl>
    <w:lvl w:ilvl="3" w:tplc="279AA9B0">
      <w:start w:val="1"/>
      <w:numFmt w:val="lowerLetter"/>
      <w:lvlText w:val="%4)"/>
      <w:lvlJc w:val="left"/>
      <w:pPr>
        <w:ind w:left="1020" w:hanging="360"/>
      </w:pPr>
    </w:lvl>
    <w:lvl w:ilvl="4" w:tplc="62E20612">
      <w:start w:val="1"/>
      <w:numFmt w:val="lowerLetter"/>
      <w:lvlText w:val="%5)"/>
      <w:lvlJc w:val="left"/>
      <w:pPr>
        <w:ind w:left="1020" w:hanging="360"/>
      </w:pPr>
    </w:lvl>
    <w:lvl w:ilvl="5" w:tplc="39A85F8A">
      <w:start w:val="1"/>
      <w:numFmt w:val="lowerLetter"/>
      <w:lvlText w:val="%6)"/>
      <w:lvlJc w:val="left"/>
      <w:pPr>
        <w:ind w:left="1020" w:hanging="360"/>
      </w:pPr>
    </w:lvl>
    <w:lvl w:ilvl="6" w:tplc="94EA6764">
      <w:start w:val="1"/>
      <w:numFmt w:val="lowerLetter"/>
      <w:lvlText w:val="%7)"/>
      <w:lvlJc w:val="left"/>
      <w:pPr>
        <w:ind w:left="1020" w:hanging="360"/>
      </w:pPr>
    </w:lvl>
    <w:lvl w:ilvl="7" w:tplc="C51C5A34">
      <w:start w:val="1"/>
      <w:numFmt w:val="lowerLetter"/>
      <w:lvlText w:val="%8)"/>
      <w:lvlJc w:val="left"/>
      <w:pPr>
        <w:ind w:left="1020" w:hanging="360"/>
      </w:pPr>
    </w:lvl>
    <w:lvl w:ilvl="8" w:tplc="EAC41884">
      <w:start w:val="1"/>
      <w:numFmt w:val="lowerLetter"/>
      <w:lvlText w:val="%9)"/>
      <w:lvlJc w:val="left"/>
      <w:pPr>
        <w:ind w:left="1020" w:hanging="360"/>
      </w:pPr>
    </w:lvl>
  </w:abstractNum>
  <w:abstractNum w:abstractNumId="13" w15:restartNumberingAfterBreak="0">
    <w:nsid w:val="1F913E6C"/>
    <w:multiLevelType w:val="hybridMultilevel"/>
    <w:tmpl w:val="0A1E7B06"/>
    <w:lvl w:ilvl="0" w:tplc="1B4EBEE4">
      <w:start w:val="1"/>
      <w:numFmt w:val="lowerLetter"/>
      <w:lvlText w:val="%1)"/>
      <w:lvlJc w:val="left"/>
      <w:pPr>
        <w:ind w:left="1020" w:hanging="360"/>
      </w:pPr>
    </w:lvl>
    <w:lvl w:ilvl="1" w:tplc="B5F4D4E6">
      <w:start w:val="1"/>
      <w:numFmt w:val="lowerLetter"/>
      <w:lvlText w:val="%2)"/>
      <w:lvlJc w:val="left"/>
      <w:pPr>
        <w:ind w:left="1020" w:hanging="360"/>
      </w:pPr>
    </w:lvl>
    <w:lvl w:ilvl="2" w:tplc="0C86F490">
      <w:start w:val="1"/>
      <w:numFmt w:val="lowerLetter"/>
      <w:lvlText w:val="%3)"/>
      <w:lvlJc w:val="left"/>
      <w:pPr>
        <w:ind w:left="1020" w:hanging="360"/>
      </w:pPr>
    </w:lvl>
    <w:lvl w:ilvl="3" w:tplc="D30633AE">
      <w:start w:val="1"/>
      <w:numFmt w:val="lowerLetter"/>
      <w:lvlText w:val="%4)"/>
      <w:lvlJc w:val="left"/>
      <w:pPr>
        <w:ind w:left="1020" w:hanging="360"/>
      </w:pPr>
    </w:lvl>
    <w:lvl w:ilvl="4" w:tplc="1A7EC734">
      <w:start w:val="1"/>
      <w:numFmt w:val="lowerLetter"/>
      <w:lvlText w:val="%5)"/>
      <w:lvlJc w:val="left"/>
      <w:pPr>
        <w:ind w:left="1020" w:hanging="360"/>
      </w:pPr>
    </w:lvl>
    <w:lvl w:ilvl="5" w:tplc="AE64A890">
      <w:start w:val="1"/>
      <w:numFmt w:val="lowerLetter"/>
      <w:lvlText w:val="%6)"/>
      <w:lvlJc w:val="left"/>
      <w:pPr>
        <w:ind w:left="1020" w:hanging="360"/>
      </w:pPr>
    </w:lvl>
    <w:lvl w:ilvl="6" w:tplc="3C980510">
      <w:start w:val="1"/>
      <w:numFmt w:val="lowerLetter"/>
      <w:lvlText w:val="%7)"/>
      <w:lvlJc w:val="left"/>
      <w:pPr>
        <w:ind w:left="1020" w:hanging="360"/>
      </w:pPr>
    </w:lvl>
    <w:lvl w:ilvl="7" w:tplc="77C65160">
      <w:start w:val="1"/>
      <w:numFmt w:val="lowerLetter"/>
      <w:lvlText w:val="%8)"/>
      <w:lvlJc w:val="left"/>
      <w:pPr>
        <w:ind w:left="1020" w:hanging="360"/>
      </w:pPr>
    </w:lvl>
    <w:lvl w:ilvl="8" w:tplc="4D1462E2">
      <w:start w:val="1"/>
      <w:numFmt w:val="lowerLetter"/>
      <w:lvlText w:val="%9)"/>
      <w:lvlJc w:val="left"/>
      <w:pPr>
        <w:ind w:left="1020" w:hanging="360"/>
      </w:pPr>
    </w:lvl>
  </w:abstractNum>
  <w:abstractNum w:abstractNumId="14" w15:restartNumberingAfterBreak="0">
    <w:nsid w:val="22A668E1"/>
    <w:multiLevelType w:val="hybridMultilevel"/>
    <w:tmpl w:val="7BD87418"/>
    <w:lvl w:ilvl="0" w:tplc="4C884B82">
      <w:start w:val="1"/>
      <w:numFmt w:val="lowerLetter"/>
      <w:lvlText w:val="%1)"/>
      <w:lvlJc w:val="left"/>
      <w:pPr>
        <w:ind w:left="1020" w:hanging="360"/>
      </w:pPr>
    </w:lvl>
    <w:lvl w:ilvl="1" w:tplc="144A9E1E">
      <w:start w:val="1"/>
      <w:numFmt w:val="lowerLetter"/>
      <w:lvlText w:val="%2)"/>
      <w:lvlJc w:val="left"/>
      <w:pPr>
        <w:ind w:left="1020" w:hanging="360"/>
      </w:pPr>
    </w:lvl>
    <w:lvl w:ilvl="2" w:tplc="7F905340">
      <w:start w:val="1"/>
      <w:numFmt w:val="lowerLetter"/>
      <w:lvlText w:val="%3)"/>
      <w:lvlJc w:val="left"/>
      <w:pPr>
        <w:ind w:left="1020" w:hanging="360"/>
      </w:pPr>
    </w:lvl>
    <w:lvl w:ilvl="3" w:tplc="32822752">
      <w:start w:val="1"/>
      <w:numFmt w:val="lowerLetter"/>
      <w:lvlText w:val="%4)"/>
      <w:lvlJc w:val="left"/>
      <w:pPr>
        <w:ind w:left="1020" w:hanging="360"/>
      </w:pPr>
    </w:lvl>
    <w:lvl w:ilvl="4" w:tplc="01EE78E4">
      <w:start w:val="1"/>
      <w:numFmt w:val="lowerLetter"/>
      <w:lvlText w:val="%5)"/>
      <w:lvlJc w:val="left"/>
      <w:pPr>
        <w:ind w:left="1020" w:hanging="360"/>
      </w:pPr>
    </w:lvl>
    <w:lvl w:ilvl="5" w:tplc="42EA5D1E">
      <w:start w:val="1"/>
      <w:numFmt w:val="lowerLetter"/>
      <w:lvlText w:val="%6)"/>
      <w:lvlJc w:val="left"/>
      <w:pPr>
        <w:ind w:left="1020" w:hanging="360"/>
      </w:pPr>
    </w:lvl>
    <w:lvl w:ilvl="6" w:tplc="AC2CA0D8">
      <w:start w:val="1"/>
      <w:numFmt w:val="lowerLetter"/>
      <w:lvlText w:val="%7)"/>
      <w:lvlJc w:val="left"/>
      <w:pPr>
        <w:ind w:left="1020" w:hanging="360"/>
      </w:pPr>
    </w:lvl>
    <w:lvl w:ilvl="7" w:tplc="F9E6B282">
      <w:start w:val="1"/>
      <w:numFmt w:val="lowerLetter"/>
      <w:lvlText w:val="%8)"/>
      <w:lvlJc w:val="left"/>
      <w:pPr>
        <w:ind w:left="1020" w:hanging="360"/>
      </w:pPr>
    </w:lvl>
    <w:lvl w:ilvl="8" w:tplc="CFE2931A">
      <w:start w:val="1"/>
      <w:numFmt w:val="lowerLetter"/>
      <w:lvlText w:val="%9)"/>
      <w:lvlJc w:val="left"/>
      <w:pPr>
        <w:ind w:left="1020" w:hanging="360"/>
      </w:pPr>
    </w:lvl>
  </w:abstractNum>
  <w:abstractNum w:abstractNumId="15" w15:restartNumberingAfterBreak="0">
    <w:nsid w:val="260015C2"/>
    <w:multiLevelType w:val="hybridMultilevel"/>
    <w:tmpl w:val="B8E25D00"/>
    <w:lvl w:ilvl="0" w:tplc="5B8C8226">
      <w:start w:val="1"/>
      <w:numFmt w:val="lowerLetter"/>
      <w:lvlText w:val="%1)"/>
      <w:lvlJc w:val="left"/>
      <w:pPr>
        <w:ind w:left="1020" w:hanging="360"/>
      </w:pPr>
    </w:lvl>
    <w:lvl w:ilvl="1" w:tplc="855A3CD4">
      <w:start w:val="1"/>
      <w:numFmt w:val="lowerLetter"/>
      <w:lvlText w:val="%2)"/>
      <w:lvlJc w:val="left"/>
      <w:pPr>
        <w:ind w:left="1020" w:hanging="360"/>
      </w:pPr>
    </w:lvl>
    <w:lvl w:ilvl="2" w:tplc="017657CC">
      <w:start w:val="1"/>
      <w:numFmt w:val="lowerLetter"/>
      <w:lvlText w:val="%3)"/>
      <w:lvlJc w:val="left"/>
      <w:pPr>
        <w:ind w:left="1020" w:hanging="360"/>
      </w:pPr>
    </w:lvl>
    <w:lvl w:ilvl="3" w:tplc="9DCC39D8">
      <w:start w:val="1"/>
      <w:numFmt w:val="lowerLetter"/>
      <w:lvlText w:val="%4)"/>
      <w:lvlJc w:val="left"/>
      <w:pPr>
        <w:ind w:left="1020" w:hanging="360"/>
      </w:pPr>
    </w:lvl>
    <w:lvl w:ilvl="4" w:tplc="A4DE5138">
      <w:start w:val="1"/>
      <w:numFmt w:val="lowerLetter"/>
      <w:lvlText w:val="%5)"/>
      <w:lvlJc w:val="left"/>
      <w:pPr>
        <w:ind w:left="1020" w:hanging="360"/>
      </w:pPr>
    </w:lvl>
    <w:lvl w:ilvl="5" w:tplc="2EACD60A">
      <w:start w:val="1"/>
      <w:numFmt w:val="lowerLetter"/>
      <w:lvlText w:val="%6)"/>
      <w:lvlJc w:val="left"/>
      <w:pPr>
        <w:ind w:left="1020" w:hanging="360"/>
      </w:pPr>
    </w:lvl>
    <w:lvl w:ilvl="6" w:tplc="F782D27E">
      <w:start w:val="1"/>
      <w:numFmt w:val="lowerLetter"/>
      <w:lvlText w:val="%7)"/>
      <w:lvlJc w:val="left"/>
      <w:pPr>
        <w:ind w:left="1020" w:hanging="360"/>
      </w:pPr>
    </w:lvl>
    <w:lvl w:ilvl="7" w:tplc="A148E482">
      <w:start w:val="1"/>
      <w:numFmt w:val="lowerLetter"/>
      <w:lvlText w:val="%8)"/>
      <w:lvlJc w:val="left"/>
      <w:pPr>
        <w:ind w:left="1020" w:hanging="360"/>
      </w:pPr>
    </w:lvl>
    <w:lvl w:ilvl="8" w:tplc="0102EF48">
      <w:start w:val="1"/>
      <w:numFmt w:val="lowerLetter"/>
      <w:lvlText w:val="%9)"/>
      <w:lvlJc w:val="left"/>
      <w:pPr>
        <w:ind w:left="1020" w:hanging="360"/>
      </w:pPr>
    </w:lvl>
  </w:abstractNum>
  <w:abstractNum w:abstractNumId="16"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7" w15:restartNumberingAfterBreak="0">
    <w:nsid w:val="512D76FF"/>
    <w:multiLevelType w:val="hybridMultilevel"/>
    <w:tmpl w:val="E276765A"/>
    <w:lvl w:ilvl="0" w:tplc="E37227BC">
      <w:start w:val="1"/>
      <w:numFmt w:val="lowerLetter"/>
      <w:lvlText w:val="%1)"/>
      <w:lvlJc w:val="left"/>
      <w:pPr>
        <w:ind w:left="720" w:hanging="360"/>
      </w:pPr>
    </w:lvl>
    <w:lvl w:ilvl="1" w:tplc="DC845A50">
      <w:start w:val="1"/>
      <w:numFmt w:val="lowerLetter"/>
      <w:lvlText w:val="%2)"/>
      <w:lvlJc w:val="left"/>
      <w:pPr>
        <w:ind w:left="720" w:hanging="360"/>
      </w:pPr>
    </w:lvl>
    <w:lvl w:ilvl="2" w:tplc="06622052">
      <w:start w:val="1"/>
      <w:numFmt w:val="lowerLetter"/>
      <w:lvlText w:val="%3)"/>
      <w:lvlJc w:val="left"/>
      <w:pPr>
        <w:ind w:left="720" w:hanging="360"/>
      </w:pPr>
    </w:lvl>
    <w:lvl w:ilvl="3" w:tplc="3E56F176">
      <w:start w:val="1"/>
      <w:numFmt w:val="lowerLetter"/>
      <w:lvlText w:val="%4)"/>
      <w:lvlJc w:val="left"/>
      <w:pPr>
        <w:ind w:left="720" w:hanging="360"/>
      </w:pPr>
    </w:lvl>
    <w:lvl w:ilvl="4" w:tplc="DD7EC152">
      <w:start w:val="1"/>
      <w:numFmt w:val="lowerLetter"/>
      <w:lvlText w:val="%5)"/>
      <w:lvlJc w:val="left"/>
      <w:pPr>
        <w:ind w:left="720" w:hanging="360"/>
      </w:pPr>
    </w:lvl>
    <w:lvl w:ilvl="5" w:tplc="F894F98C">
      <w:start w:val="1"/>
      <w:numFmt w:val="lowerLetter"/>
      <w:lvlText w:val="%6)"/>
      <w:lvlJc w:val="left"/>
      <w:pPr>
        <w:ind w:left="720" w:hanging="360"/>
      </w:pPr>
    </w:lvl>
    <w:lvl w:ilvl="6" w:tplc="1962254E">
      <w:start w:val="1"/>
      <w:numFmt w:val="lowerLetter"/>
      <w:lvlText w:val="%7)"/>
      <w:lvlJc w:val="left"/>
      <w:pPr>
        <w:ind w:left="720" w:hanging="360"/>
      </w:pPr>
    </w:lvl>
    <w:lvl w:ilvl="7" w:tplc="6E72A0DA">
      <w:start w:val="1"/>
      <w:numFmt w:val="lowerLetter"/>
      <w:lvlText w:val="%8)"/>
      <w:lvlJc w:val="left"/>
      <w:pPr>
        <w:ind w:left="720" w:hanging="360"/>
      </w:pPr>
    </w:lvl>
    <w:lvl w:ilvl="8" w:tplc="50D804A8">
      <w:start w:val="1"/>
      <w:numFmt w:val="lowerLetter"/>
      <w:lvlText w:val="%9)"/>
      <w:lvlJc w:val="left"/>
      <w:pPr>
        <w:ind w:left="720" w:hanging="360"/>
      </w:pPr>
    </w:lvl>
  </w:abstractNum>
  <w:abstractNum w:abstractNumId="18" w15:restartNumberingAfterBreak="0">
    <w:nsid w:val="59A43683"/>
    <w:multiLevelType w:val="hybridMultilevel"/>
    <w:tmpl w:val="FF5E62CC"/>
    <w:lvl w:ilvl="0" w:tplc="A740AF2C">
      <w:start w:val="1"/>
      <w:numFmt w:val="lowerLetter"/>
      <w:lvlText w:val="%1)"/>
      <w:lvlJc w:val="left"/>
      <w:pPr>
        <w:ind w:left="1020" w:hanging="360"/>
      </w:pPr>
    </w:lvl>
    <w:lvl w:ilvl="1" w:tplc="9B50B1A2">
      <w:start w:val="1"/>
      <w:numFmt w:val="lowerLetter"/>
      <w:lvlText w:val="%2)"/>
      <w:lvlJc w:val="left"/>
      <w:pPr>
        <w:ind w:left="1020" w:hanging="360"/>
      </w:pPr>
    </w:lvl>
    <w:lvl w:ilvl="2" w:tplc="3956E804">
      <w:start w:val="1"/>
      <w:numFmt w:val="lowerLetter"/>
      <w:lvlText w:val="%3)"/>
      <w:lvlJc w:val="left"/>
      <w:pPr>
        <w:ind w:left="1020" w:hanging="360"/>
      </w:pPr>
    </w:lvl>
    <w:lvl w:ilvl="3" w:tplc="65CE2E08">
      <w:start w:val="1"/>
      <w:numFmt w:val="lowerLetter"/>
      <w:lvlText w:val="%4)"/>
      <w:lvlJc w:val="left"/>
      <w:pPr>
        <w:ind w:left="1020" w:hanging="360"/>
      </w:pPr>
    </w:lvl>
    <w:lvl w:ilvl="4" w:tplc="6812DB6A">
      <w:start w:val="1"/>
      <w:numFmt w:val="lowerLetter"/>
      <w:lvlText w:val="%5)"/>
      <w:lvlJc w:val="left"/>
      <w:pPr>
        <w:ind w:left="1020" w:hanging="360"/>
      </w:pPr>
    </w:lvl>
    <w:lvl w:ilvl="5" w:tplc="1C042EF2">
      <w:start w:val="1"/>
      <w:numFmt w:val="lowerLetter"/>
      <w:lvlText w:val="%6)"/>
      <w:lvlJc w:val="left"/>
      <w:pPr>
        <w:ind w:left="1020" w:hanging="360"/>
      </w:pPr>
    </w:lvl>
    <w:lvl w:ilvl="6" w:tplc="435C830E">
      <w:start w:val="1"/>
      <w:numFmt w:val="lowerLetter"/>
      <w:lvlText w:val="%7)"/>
      <w:lvlJc w:val="left"/>
      <w:pPr>
        <w:ind w:left="1020" w:hanging="360"/>
      </w:pPr>
    </w:lvl>
    <w:lvl w:ilvl="7" w:tplc="19B6E044">
      <w:start w:val="1"/>
      <w:numFmt w:val="lowerLetter"/>
      <w:lvlText w:val="%8)"/>
      <w:lvlJc w:val="left"/>
      <w:pPr>
        <w:ind w:left="1020" w:hanging="360"/>
      </w:pPr>
    </w:lvl>
    <w:lvl w:ilvl="8" w:tplc="28465284">
      <w:start w:val="1"/>
      <w:numFmt w:val="lowerLetter"/>
      <w:lvlText w:val="%9)"/>
      <w:lvlJc w:val="left"/>
      <w:pPr>
        <w:ind w:left="1020" w:hanging="360"/>
      </w:pPr>
    </w:lvl>
  </w:abstractNum>
  <w:abstractNum w:abstractNumId="19" w15:restartNumberingAfterBreak="0">
    <w:nsid w:val="59D6337E"/>
    <w:multiLevelType w:val="hybridMultilevel"/>
    <w:tmpl w:val="6900B7E0"/>
    <w:lvl w:ilvl="0" w:tplc="C0EA4FEC">
      <w:start w:val="1"/>
      <w:numFmt w:val="lowerLetter"/>
      <w:lvlText w:val="%1)"/>
      <w:lvlJc w:val="left"/>
      <w:pPr>
        <w:ind w:left="1020" w:hanging="360"/>
      </w:pPr>
    </w:lvl>
    <w:lvl w:ilvl="1" w:tplc="90FED33A">
      <w:start w:val="1"/>
      <w:numFmt w:val="lowerLetter"/>
      <w:lvlText w:val="%2)"/>
      <w:lvlJc w:val="left"/>
      <w:pPr>
        <w:ind w:left="1020" w:hanging="360"/>
      </w:pPr>
    </w:lvl>
    <w:lvl w:ilvl="2" w:tplc="F57403A4">
      <w:start w:val="1"/>
      <w:numFmt w:val="lowerLetter"/>
      <w:lvlText w:val="%3)"/>
      <w:lvlJc w:val="left"/>
      <w:pPr>
        <w:ind w:left="1020" w:hanging="360"/>
      </w:pPr>
    </w:lvl>
    <w:lvl w:ilvl="3" w:tplc="0BBCA97A">
      <w:start w:val="1"/>
      <w:numFmt w:val="lowerLetter"/>
      <w:lvlText w:val="%4)"/>
      <w:lvlJc w:val="left"/>
      <w:pPr>
        <w:ind w:left="1020" w:hanging="360"/>
      </w:pPr>
    </w:lvl>
    <w:lvl w:ilvl="4" w:tplc="58E2649E">
      <w:start w:val="1"/>
      <w:numFmt w:val="lowerLetter"/>
      <w:lvlText w:val="%5)"/>
      <w:lvlJc w:val="left"/>
      <w:pPr>
        <w:ind w:left="1020" w:hanging="360"/>
      </w:pPr>
    </w:lvl>
    <w:lvl w:ilvl="5" w:tplc="74DC8364">
      <w:start w:val="1"/>
      <w:numFmt w:val="lowerLetter"/>
      <w:lvlText w:val="%6)"/>
      <w:lvlJc w:val="left"/>
      <w:pPr>
        <w:ind w:left="1020" w:hanging="360"/>
      </w:pPr>
    </w:lvl>
    <w:lvl w:ilvl="6" w:tplc="FC1080DA">
      <w:start w:val="1"/>
      <w:numFmt w:val="lowerLetter"/>
      <w:lvlText w:val="%7)"/>
      <w:lvlJc w:val="left"/>
      <w:pPr>
        <w:ind w:left="1020" w:hanging="360"/>
      </w:pPr>
    </w:lvl>
    <w:lvl w:ilvl="7" w:tplc="C5E6BAE0">
      <w:start w:val="1"/>
      <w:numFmt w:val="lowerLetter"/>
      <w:lvlText w:val="%8)"/>
      <w:lvlJc w:val="left"/>
      <w:pPr>
        <w:ind w:left="1020" w:hanging="360"/>
      </w:pPr>
    </w:lvl>
    <w:lvl w:ilvl="8" w:tplc="DA1AC20E">
      <w:start w:val="1"/>
      <w:numFmt w:val="lowerLetter"/>
      <w:lvlText w:val="%9)"/>
      <w:lvlJc w:val="left"/>
      <w:pPr>
        <w:ind w:left="1020" w:hanging="360"/>
      </w:pPr>
    </w:lvl>
  </w:abstractNum>
  <w:abstractNum w:abstractNumId="20" w15:restartNumberingAfterBreak="0">
    <w:nsid w:val="5D943BEE"/>
    <w:multiLevelType w:val="multilevel"/>
    <w:tmpl w:val="222A08B4"/>
    <w:numStyleLink w:val="ListCBD"/>
  </w:abstractNum>
  <w:abstractNum w:abstractNumId="21" w15:restartNumberingAfterBreak="0">
    <w:nsid w:val="632E2256"/>
    <w:multiLevelType w:val="hybridMultilevel"/>
    <w:tmpl w:val="E63E7C2C"/>
    <w:lvl w:ilvl="0" w:tplc="315C18BE">
      <w:start w:val="1"/>
      <w:numFmt w:val="lowerLetter"/>
      <w:lvlText w:val="%1)"/>
      <w:lvlJc w:val="left"/>
      <w:pPr>
        <w:ind w:left="1020" w:hanging="360"/>
      </w:pPr>
    </w:lvl>
    <w:lvl w:ilvl="1" w:tplc="91AABA7E">
      <w:start w:val="1"/>
      <w:numFmt w:val="lowerLetter"/>
      <w:lvlText w:val="%2)"/>
      <w:lvlJc w:val="left"/>
      <w:pPr>
        <w:ind w:left="1020" w:hanging="360"/>
      </w:pPr>
    </w:lvl>
    <w:lvl w:ilvl="2" w:tplc="F3AC9220">
      <w:start w:val="1"/>
      <w:numFmt w:val="lowerLetter"/>
      <w:lvlText w:val="%3)"/>
      <w:lvlJc w:val="left"/>
      <w:pPr>
        <w:ind w:left="1020" w:hanging="360"/>
      </w:pPr>
    </w:lvl>
    <w:lvl w:ilvl="3" w:tplc="72DA83D6">
      <w:start w:val="1"/>
      <w:numFmt w:val="lowerLetter"/>
      <w:lvlText w:val="%4)"/>
      <w:lvlJc w:val="left"/>
      <w:pPr>
        <w:ind w:left="1020" w:hanging="360"/>
      </w:pPr>
    </w:lvl>
    <w:lvl w:ilvl="4" w:tplc="3B1C2E48">
      <w:start w:val="1"/>
      <w:numFmt w:val="lowerLetter"/>
      <w:lvlText w:val="%5)"/>
      <w:lvlJc w:val="left"/>
      <w:pPr>
        <w:ind w:left="1020" w:hanging="360"/>
      </w:pPr>
    </w:lvl>
    <w:lvl w:ilvl="5" w:tplc="D50227D0">
      <w:start w:val="1"/>
      <w:numFmt w:val="lowerLetter"/>
      <w:lvlText w:val="%6)"/>
      <w:lvlJc w:val="left"/>
      <w:pPr>
        <w:ind w:left="1020" w:hanging="360"/>
      </w:pPr>
    </w:lvl>
    <w:lvl w:ilvl="6" w:tplc="DE6EBACE">
      <w:start w:val="1"/>
      <w:numFmt w:val="lowerLetter"/>
      <w:lvlText w:val="%7)"/>
      <w:lvlJc w:val="left"/>
      <w:pPr>
        <w:ind w:left="1020" w:hanging="360"/>
      </w:pPr>
    </w:lvl>
    <w:lvl w:ilvl="7" w:tplc="10641670">
      <w:start w:val="1"/>
      <w:numFmt w:val="lowerLetter"/>
      <w:lvlText w:val="%8)"/>
      <w:lvlJc w:val="left"/>
      <w:pPr>
        <w:ind w:left="1020" w:hanging="360"/>
      </w:pPr>
    </w:lvl>
    <w:lvl w:ilvl="8" w:tplc="30CC751C">
      <w:start w:val="1"/>
      <w:numFmt w:val="lowerLetter"/>
      <w:lvlText w:val="%9)"/>
      <w:lvlJc w:val="left"/>
      <w:pPr>
        <w:ind w:left="1020" w:hanging="360"/>
      </w:pPr>
    </w:lvl>
  </w:abstractNum>
  <w:abstractNum w:abstractNumId="22"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1414274265">
    <w:abstractNumId w:val="23"/>
  </w:num>
  <w:num w:numId="2" w16cid:durableId="1540239463">
    <w:abstractNumId w:val="9"/>
  </w:num>
  <w:num w:numId="3" w16cid:durableId="188030166">
    <w:abstractNumId w:val="7"/>
  </w:num>
  <w:num w:numId="4" w16cid:durableId="1813982300">
    <w:abstractNumId w:val="6"/>
  </w:num>
  <w:num w:numId="5" w16cid:durableId="1342661021">
    <w:abstractNumId w:val="5"/>
  </w:num>
  <w:num w:numId="6" w16cid:durableId="217672220">
    <w:abstractNumId w:val="4"/>
  </w:num>
  <w:num w:numId="7" w16cid:durableId="183829271">
    <w:abstractNumId w:val="16"/>
  </w:num>
  <w:num w:numId="8" w16cid:durableId="766118607">
    <w:abstractNumId w:val="22"/>
  </w:num>
  <w:num w:numId="9" w16cid:durableId="468740720">
    <w:abstractNumId w:val="20"/>
  </w:num>
  <w:num w:numId="10" w16cid:durableId="693270062">
    <w:abstractNumId w:val="8"/>
  </w:num>
  <w:num w:numId="11" w16cid:durableId="537469461">
    <w:abstractNumId w:val="3"/>
  </w:num>
  <w:num w:numId="12" w16cid:durableId="406341965">
    <w:abstractNumId w:val="2"/>
  </w:num>
  <w:num w:numId="13" w16cid:durableId="70663551">
    <w:abstractNumId w:val="1"/>
  </w:num>
  <w:num w:numId="14" w16cid:durableId="809132776">
    <w:abstractNumId w:val="0"/>
  </w:num>
  <w:num w:numId="15" w16cid:durableId="15203944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28500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906152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089539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632667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530885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320457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68077559">
    <w:abstractNumId w:val="11"/>
  </w:num>
  <w:num w:numId="23" w16cid:durableId="1619795492">
    <w:abstractNumId w:val="10"/>
  </w:num>
  <w:num w:numId="24" w16cid:durableId="476538069">
    <w:abstractNumId w:val="19"/>
  </w:num>
  <w:num w:numId="25" w16cid:durableId="134688484">
    <w:abstractNumId w:val="17"/>
  </w:num>
  <w:num w:numId="26" w16cid:durableId="2131048493">
    <w:abstractNumId w:val="18"/>
  </w:num>
  <w:num w:numId="27" w16cid:durableId="450713251">
    <w:abstractNumId w:val="15"/>
  </w:num>
  <w:num w:numId="28" w16cid:durableId="1758750689">
    <w:abstractNumId w:val="14"/>
  </w:num>
  <w:num w:numId="29" w16cid:durableId="1656226458">
    <w:abstractNumId w:val="12"/>
  </w:num>
  <w:num w:numId="30" w16cid:durableId="479930846">
    <w:abstractNumId w:val="21"/>
  </w:num>
  <w:num w:numId="31" w16cid:durableId="5269800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revisionView w:markup="0"/>
  <w:defaultTabStop w:val="720"/>
  <w:evenAndOddHeaders/>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90E"/>
    <w:rsid w:val="00002498"/>
    <w:rsid w:val="0000573F"/>
    <w:rsid w:val="000103AE"/>
    <w:rsid w:val="00012983"/>
    <w:rsid w:val="0001310A"/>
    <w:rsid w:val="000137EF"/>
    <w:rsid w:val="00013CB4"/>
    <w:rsid w:val="000141B5"/>
    <w:rsid w:val="000159AF"/>
    <w:rsid w:val="00016290"/>
    <w:rsid w:val="000229E8"/>
    <w:rsid w:val="00022C56"/>
    <w:rsid w:val="0002546E"/>
    <w:rsid w:val="00034322"/>
    <w:rsid w:val="00034F9D"/>
    <w:rsid w:val="000354D3"/>
    <w:rsid w:val="00035B6F"/>
    <w:rsid w:val="0003698C"/>
    <w:rsid w:val="00036F7B"/>
    <w:rsid w:val="000379A7"/>
    <w:rsid w:val="00040502"/>
    <w:rsid w:val="0004077A"/>
    <w:rsid w:val="00041805"/>
    <w:rsid w:val="00043FC2"/>
    <w:rsid w:val="0004590B"/>
    <w:rsid w:val="0004786A"/>
    <w:rsid w:val="000511B1"/>
    <w:rsid w:val="00052655"/>
    <w:rsid w:val="000526ED"/>
    <w:rsid w:val="00057B13"/>
    <w:rsid w:val="00064C69"/>
    <w:rsid w:val="00071536"/>
    <w:rsid w:val="0007248D"/>
    <w:rsid w:val="000754E8"/>
    <w:rsid w:val="00076148"/>
    <w:rsid w:val="00076176"/>
    <w:rsid w:val="00083EBE"/>
    <w:rsid w:val="0008497C"/>
    <w:rsid w:val="00087290"/>
    <w:rsid w:val="00087CFB"/>
    <w:rsid w:val="0009288C"/>
    <w:rsid w:val="00092E88"/>
    <w:rsid w:val="000941BB"/>
    <w:rsid w:val="0009421D"/>
    <w:rsid w:val="0009460A"/>
    <w:rsid w:val="00094710"/>
    <w:rsid w:val="000962BE"/>
    <w:rsid w:val="00096DE1"/>
    <w:rsid w:val="00097729"/>
    <w:rsid w:val="000A0283"/>
    <w:rsid w:val="000A08C9"/>
    <w:rsid w:val="000A16D9"/>
    <w:rsid w:val="000A2C33"/>
    <w:rsid w:val="000A33DF"/>
    <w:rsid w:val="000A421A"/>
    <w:rsid w:val="000A439C"/>
    <w:rsid w:val="000A70C5"/>
    <w:rsid w:val="000A728D"/>
    <w:rsid w:val="000A7D4B"/>
    <w:rsid w:val="000B4502"/>
    <w:rsid w:val="000B6BCB"/>
    <w:rsid w:val="000B7E6E"/>
    <w:rsid w:val="000C078C"/>
    <w:rsid w:val="000C21C0"/>
    <w:rsid w:val="000C282D"/>
    <w:rsid w:val="000C4D63"/>
    <w:rsid w:val="000C51EC"/>
    <w:rsid w:val="000C56DA"/>
    <w:rsid w:val="000D3987"/>
    <w:rsid w:val="000D3D12"/>
    <w:rsid w:val="000D5C27"/>
    <w:rsid w:val="000D63BD"/>
    <w:rsid w:val="000D68B6"/>
    <w:rsid w:val="000E031D"/>
    <w:rsid w:val="000E0C14"/>
    <w:rsid w:val="000E1726"/>
    <w:rsid w:val="000E1E82"/>
    <w:rsid w:val="000E5A18"/>
    <w:rsid w:val="000E5ED6"/>
    <w:rsid w:val="000E7FB7"/>
    <w:rsid w:val="000F1311"/>
    <w:rsid w:val="000F1F8D"/>
    <w:rsid w:val="000F344B"/>
    <w:rsid w:val="000F6A80"/>
    <w:rsid w:val="0010015F"/>
    <w:rsid w:val="0010086D"/>
    <w:rsid w:val="0010227B"/>
    <w:rsid w:val="001031DF"/>
    <w:rsid w:val="0010384C"/>
    <w:rsid w:val="0010468E"/>
    <w:rsid w:val="0010521A"/>
    <w:rsid w:val="001065E9"/>
    <w:rsid w:val="0010798F"/>
    <w:rsid w:val="00113663"/>
    <w:rsid w:val="00115AC6"/>
    <w:rsid w:val="00115CAF"/>
    <w:rsid w:val="001166FC"/>
    <w:rsid w:val="001219A4"/>
    <w:rsid w:val="001225EF"/>
    <w:rsid w:val="00124DA2"/>
    <w:rsid w:val="00125061"/>
    <w:rsid w:val="00126657"/>
    <w:rsid w:val="00132B3A"/>
    <w:rsid w:val="00134A08"/>
    <w:rsid w:val="00135272"/>
    <w:rsid w:val="0013541F"/>
    <w:rsid w:val="00144168"/>
    <w:rsid w:val="00144B5D"/>
    <w:rsid w:val="00145C23"/>
    <w:rsid w:val="00151361"/>
    <w:rsid w:val="001516A6"/>
    <w:rsid w:val="00151C46"/>
    <w:rsid w:val="00152105"/>
    <w:rsid w:val="0015276B"/>
    <w:rsid w:val="00152A63"/>
    <w:rsid w:val="001535BC"/>
    <w:rsid w:val="00153D6B"/>
    <w:rsid w:val="0015763D"/>
    <w:rsid w:val="001606EC"/>
    <w:rsid w:val="0016191D"/>
    <w:rsid w:val="00162A48"/>
    <w:rsid w:val="00163BC0"/>
    <w:rsid w:val="001706DC"/>
    <w:rsid w:val="00170BF6"/>
    <w:rsid w:val="001718C4"/>
    <w:rsid w:val="00174200"/>
    <w:rsid w:val="0017755E"/>
    <w:rsid w:val="0018284E"/>
    <w:rsid w:val="0018471B"/>
    <w:rsid w:val="00185BEF"/>
    <w:rsid w:val="001909A8"/>
    <w:rsid w:val="00191C46"/>
    <w:rsid w:val="00192518"/>
    <w:rsid w:val="00192CE3"/>
    <w:rsid w:val="001947F0"/>
    <w:rsid w:val="00195681"/>
    <w:rsid w:val="001959D2"/>
    <w:rsid w:val="00197AFB"/>
    <w:rsid w:val="001A173C"/>
    <w:rsid w:val="001A2394"/>
    <w:rsid w:val="001A278D"/>
    <w:rsid w:val="001A2F36"/>
    <w:rsid w:val="001A3E6C"/>
    <w:rsid w:val="001A5A37"/>
    <w:rsid w:val="001A62CD"/>
    <w:rsid w:val="001A7305"/>
    <w:rsid w:val="001A79FF"/>
    <w:rsid w:val="001B04F1"/>
    <w:rsid w:val="001B1FB6"/>
    <w:rsid w:val="001B28FC"/>
    <w:rsid w:val="001B4DAA"/>
    <w:rsid w:val="001B6473"/>
    <w:rsid w:val="001C14AF"/>
    <w:rsid w:val="001C5FC2"/>
    <w:rsid w:val="001C6299"/>
    <w:rsid w:val="001C696F"/>
    <w:rsid w:val="001C76C4"/>
    <w:rsid w:val="001C7A27"/>
    <w:rsid w:val="001C7C0D"/>
    <w:rsid w:val="001C7C6F"/>
    <w:rsid w:val="001D190A"/>
    <w:rsid w:val="001D2583"/>
    <w:rsid w:val="001D3004"/>
    <w:rsid w:val="001D3583"/>
    <w:rsid w:val="001D4B19"/>
    <w:rsid w:val="001D4F4D"/>
    <w:rsid w:val="001D654A"/>
    <w:rsid w:val="001E56F3"/>
    <w:rsid w:val="001E57A9"/>
    <w:rsid w:val="001E5F87"/>
    <w:rsid w:val="001E67F0"/>
    <w:rsid w:val="001E74B7"/>
    <w:rsid w:val="001F0557"/>
    <w:rsid w:val="001F09CD"/>
    <w:rsid w:val="001F0F1B"/>
    <w:rsid w:val="001F1D42"/>
    <w:rsid w:val="001F35B7"/>
    <w:rsid w:val="001F46D3"/>
    <w:rsid w:val="001F5684"/>
    <w:rsid w:val="001F58C1"/>
    <w:rsid w:val="001F6571"/>
    <w:rsid w:val="001F69ED"/>
    <w:rsid w:val="001F6C32"/>
    <w:rsid w:val="001F7BFC"/>
    <w:rsid w:val="001F7D99"/>
    <w:rsid w:val="0020012C"/>
    <w:rsid w:val="00200861"/>
    <w:rsid w:val="00200F9B"/>
    <w:rsid w:val="00202136"/>
    <w:rsid w:val="0020443C"/>
    <w:rsid w:val="002070FA"/>
    <w:rsid w:val="00213786"/>
    <w:rsid w:val="00213CAF"/>
    <w:rsid w:val="00215830"/>
    <w:rsid w:val="002161CD"/>
    <w:rsid w:val="002225CF"/>
    <w:rsid w:val="00222A48"/>
    <w:rsid w:val="00222D0D"/>
    <w:rsid w:val="00222FD3"/>
    <w:rsid w:val="00224675"/>
    <w:rsid w:val="002266C1"/>
    <w:rsid w:val="002307DE"/>
    <w:rsid w:val="00231CA4"/>
    <w:rsid w:val="002348D6"/>
    <w:rsid w:val="00234C42"/>
    <w:rsid w:val="00236891"/>
    <w:rsid w:val="00243E31"/>
    <w:rsid w:val="00245BB4"/>
    <w:rsid w:val="002463BF"/>
    <w:rsid w:val="0024662B"/>
    <w:rsid w:val="0025038F"/>
    <w:rsid w:val="00250F28"/>
    <w:rsid w:val="002511E7"/>
    <w:rsid w:val="002515B5"/>
    <w:rsid w:val="00252161"/>
    <w:rsid w:val="00252A3C"/>
    <w:rsid w:val="002537BA"/>
    <w:rsid w:val="00254722"/>
    <w:rsid w:val="002551D9"/>
    <w:rsid w:val="00255808"/>
    <w:rsid w:val="00260C29"/>
    <w:rsid w:val="00260CAC"/>
    <w:rsid w:val="00260F7B"/>
    <w:rsid w:val="00270806"/>
    <w:rsid w:val="00271208"/>
    <w:rsid w:val="002712C7"/>
    <w:rsid w:val="002730E3"/>
    <w:rsid w:val="002734F2"/>
    <w:rsid w:val="0027582B"/>
    <w:rsid w:val="00275FDD"/>
    <w:rsid w:val="002775C7"/>
    <w:rsid w:val="002812FA"/>
    <w:rsid w:val="00281DE4"/>
    <w:rsid w:val="00282EAA"/>
    <w:rsid w:val="002834EC"/>
    <w:rsid w:val="002835F3"/>
    <w:rsid w:val="00283E3D"/>
    <w:rsid w:val="00285460"/>
    <w:rsid w:val="0028632E"/>
    <w:rsid w:val="002909C4"/>
    <w:rsid w:val="00290F43"/>
    <w:rsid w:val="0029167D"/>
    <w:rsid w:val="002918F7"/>
    <w:rsid w:val="00292AEA"/>
    <w:rsid w:val="002932E0"/>
    <w:rsid w:val="00294C7A"/>
    <w:rsid w:val="002952DF"/>
    <w:rsid w:val="002955FE"/>
    <w:rsid w:val="00297E2E"/>
    <w:rsid w:val="00297FD8"/>
    <w:rsid w:val="002A305B"/>
    <w:rsid w:val="002A442C"/>
    <w:rsid w:val="002A5C4F"/>
    <w:rsid w:val="002B1DBE"/>
    <w:rsid w:val="002B4DCA"/>
    <w:rsid w:val="002B7C09"/>
    <w:rsid w:val="002C00DA"/>
    <w:rsid w:val="002C1C52"/>
    <w:rsid w:val="002C1DAC"/>
    <w:rsid w:val="002C2886"/>
    <w:rsid w:val="002C39D6"/>
    <w:rsid w:val="002C7379"/>
    <w:rsid w:val="002D4DA9"/>
    <w:rsid w:val="002D7F4F"/>
    <w:rsid w:val="002E008D"/>
    <w:rsid w:val="002E019B"/>
    <w:rsid w:val="002E1C90"/>
    <w:rsid w:val="002E53DB"/>
    <w:rsid w:val="002F37DD"/>
    <w:rsid w:val="002F37E6"/>
    <w:rsid w:val="002F3E82"/>
    <w:rsid w:val="002F3FE2"/>
    <w:rsid w:val="002F426C"/>
    <w:rsid w:val="002F42EA"/>
    <w:rsid w:val="002F4353"/>
    <w:rsid w:val="002F6523"/>
    <w:rsid w:val="003015A5"/>
    <w:rsid w:val="0030420E"/>
    <w:rsid w:val="00304819"/>
    <w:rsid w:val="0030611F"/>
    <w:rsid w:val="00306326"/>
    <w:rsid w:val="0030715C"/>
    <w:rsid w:val="00307DDC"/>
    <w:rsid w:val="00310BE6"/>
    <w:rsid w:val="00310CEB"/>
    <w:rsid w:val="00312001"/>
    <w:rsid w:val="00313708"/>
    <w:rsid w:val="00315143"/>
    <w:rsid w:val="00315A20"/>
    <w:rsid w:val="003179C8"/>
    <w:rsid w:val="003203C8"/>
    <w:rsid w:val="003204F8"/>
    <w:rsid w:val="003213F6"/>
    <w:rsid w:val="00321FAF"/>
    <w:rsid w:val="00322476"/>
    <w:rsid w:val="00322835"/>
    <w:rsid w:val="003249F9"/>
    <w:rsid w:val="00326058"/>
    <w:rsid w:val="003266C6"/>
    <w:rsid w:val="0032763C"/>
    <w:rsid w:val="0033208A"/>
    <w:rsid w:val="00332263"/>
    <w:rsid w:val="00332CE0"/>
    <w:rsid w:val="00333EC2"/>
    <w:rsid w:val="00336581"/>
    <w:rsid w:val="00340CC8"/>
    <w:rsid w:val="003430A5"/>
    <w:rsid w:val="003434AB"/>
    <w:rsid w:val="0034450D"/>
    <w:rsid w:val="003458C5"/>
    <w:rsid w:val="003461CD"/>
    <w:rsid w:val="00346EDF"/>
    <w:rsid w:val="0034733E"/>
    <w:rsid w:val="00347A2A"/>
    <w:rsid w:val="00352721"/>
    <w:rsid w:val="003547F2"/>
    <w:rsid w:val="0037227B"/>
    <w:rsid w:val="00376457"/>
    <w:rsid w:val="00377ED6"/>
    <w:rsid w:val="00381B24"/>
    <w:rsid w:val="00384B0F"/>
    <w:rsid w:val="003907D7"/>
    <w:rsid w:val="00391508"/>
    <w:rsid w:val="00395894"/>
    <w:rsid w:val="00397173"/>
    <w:rsid w:val="00397D26"/>
    <w:rsid w:val="003A2546"/>
    <w:rsid w:val="003A3301"/>
    <w:rsid w:val="003B0497"/>
    <w:rsid w:val="003B0AE2"/>
    <w:rsid w:val="003B142B"/>
    <w:rsid w:val="003B142D"/>
    <w:rsid w:val="003B2D99"/>
    <w:rsid w:val="003B3B5F"/>
    <w:rsid w:val="003B42D8"/>
    <w:rsid w:val="003B6D22"/>
    <w:rsid w:val="003C302C"/>
    <w:rsid w:val="003C43FD"/>
    <w:rsid w:val="003C49C5"/>
    <w:rsid w:val="003C5B44"/>
    <w:rsid w:val="003C75CF"/>
    <w:rsid w:val="003D172C"/>
    <w:rsid w:val="003D1D86"/>
    <w:rsid w:val="003D48F6"/>
    <w:rsid w:val="003D53C6"/>
    <w:rsid w:val="003D7EAF"/>
    <w:rsid w:val="003E0F05"/>
    <w:rsid w:val="003E6ED0"/>
    <w:rsid w:val="003F1699"/>
    <w:rsid w:val="003F1841"/>
    <w:rsid w:val="003F2784"/>
    <w:rsid w:val="003F2CFA"/>
    <w:rsid w:val="003F3A67"/>
    <w:rsid w:val="003F618D"/>
    <w:rsid w:val="0040017E"/>
    <w:rsid w:val="00400F35"/>
    <w:rsid w:val="00404BA4"/>
    <w:rsid w:val="00405237"/>
    <w:rsid w:val="00405778"/>
    <w:rsid w:val="00406965"/>
    <w:rsid w:val="004071D7"/>
    <w:rsid w:val="0041089E"/>
    <w:rsid w:val="004110E6"/>
    <w:rsid w:val="00411E3E"/>
    <w:rsid w:val="004122EB"/>
    <w:rsid w:val="004136E4"/>
    <w:rsid w:val="00414833"/>
    <w:rsid w:val="00417640"/>
    <w:rsid w:val="00420087"/>
    <w:rsid w:val="00420736"/>
    <w:rsid w:val="004210A7"/>
    <w:rsid w:val="00421336"/>
    <w:rsid w:val="004213EC"/>
    <w:rsid w:val="0042188A"/>
    <w:rsid w:val="00421B3D"/>
    <w:rsid w:val="00421E81"/>
    <w:rsid w:val="00423575"/>
    <w:rsid w:val="00423A19"/>
    <w:rsid w:val="0042417F"/>
    <w:rsid w:val="00430D15"/>
    <w:rsid w:val="0043650F"/>
    <w:rsid w:val="004409C5"/>
    <w:rsid w:val="00440FFA"/>
    <w:rsid w:val="00441045"/>
    <w:rsid w:val="00441CCC"/>
    <w:rsid w:val="00442061"/>
    <w:rsid w:val="004430FB"/>
    <w:rsid w:val="00446696"/>
    <w:rsid w:val="00446F37"/>
    <w:rsid w:val="00447373"/>
    <w:rsid w:val="00447D16"/>
    <w:rsid w:val="00453477"/>
    <w:rsid w:val="004536F2"/>
    <w:rsid w:val="00454BD0"/>
    <w:rsid w:val="00460163"/>
    <w:rsid w:val="0046056A"/>
    <w:rsid w:val="0046134F"/>
    <w:rsid w:val="00463AF6"/>
    <w:rsid w:val="004668C9"/>
    <w:rsid w:val="00467A86"/>
    <w:rsid w:val="00472262"/>
    <w:rsid w:val="0047363A"/>
    <w:rsid w:val="00475157"/>
    <w:rsid w:val="00475B68"/>
    <w:rsid w:val="00475D81"/>
    <w:rsid w:val="0047663B"/>
    <w:rsid w:val="00481F9B"/>
    <w:rsid w:val="0048358C"/>
    <w:rsid w:val="0048565A"/>
    <w:rsid w:val="004859B6"/>
    <w:rsid w:val="00487986"/>
    <w:rsid w:val="00491137"/>
    <w:rsid w:val="00493822"/>
    <w:rsid w:val="004A1974"/>
    <w:rsid w:val="004A2929"/>
    <w:rsid w:val="004A7D50"/>
    <w:rsid w:val="004B1B36"/>
    <w:rsid w:val="004B1ED4"/>
    <w:rsid w:val="004B2DBC"/>
    <w:rsid w:val="004B367E"/>
    <w:rsid w:val="004B66B7"/>
    <w:rsid w:val="004C0EB6"/>
    <w:rsid w:val="004C1B5D"/>
    <w:rsid w:val="004C2983"/>
    <w:rsid w:val="004C6992"/>
    <w:rsid w:val="004C6D33"/>
    <w:rsid w:val="004C70DA"/>
    <w:rsid w:val="004D2538"/>
    <w:rsid w:val="004D2879"/>
    <w:rsid w:val="004D2C4B"/>
    <w:rsid w:val="004D3345"/>
    <w:rsid w:val="004D6023"/>
    <w:rsid w:val="004E00FA"/>
    <w:rsid w:val="004E18FE"/>
    <w:rsid w:val="004E1C4C"/>
    <w:rsid w:val="004E3CC6"/>
    <w:rsid w:val="004E5048"/>
    <w:rsid w:val="004E5239"/>
    <w:rsid w:val="004F15F0"/>
    <w:rsid w:val="004F2436"/>
    <w:rsid w:val="004F2C89"/>
    <w:rsid w:val="004F3BE6"/>
    <w:rsid w:val="004F3CE8"/>
    <w:rsid w:val="004F4E8B"/>
    <w:rsid w:val="004F6230"/>
    <w:rsid w:val="004F6865"/>
    <w:rsid w:val="004F6EC8"/>
    <w:rsid w:val="004F7381"/>
    <w:rsid w:val="00500176"/>
    <w:rsid w:val="005012FC"/>
    <w:rsid w:val="005038FF"/>
    <w:rsid w:val="00504552"/>
    <w:rsid w:val="00506765"/>
    <w:rsid w:val="005104D9"/>
    <w:rsid w:val="005130F4"/>
    <w:rsid w:val="00513ABC"/>
    <w:rsid w:val="00514CC9"/>
    <w:rsid w:val="0051798B"/>
    <w:rsid w:val="00520362"/>
    <w:rsid w:val="005210A7"/>
    <w:rsid w:val="00522E43"/>
    <w:rsid w:val="00523FFE"/>
    <w:rsid w:val="005242D2"/>
    <w:rsid w:val="005245CB"/>
    <w:rsid w:val="0052564E"/>
    <w:rsid w:val="00526BF0"/>
    <w:rsid w:val="005312C7"/>
    <w:rsid w:val="0053602A"/>
    <w:rsid w:val="0053612D"/>
    <w:rsid w:val="005436E4"/>
    <w:rsid w:val="00545616"/>
    <w:rsid w:val="00545A76"/>
    <w:rsid w:val="00545F94"/>
    <w:rsid w:val="005542F5"/>
    <w:rsid w:val="00554B82"/>
    <w:rsid w:val="00556126"/>
    <w:rsid w:val="00556D88"/>
    <w:rsid w:val="00557022"/>
    <w:rsid w:val="00557355"/>
    <w:rsid w:val="005577FA"/>
    <w:rsid w:val="00560F36"/>
    <w:rsid w:val="00561234"/>
    <w:rsid w:val="005614FA"/>
    <w:rsid w:val="00561922"/>
    <w:rsid w:val="00563E58"/>
    <w:rsid w:val="0056429B"/>
    <w:rsid w:val="00565A5C"/>
    <w:rsid w:val="00565A8E"/>
    <w:rsid w:val="0056728C"/>
    <w:rsid w:val="00567DAD"/>
    <w:rsid w:val="00571200"/>
    <w:rsid w:val="00571D87"/>
    <w:rsid w:val="005738C4"/>
    <w:rsid w:val="00573922"/>
    <w:rsid w:val="00573F8D"/>
    <w:rsid w:val="00575B7A"/>
    <w:rsid w:val="005835CE"/>
    <w:rsid w:val="005868BA"/>
    <w:rsid w:val="0058723D"/>
    <w:rsid w:val="00590207"/>
    <w:rsid w:val="005916F0"/>
    <w:rsid w:val="00593A11"/>
    <w:rsid w:val="00593D65"/>
    <w:rsid w:val="00595A05"/>
    <w:rsid w:val="00597C2A"/>
    <w:rsid w:val="005A1601"/>
    <w:rsid w:val="005A3E35"/>
    <w:rsid w:val="005A5BB0"/>
    <w:rsid w:val="005A675C"/>
    <w:rsid w:val="005A68E6"/>
    <w:rsid w:val="005B33FC"/>
    <w:rsid w:val="005B5500"/>
    <w:rsid w:val="005C1972"/>
    <w:rsid w:val="005D31FD"/>
    <w:rsid w:val="005D40D2"/>
    <w:rsid w:val="005D4438"/>
    <w:rsid w:val="005D6672"/>
    <w:rsid w:val="005D6B48"/>
    <w:rsid w:val="005E25E1"/>
    <w:rsid w:val="005E2DC5"/>
    <w:rsid w:val="005E35CC"/>
    <w:rsid w:val="005E48A4"/>
    <w:rsid w:val="005E5C0C"/>
    <w:rsid w:val="005E683E"/>
    <w:rsid w:val="005E7653"/>
    <w:rsid w:val="005F461E"/>
    <w:rsid w:val="005F7C15"/>
    <w:rsid w:val="006004DB"/>
    <w:rsid w:val="00601AEF"/>
    <w:rsid w:val="00606F6E"/>
    <w:rsid w:val="006071E1"/>
    <w:rsid w:val="0061025B"/>
    <w:rsid w:val="00612577"/>
    <w:rsid w:val="00612CDF"/>
    <w:rsid w:val="00613670"/>
    <w:rsid w:val="00613E5D"/>
    <w:rsid w:val="00616192"/>
    <w:rsid w:val="00620E36"/>
    <w:rsid w:val="0062113E"/>
    <w:rsid w:val="00621A34"/>
    <w:rsid w:val="00621BA6"/>
    <w:rsid w:val="00622153"/>
    <w:rsid w:val="006235F3"/>
    <w:rsid w:val="00624C1A"/>
    <w:rsid w:val="00624CAC"/>
    <w:rsid w:val="00624F08"/>
    <w:rsid w:val="006265EB"/>
    <w:rsid w:val="00632BAF"/>
    <w:rsid w:val="00640E50"/>
    <w:rsid w:val="00641C36"/>
    <w:rsid w:val="0064461A"/>
    <w:rsid w:val="006476CB"/>
    <w:rsid w:val="00647760"/>
    <w:rsid w:val="006500F3"/>
    <w:rsid w:val="006502A4"/>
    <w:rsid w:val="0065185B"/>
    <w:rsid w:val="00651F2E"/>
    <w:rsid w:val="006542D7"/>
    <w:rsid w:val="006543ED"/>
    <w:rsid w:val="00654465"/>
    <w:rsid w:val="00654C46"/>
    <w:rsid w:val="00655438"/>
    <w:rsid w:val="006604AE"/>
    <w:rsid w:val="00661F8D"/>
    <w:rsid w:val="0066322C"/>
    <w:rsid w:val="00663FA4"/>
    <w:rsid w:val="00664670"/>
    <w:rsid w:val="0066793E"/>
    <w:rsid w:val="006703DD"/>
    <w:rsid w:val="006706BC"/>
    <w:rsid w:val="006711C6"/>
    <w:rsid w:val="00671D4E"/>
    <w:rsid w:val="00673560"/>
    <w:rsid w:val="00673DA8"/>
    <w:rsid w:val="00677035"/>
    <w:rsid w:val="00680458"/>
    <w:rsid w:val="006836EE"/>
    <w:rsid w:val="00685E03"/>
    <w:rsid w:val="00686F7A"/>
    <w:rsid w:val="006874F8"/>
    <w:rsid w:val="0069090E"/>
    <w:rsid w:val="00690F42"/>
    <w:rsid w:val="0069235F"/>
    <w:rsid w:val="006939BB"/>
    <w:rsid w:val="00694870"/>
    <w:rsid w:val="00694998"/>
    <w:rsid w:val="00694E2E"/>
    <w:rsid w:val="00695133"/>
    <w:rsid w:val="0069593C"/>
    <w:rsid w:val="00695A0B"/>
    <w:rsid w:val="006976E9"/>
    <w:rsid w:val="006A1BC9"/>
    <w:rsid w:val="006A1E2A"/>
    <w:rsid w:val="006A38D1"/>
    <w:rsid w:val="006A599C"/>
    <w:rsid w:val="006A6B23"/>
    <w:rsid w:val="006A6B89"/>
    <w:rsid w:val="006A7087"/>
    <w:rsid w:val="006A780E"/>
    <w:rsid w:val="006B0AED"/>
    <w:rsid w:val="006B1066"/>
    <w:rsid w:val="006B57DE"/>
    <w:rsid w:val="006B6809"/>
    <w:rsid w:val="006B6D3E"/>
    <w:rsid w:val="006B7533"/>
    <w:rsid w:val="006C2405"/>
    <w:rsid w:val="006C2C47"/>
    <w:rsid w:val="006C4378"/>
    <w:rsid w:val="006C4469"/>
    <w:rsid w:val="006C48EF"/>
    <w:rsid w:val="006C4F90"/>
    <w:rsid w:val="006C51B8"/>
    <w:rsid w:val="006D2CE0"/>
    <w:rsid w:val="006D677A"/>
    <w:rsid w:val="006D776C"/>
    <w:rsid w:val="006D7B26"/>
    <w:rsid w:val="006E0355"/>
    <w:rsid w:val="006E0E42"/>
    <w:rsid w:val="006E2885"/>
    <w:rsid w:val="006E2942"/>
    <w:rsid w:val="006E7B58"/>
    <w:rsid w:val="006F2894"/>
    <w:rsid w:val="006F2983"/>
    <w:rsid w:val="006F2B9F"/>
    <w:rsid w:val="006F2E95"/>
    <w:rsid w:val="006F3998"/>
    <w:rsid w:val="006F3BFB"/>
    <w:rsid w:val="006F4251"/>
    <w:rsid w:val="00701427"/>
    <w:rsid w:val="00701524"/>
    <w:rsid w:val="00701DF5"/>
    <w:rsid w:val="00703E23"/>
    <w:rsid w:val="007067DC"/>
    <w:rsid w:val="00707855"/>
    <w:rsid w:val="00707DDB"/>
    <w:rsid w:val="00711EA9"/>
    <w:rsid w:val="007127F3"/>
    <w:rsid w:val="00712B64"/>
    <w:rsid w:val="00713791"/>
    <w:rsid w:val="007161A1"/>
    <w:rsid w:val="0072090E"/>
    <w:rsid w:val="007221D4"/>
    <w:rsid w:val="00722819"/>
    <w:rsid w:val="00723FAF"/>
    <w:rsid w:val="00724F5F"/>
    <w:rsid w:val="00724FB4"/>
    <w:rsid w:val="00731C54"/>
    <w:rsid w:val="007405C9"/>
    <w:rsid w:val="007449F1"/>
    <w:rsid w:val="00744DC8"/>
    <w:rsid w:val="00745543"/>
    <w:rsid w:val="00746139"/>
    <w:rsid w:val="0075019A"/>
    <w:rsid w:val="0075188C"/>
    <w:rsid w:val="00753011"/>
    <w:rsid w:val="00754D6B"/>
    <w:rsid w:val="00756429"/>
    <w:rsid w:val="007578EE"/>
    <w:rsid w:val="00757F90"/>
    <w:rsid w:val="0076010A"/>
    <w:rsid w:val="0076059B"/>
    <w:rsid w:val="00760AD0"/>
    <w:rsid w:val="00761616"/>
    <w:rsid w:val="00761F36"/>
    <w:rsid w:val="00766E66"/>
    <w:rsid w:val="00770199"/>
    <w:rsid w:val="00771125"/>
    <w:rsid w:val="00771C8F"/>
    <w:rsid w:val="0077455C"/>
    <w:rsid w:val="00776110"/>
    <w:rsid w:val="0077676B"/>
    <w:rsid w:val="00776D82"/>
    <w:rsid w:val="0078111A"/>
    <w:rsid w:val="00781A33"/>
    <w:rsid w:val="007831DF"/>
    <w:rsid w:val="00790813"/>
    <w:rsid w:val="00790B1B"/>
    <w:rsid w:val="00794202"/>
    <w:rsid w:val="007942FF"/>
    <w:rsid w:val="00796688"/>
    <w:rsid w:val="00796841"/>
    <w:rsid w:val="007974EF"/>
    <w:rsid w:val="007A05C3"/>
    <w:rsid w:val="007A1C71"/>
    <w:rsid w:val="007A2C68"/>
    <w:rsid w:val="007A45DA"/>
    <w:rsid w:val="007A6312"/>
    <w:rsid w:val="007A797B"/>
    <w:rsid w:val="007A7AB8"/>
    <w:rsid w:val="007B0654"/>
    <w:rsid w:val="007B0C3E"/>
    <w:rsid w:val="007B266D"/>
    <w:rsid w:val="007B2840"/>
    <w:rsid w:val="007B3ACB"/>
    <w:rsid w:val="007B4542"/>
    <w:rsid w:val="007B4710"/>
    <w:rsid w:val="007B6462"/>
    <w:rsid w:val="007B673B"/>
    <w:rsid w:val="007B75D5"/>
    <w:rsid w:val="007C042B"/>
    <w:rsid w:val="007C06BA"/>
    <w:rsid w:val="007C2248"/>
    <w:rsid w:val="007C2D1F"/>
    <w:rsid w:val="007C59A3"/>
    <w:rsid w:val="007C59F0"/>
    <w:rsid w:val="007C5F39"/>
    <w:rsid w:val="007C5FC5"/>
    <w:rsid w:val="007C6F4F"/>
    <w:rsid w:val="007D0C77"/>
    <w:rsid w:val="007D46C4"/>
    <w:rsid w:val="007D514E"/>
    <w:rsid w:val="007D54F4"/>
    <w:rsid w:val="007D5784"/>
    <w:rsid w:val="007D636C"/>
    <w:rsid w:val="007E03C0"/>
    <w:rsid w:val="007E2144"/>
    <w:rsid w:val="007E35B1"/>
    <w:rsid w:val="007E7041"/>
    <w:rsid w:val="007E7139"/>
    <w:rsid w:val="007F26AD"/>
    <w:rsid w:val="007F2C3F"/>
    <w:rsid w:val="007F3794"/>
    <w:rsid w:val="007F40D8"/>
    <w:rsid w:val="007F5C27"/>
    <w:rsid w:val="007F624C"/>
    <w:rsid w:val="007F6344"/>
    <w:rsid w:val="00800555"/>
    <w:rsid w:val="0080057A"/>
    <w:rsid w:val="0080295A"/>
    <w:rsid w:val="00803996"/>
    <w:rsid w:val="0080499D"/>
    <w:rsid w:val="008067B3"/>
    <w:rsid w:val="0080721F"/>
    <w:rsid w:val="00812247"/>
    <w:rsid w:val="00812F03"/>
    <w:rsid w:val="008144E2"/>
    <w:rsid w:val="00816042"/>
    <w:rsid w:val="00816E4F"/>
    <w:rsid w:val="00820999"/>
    <w:rsid w:val="008209F9"/>
    <w:rsid w:val="00820E2A"/>
    <w:rsid w:val="00821AED"/>
    <w:rsid w:val="0082338E"/>
    <w:rsid w:val="0082441F"/>
    <w:rsid w:val="0082641A"/>
    <w:rsid w:val="0082650A"/>
    <w:rsid w:val="00827A64"/>
    <w:rsid w:val="0083011B"/>
    <w:rsid w:val="0083411F"/>
    <w:rsid w:val="008360B4"/>
    <w:rsid w:val="00840E56"/>
    <w:rsid w:val="008416B6"/>
    <w:rsid w:val="00842DBE"/>
    <w:rsid w:val="00842FE2"/>
    <w:rsid w:val="0084375A"/>
    <w:rsid w:val="0084445A"/>
    <w:rsid w:val="00845A0D"/>
    <w:rsid w:val="00846AC4"/>
    <w:rsid w:val="00851BBC"/>
    <w:rsid w:val="00851DD6"/>
    <w:rsid w:val="00852250"/>
    <w:rsid w:val="008553C5"/>
    <w:rsid w:val="0085660F"/>
    <w:rsid w:val="00856973"/>
    <w:rsid w:val="00857D67"/>
    <w:rsid w:val="0086165E"/>
    <w:rsid w:val="00863CA6"/>
    <w:rsid w:val="00864AFA"/>
    <w:rsid w:val="00864FB1"/>
    <w:rsid w:val="00864FE1"/>
    <w:rsid w:val="0086574D"/>
    <w:rsid w:val="00872A95"/>
    <w:rsid w:val="00872F1E"/>
    <w:rsid w:val="00873C0B"/>
    <w:rsid w:val="00873E81"/>
    <w:rsid w:val="008750DD"/>
    <w:rsid w:val="0087688E"/>
    <w:rsid w:val="00880D3B"/>
    <w:rsid w:val="00882942"/>
    <w:rsid w:val="00884E3D"/>
    <w:rsid w:val="00885740"/>
    <w:rsid w:val="00886089"/>
    <w:rsid w:val="00887925"/>
    <w:rsid w:val="008918DD"/>
    <w:rsid w:val="008927A8"/>
    <w:rsid w:val="00892F3F"/>
    <w:rsid w:val="0089338E"/>
    <w:rsid w:val="00893BC5"/>
    <w:rsid w:val="00894A1D"/>
    <w:rsid w:val="00897F54"/>
    <w:rsid w:val="008A0346"/>
    <w:rsid w:val="008A06CB"/>
    <w:rsid w:val="008A0782"/>
    <w:rsid w:val="008A27AF"/>
    <w:rsid w:val="008A29FB"/>
    <w:rsid w:val="008A32A5"/>
    <w:rsid w:val="008A37D9"/>
    <w:rsid w:val="008A392E"/>
    <w:rsid w:val="008A39AC"/>
    <w:rsid w:val="008A6A0D"/>
    <w:rsid w:val="008A7F1B"/>
    <w:rsid w:val="008A7FF7"/>
    <w:rsid w:val="008B1ABE"/>
    <w:rsid w:val="008B22C4"/>
    <w:rsid w:val="008B2BE3"/>
    <w:rsid w:val="008B30ED"/>
    <w:rsid w:val="008B4E15"/>
    <w:rsid w:val="008B4F73"/>
    <w:rsid w:val="008C0E69"/>
    <w:rsid w:val="008C4AD2"/>
    <w:rsid w:val="008C57C9"/>
    <w:rsid w:val="008C738E"/>
    <w:rsid w:val="008D28EC"/>
    <w:rsid w:val="008D601F"/>
    <w:rsid w:val="008D690E"/>
    <w:rsid w:val="008D6F24"/>
    <w:rsid w:val="008E00F7"/>
    <w:rsid w:val="008E6CA4"/>
    <w:rsid w:val="008E6EA7"/>
    <w:rsid w:val="008F0670"/>
    <w:rsid w:val="008F0BBF"/>
    <w:rsid w:val="008F1F72"/>
    <w:rsid w:val="008F38CC"/>
    <w:rsid w:val="008F4CD4"/>
    <w:rsid w:val="008F51F4"/>
    <w:rsid w:val="009032B6"/>
    <w:rsid w:val="00906A94"/>
    <w:rsid w:val="00910D63"/>
    <w:rsid w:val="00910F48"/>
    <w:rsid w:val="00913FFC"/>
    <w:rsid w:val="0091620B"/>
    <w:rsid w:val="0091757F"/>
    <w:rsid w:val="009218AA"/>
    <w:rsid w:val="009243E2"/>
    <w:rsid w:val="00924638"/>
    <w:rsid w:val="0092515A"/>
    <w:rsid w:val="00930C3D"/>
    <w:rsid w:val="009310B6"/>
    <w:rsid w:val="009312AB"/>
    <w:rsid w:val="009313F0"/>
    <w:rsid w:val="00932F3F"/>
    <w:rsid w:val="0093408C"/>
    <w:rsid w:val="00935464"/>
    <w:rsid w:val="00940B5D"/>
    <w:rsid w:val="00943530"/>
    <w:rsid w:val="00944D05"/>
    <w:rsid w:val="00945490"/>
    <w:rsid w:val="009460CD"/>
    <w:rsid w:val="00947BE2"/>
    <w:rsid w:val="0095011F"/>
    <w:rsid w:val="009523DF"/>
    <w:rsid w:val="00952893"/>
    <w:rsid w:val="00955D9F"/>
    <w:rsid w:val="00955E81"/>
    <w:rsid w:val="00956384"/>
    <w:rsid w:val="009611BD"/>
    <w:rsid w:val="00961F9A"/>
    <w:rsid w:val="00962316"/>
    <w:rsid w:val="0096266B"/>
    <w:rsid w:val="00962822"/>
    <w:rsid w:val="00963351"/>
    <w:rsid w:val="00964DA2"/>
    <w:rsid w:val="00966BE9"/>
    <w:rsid w:val="0096772C"/>
    <w:rsid w:val="009702C0"/>
    <w:rsid w:val="009737EC"/>
    <w:rsid w:val="00974894"/>
    <w:rsid w:val="00977FF4"/>
    <w:rsid w:val="00980FFC"/>
    <w:rsid w:val="0098214E"/>
    <w:rsid w:val="009830B0"/>
    <w:rsid w:val="0098669D"/>
    <w:rsid w:val="00990149"/>
    <w:rsid w:val="00991E7C"/>
    <w:rsid w:val="00993606"/>
    <w:rsid w:val="00993AEF"/>
    <w:rsid w:val="00994447"/>
    <w:rsid w:val="00994CC1"/>
    <w:rsid w:val="00995F95"/>
    <w:rsid w:val="0099661A"/>
    <w:rsid w:val="0099699B"/>
    <w:rsid w:val="0099781D"/>
    <w:rsid w:val="009A1664"/>
    <w:rsid w:val="009A1727"/>
    <w:rsid w:val="009A18A5"/>
    <w:rsid w:val="009A388B"/>
    <w:rsid w:val="009A51DA"/>
    <w:rsid w:val="009A5DF9"/>
    <w:rsid w:val="009A7AC5"/>
    <w:rsid w:val="009B0400"/>
    <w:rsid w:val="009B21CE"/>
    <w:rsid w:val="009B5895"/>
    <w:rsid w:val="009B7CC5"/>
    <w:rsid w:val="009C04CA"/>
    <w:rsid w:val="009C0BBB"/>
    <w:rsid w:val="009C2ED6"/>
    <w:rsid w:val="009C3FC2"/>
    <w:rsid w:val="009C4D93"/>
    <w:rsid w:val="009C788C"/>
    <w:rsid w:val="009D09FE"/>
    <w:rsid w:val="009D2F02"/>
    <w:rsid w:val="009D4E83"/>
    <w:rsid w:val="009D511C"/>
    <w:rsid w:val="009E01E6"/>
    <w:rsid w:val="009E0819"/>
    <w:rsid w:val="009E0C0A"/>
    <w:rsid w:val="009E1A1C"/>
    <w:rsid w:val="009E1DEC"/>
    <w:rsid w:val="009E2849"/>
    <w:rsid w:val="009E2FB8"/>
    <w:rsid w:val="009E38B9"/>
    <w:rsid w:val="009E500F"/>
    <w:rsid w:val="009E68FA"/>
    <w:rsid w:val="009F1285"/>
    <w:rsid w:val="009F1EFA"/>
    <w:rsid w:val="009F2CFB"/>
    <w:rsid w:val="009F306E"/>
    <w:rsid w:val="009F35A0"/>
    <w:rsid w:val="009F457C"/>
    <w:rsid w:val="009F457E"/>
    <w:rsid w:val="009F67EB"/>
    <w:rsid w:val="00A00399"/>
    <w:rsid w:val="00A00B7E"/>
    <w:rsid w:val="00A00D13"/>
    <w:rsid w:val="00A01493"/>
    <w:rsid w:val="00A01CE4"/>
    <w:rsid w:val="00A02B6B"/>
    <w:rsid w:val="00A04665"/>
    <w:rsid w:val="00A04F66"/>
    <w:rsid w:val="00A06991"/>
    <w:rsid w:val="00A07975"/>
    <w:rsid w:val="00A07CA6"/>
    <w:rsid w:val="00A07FB5"/>
    <w:rsid w:val="00A11275"/>
    <w:rsid w:val="00A11F1C"/>
    <w:rsid w:val="00A16178"/>
    <w:rsid w:val="00A17C07"/>
    <w:rsid w:val="00A17DC3"/>
    <w:rsid w:val="00A2135A"/>
    <w:rsid w:val="00A3159A"/>
    <w:rsid w:val="00A33B0F"/>
    <w:rsid w:val="00A4031B"/>
    <w:rsid w:val="00A439FF"/>
    <w:rsid w:val="00A44B4C"/>
    <w:rsid w:val="00A45CCA"/>
    <w:rsid w:val="00A47E29"/>
    <w:rsid w:val="00A501C5"/>
    <w:rsid w:val="00A51D09"/>
    <w:rsid w:val="00A5452B"/>
    <w:rsid w:val="00A5460B"/>
    <w:rsid w:val="00A54DAD"/>
    <w:rsid w:val="00A55B3B"/>
    <w:rsid w:val="00A567E8"/>
    <w:rsid w:val="00A56B08"/>
    <w:rsid w:val="00A57192"/>
    <w:rsid w:val="00A60DED"/>
    <w:rsid w:val="00A60E5C"/>
    <w:rsid w:val="00A64A0B"/>
    <w:rsid w:val="00A65102"/>
    <w:rsid w:val="00A657C3"/>
    <w:rsid w:val="00A663BA"/>
    <w:rsid w:val="00A66EB0"/>
    <w:rsid w:val="00A73121"/>
    <w:rsid w:val="00A75975"/>
    <w:rsid w:val="00A767E2"/>
    <w:rsid w:val="00A8095C"/>
    <w:rsid w:val="00A80E56"/>
    <w:rsid w:val="00A815DB"/>
    <w:rsid w:val="00A816F3"/>
    <w:rsid w:val="00A81F10"/>
    <w:rsid w:val="00A81FC8"/>
    <w:rsid w:val="00A8234D"/>
    <w:rsid w:val="00A851CA"/>
    <w:rsid w:val="00A91AC5"/>
    <w:rsid w:val="00A93C05"/>
    <w:rsid w:val="00A9443B"/>
    <w:rsid w:val="00A94763"/>
    <w:rsid w:val="00A94EDB"/>
    <w:rsid w:val="00A95D05"/>
    <w:rsid w:val="00AA07A9"/>
    <w:rsid w:val="00AA32CF"/>
    <w:rsid w:val="00AA4DC4"/>
    <w:rsid w:val="00AA5188"/>
    <w:rsid w:val="00AA5912"/>
    <w:rsid w:val="00AA69D3"/>
    <w:rsid w:val="00AA7E2C"/>
    <w:rsid w:val="00AA7FE3"/>
    <w:rsid w:val="00AB03D2"/>
    <w:rsid w:val="00AB2C17"/>
    <w:rsid w:val="00AB6111"/>
    <w:rsid w:val="00AC51E4"/>
    <w:rsid w:val="00AD3628"/>
    <w:rsid w:val="00AD5028"/>
    <w:rsid w:val="00AE0AE9"/>
    <w:rsid w:val="00AE2428"/>
    <w:rsid w:val="00AE2506"/>
    <w:rsid w:val="00AE4AC7"/>
    <w:rsid w:val="00AE4E48"/>
    <w:rsid w:val="00AE53D6"/>
    <w:rsid w:val="00AE59E0"/>
    <w:rsid w:val="00AE6549"/>
    <w:rsid w:val="00AE6DC2"/>
    <w:rsid w:val="00AE7893"/>
    <w:rsid w:val="00AF2FFC"/>
    <w:rsid w:val="00AF351A"/>
    <w:rsid w:val="00AF7805"/>
    <w:rsid w:val="00B01C8D"/>
    <w:rsid w:val="00B026F1"/>
    <w:rsid w:val="00B07669"/>
    <w:rsid w:val="00B07898"/>
    <w:rsid w:val="00B1090B"/>
    <w:rsid w:val="00B122A4"/>
    <w:rsid w:val="00B157DB"/>
    <w:rsid w:val="00B157E2"/>
    <w:rsid w:val="00B15E2C"/>
    <w:rsid w:val="00B21AFD"/>
    <w:rsid w:val="00B21EB2"/>
    <w:rsid w:val="00B23221"/>
    <w:rsid w:val="00B24345"/>
    <w:rsid w:val="00B260C1"/>
    <w:rsid w:val="00B30432"/>
    <w:rsid w:val="00B30DAB"/>
    <w:rsid w:val="00B315B1"/>
    <w:rsid w:val="00B35CE8"/>
    <w:rsid w:val="00B37DE4"/>
    <w:rsid w:val="00B37DFF"/>
    <w:rsid w:val="00B41936"/>
    <w:rsid w:val="00B4387F"/>
    <w:rsid w:val="00B45575"/>
    <w:rsid w:val="00B4784C"/>
    <w:rsid w:val="00B509D1"/>
    <w:rsid w:val="00B50CBE"/>
    <w:rsid w:val="00B539C2"/>
    <w:rsid w:val="00B60DDE"/>
    <w:rsid w:val="00B63E25"/>
    <w:rsid w:val="00B64AA9"/>
    <w:rsid w:val="00B65404"/>
    <w:rsid w:val="00B66032"/>
    <w:rsid w:val="00B66BDF"/>
    <w:rsid w:val="00B7645B"/>
    <w:rsid w:val="00B77868"/>
    <w:rsid w:val="00B8040F"/>
    <w:rsid w:val="00B83D0B"/>
    <w:rsid w:val="00B83F9F"/>
    <w:rsid w:val="00B8468E"/>
    <w:rsid w:val="00B87D6D"/>
    <w:rsid w:val="00B91499"/>
    <w:rsid w:val="00B919AE"/>
    <w:rsid w:val="00B91F36"/>
    <w:rsid w:val="00B9239F"/>
    <w:rsid w:val="00B9416F"/>
    <w:rsid w:val="00BA04B8"/>
    <w:rsid w:val="00BA3617"/>
    <w:rsid w:val="00BA4049"/>
    <w:rsid w:val="00BA47FA"/>
    <w:rsid w:val="00BA629D"/>
    <w:rsid w:val="00BB0C15"/>
    <w:rsid w:val="00BB2B1D"/>
    <w:rsid w:val="00BB2CFE"/>
    <w:rsid w:val="00BB394D"/>
    <w:rsid w:val="00BB56E1"/>
    <w:rsid w:val="00BB6296"/>
    <w:rsid w:val="00BB6D0D"/>
    <w:rsid w:val="00BB7CC5"/>
    <w:rsid w:val="00BC1756"/>
    <w:rsid w:val="00BC1E3D"/>
    <w:rsid w:val="00BC2C6D"/>
    <w:rsid w:val="00BC4767"/>
    <w:rsid w:val="00BC7D0F"/>
    <w:rsid w:val="00BD0B6D"/>
    <w:rsid w:val="00BD12CC"/>
    <w:rsid w:val="00BD1D60"/>
    <w:rsid w:val="00BD1DFA"/>
    <w:rsid w:val="00BD3B1B"/>
    <w:rsid w:val="00BD4B4C"/>
    <w:rsid w:val="00BD5C8C"/>
    <w:rsid w:val="00BE059F"/>
    <w:rsid w:val="00BE0A01"/>
    <w:rsid w:val="00BE1458"/>
    <w:rsid w:val="00BE1EB9"/>
    <w:rsid w:val="00BE53AE"/>
    <w:rsid w:val="00BE5904"/>
    <w:rsid w:val="00BE5B5C"/>
    <w:rsid w:val="00BF3815"/>
    <w:rsid w:val="00BF3CEB"/>
    <w:rsid w:val="00BF5923"/>
    <w:rsid w:val="00BF65BE"/>
    <w:rsid w:val="00BF67C1"/>
    <w:rsid w:val="00C002E3"/>
    <w:rsid w:val="00C0115D"/>
    <w:rsid w:val="00C0212B"/>
    <w:rsid w:val="00C06AF9"/>
    <w:rsid w:val="00C06DC2"/>
    <w:rsid w:val="00C10975"/>
    <w:rsid w:val="00C117E9"/>
    <w:rsid w:val="00C119A9"/>
    <w:rsid w:val="00C12402"/>
    <w:rsid w:val="00C13905"/>
    <w:rsid w:val="00C14918"/>
    <w:rsid w:val="00C1650B"/>
    <w:rsid w:val="00C174F3"/>
    <w:rsid w:val="00C202D3"/>
    <w:rsid w:val="00C221F8"/>
    <w:rsid w:val="00C239C5"/>
    <w:rsid w:val="00C25887"/>
    <w:rsid w:val="00C25CD4"/>
    <w:rsid w:val="00C27A95"/>
    <w:rsid w:val="00C3393E"/>
    <w:rsid w:val="00C342FD"/>
    <w:rsid w:val="00C364A7"/>
    <w:rsid w:val="00C37A35"/>
    <w:rsid w:val="00C37B75"/>
    <w:rsid w:val="00C410DD"/>
    <w:rsid w:val="00C41D5B"/>
    <w:rsid w:val="00C43053"/>
    <w:rsid w:val="00C44CEC"/>
    <w:rsid w:val="00C51807"/>
    <w:rsid w:val="00C56C2D"/>
    <w:rsid w:val="00C56F80"/>
    <w:rsid w:val="00C57734"/>
    <w:rsid w:val="00C57D38"/>
    <w:rsid w:val="00C60457"/>
    <w:rsid w:val="00C60909"/>
    <w:rsid w:val="00C616C2"/>
    <w:rsid w:val="00C620B9"/>
    <w:rsid w:val="00C67FE4"/>
    <w:rsid w:val="00C727EA"/>
    <w:rsid w:val="00C73217"/>
    <w:rsid w:val="00C738C8"/>
    <w:rsid w:val="00C746CD"/>
    <w:rsid w:val="00C74DE3"/>
    <w:rsid w:val="00C7503B"/>
    <w:rsid w:val="00C76BE3"/>
    <w:rsid w:val="00C81690"/>
    <w:rsid w:val="00C81E1D"/>
    <w:rsid w:val="00C83AEA"/>
    <w:rsid w:val="00C84457"/>
    <w:rsid w:val="00C8559D"/>
    <w:rsid w:val="00C9008F"/>
    <w:rsid w:val="00C91AD3"/>
    <w:rsid w:val="00C91CA4"/>
    <w:rsid w:val="00C91F44"/>
    <w:rsid w:val="00C93169"/>
    <w:rsid w:val="00C9550A"/>
    <w:rsid w:val="00CA1D75"/>
    <w:rsid w:val="00CA1DF9"/>
    <w:rsid w:val="00CA60C0"/>
    <w:rsid w:val="00CB1001"/>
    <w:rsid w:val="00CB14CC"/>
    <w:rsid w:val="00CB3FB7"/>
    <w:rsid w:val="00CB687D"/>
    <w:rsid w:val="00CC03FD"/>
    <w:rsid w:val="00CC265F"/>
    <w:rsid w:val="00CC44EE"/>
    <w:rsid w:val="00CC5101"/>
    <w:rsid w:val="00CC5AFE"/>
    <w:rsid w:val="00CC5D46"/>
    <w:rsid w:val="00CC638A"/>
    <w:rsid w:val="00CC7365"/>
    <w:rsid w:val="00CC7786"/>
    <w:rsid w:val="00CD1F92"/>
    <w:rsid w:val="00CD27D7"/>
    <w:rsid w:val="00CD3193"/>
    <w:rsid w:val="00CD68A9"/>
    <w:rsid w:val="00CD6AB7"/>
    <w:rsid w:val="00CE19D2"/>
    <w:rsid w:val="00CE25CA"/>
    <w:rsid w:val="00CE5FD4"/>
    <w:rsid w:val="00CE79F1"/>
    <w:rsid w:val="00CF06F4"/>
    <w:rsid w:val="00CF1102"/>
    <w:rsid w:val="00CF326B"/>
    <w:rsid w:val="00CF496F"/>
    <w:rsid w:val="00CF4DA3"/>
    <w:rsid w:val="00CF61B3"/>
    <w:rsid w:val="00CF7DF9"/>
    <w:rsid w:val="00D00869"/>
    <w:rsid w:val="00D01A9B"/>
    <w:rsid w:val="00D02C9F"/>
    <w:rsid w:val="00D076DD"/>
    <w:rsid w:val="00D1032C"/>
    <w:rsid w:val="00D104E2"/>
    <w:rsid w:val="00D10D16"/>
    <w:rsid w:val="00D1291B"/>
    <w:rsid w:val="00D144FD"/>
    <w:rsid w:val="00D16B72"/>
    <w:rsid w:val="00D16F38"/>
    <w:rsid w:val="00D2320F"/>
    <w:rsid w:val="00D26569"/>
    <w:rsid w:val="00D30297"/>
    <w:rsid w:val="00D307B1"/>
    <w:rsid w:val="00D317CC"/>
    <w:rsid w:val="00D331FE"/>
    <w:rsid w:val="00D35A5C"/>
    <w:rsid w:val="00D379A1"/>
    <w:rsid w:val="00D42E9A"/>
    <w:rsid w:val="00D42F8D"/>
    <w:rsid w:val="00D4364D"/>
    <w:rsid w:val="00D51D4C"/>
    <w:rsid w:val="00D53AF3"/>
    <w:rsid w:val="00D565A1"/>
    <w:rsid w:val="00D57CF7"/>
    <w:rsid w:val="00D63433"/>
    <w:rsid w:val="00D63A61"/>
    <w:rsid w:val="00D63E68"/>
    <w:rsid w:val="00D66C66"/>
    <w:rsid w:val="00D71483"/>
    <w:rsid w:val="00D7182E"/>
    <w:rsid w:val="00D719BE"/>
    <w:rsid w:val="00D73954"/>
    <w:rsid w:val="00D75FA9"/>
    <w:rsid w:val="00D770D2"/>
    <w:rsid w:val="00D81041"/>
    <w:rsid w:val="00D838EF"/>
    <w:rsid w:val="00D87607"/>
    <w:rsid w:val="00D87DB5"/>
    <w:rsid w:val="00D902B9"/>
    <w:rsid w:val="00D93293"/>
    <w:rsid w:val="00D95F59"/>
    <w:rsid w:val="00DA24C2"/>
    <w:rsid w:val="00DA26B4"/>
    <w:rsid w:val="00DA2C36"/>
    <w:rsid w:val="00DA62A9"/>
    <w:rsid w:val="00DB27AC"/>
    <w:rsid w:val="00DB283C"/>
    <w:rsid w:val="00DB4F5E"/>
    <w:rsid w:val="00DB6E4F"/>
    <w:rsid w:val="00DB7631"/>
    <w:rsid w:val="00DC15D1"/>
    <w:rsid w:val="00DD00A8"/>
    <w:rsid w:val="00DD18A5"/>
    <w:rsid w:val="00DD29D1"/>
    <w:rsid w:val="00DD3B2C"/>
    <w:rsid w:val="00DD4176"/>
    <w:rsid w:val="00DD4B85"/>
    <w:rsid w:val="00DE1D92"/>
    <w:rsid w:val="00DE260F"/>
    <w:rsid w:val="00DE2DD3"/>
    <w:rsid w:val="00DE32BD"/>
    <w:rsid w:val="00DE42BA"/>
    <w:rsid w:val="00DE4ADD"/>
    <w:rsid w:val="00DE4C0F"/>
    <w:rsid w:val="00DE66FD"/>
    <w:rsid w:val="00DF054E"/>
    <w:rsid w:val="00DF15DA"/>
    <w:rsid w:val="00DF2AB2"/>
    <w:rsid w:val="00DF2FFD"/>
    <w:rsid w:val="00DF7FA4"/>
    <w:rsid w:val="00E00DD8"/>
    <w:rsid w:val="00E01DA4"/>
    <w:rsid w:val="00E02157"/>
    <w:rsid w:val="00E03E3F"/>
    <w:rsid w:val="00E04CAC"/>
    <w:rsid w:val="00E05B32"/>
    <w:rsid w:val="00E07831"/>
    <w:rsid w:val="00E10617"/>
    <w:rsid w:val="00E13CC8"/>
    <w:rsid w:val="00E140B0"/>
    <w:rsid w:val="00E14148"/>
    <w:rsid w:val="00E16C67"/>
    <w:rsid w:val="00E176DE"/>
    <w:rsid w:val="00E17F02"/>
    <w:rsid w:val="00E216C9"/>
    <w:rsid w:val="00E23DDB"/>
    <w:rsid w:val="00E24E83"/>
    <w:rsid w:val="00E27A18"/>
    <w:rsid w:val="00E27AFA"/>
    <w:rsid w:val="00E30966"/>
    <w:rsid w:val="00E33D84"/>
    <w:rsid w:val="00E36342"/>
    <w:rsid w:val="00E367D0"/>
    <w:rsid w:val="00E36ECC"/>
    <w:rsid w:val="00E3731D"/>
    <w:rsid w:val="00E4130A"/>
    <w:rsid w:val="00E415ED"/>
    <w:rsid w:val="00E42604"/>
    <w:rsid w:val="00E455A1"/>
    <w:rsid w:val="00E45882"/>
    <w:rsid w:val="00E4633F"/>
    <w:rsid w:val="00E47ADE"/>
    <w:rsid w:val="00E5120A"/>
    <w:rsid w:val="00E513EF"/>
    <w:rsid w:val="00E51C26"/>
    <w:rsid w:val="00E51CD8"/>
    <w:rsid w:val="00E54E94"/>
    <w:rsid w:val="00E56F21"/>
    <w:rsid w:val="00E60FAF"/>
    <w:rsid w:val="00E616BB"/>
    <w:rsid w:val="00E61B94"/>
    <w:rsid w:val="00E6345F"/>
    <w:rsid w:val="00E64F86"/>
    <w:rsid w:val="00E65D2E"/>
    <w:rsid w:val="00E74146"/>
    <w:rsid w:val="00E74F78"/>
    <w:rsid w:val="00E75672"/>
    <w:rsid w:val="00E762FB"/>
    <w:rsid w:val="00E81E5D"/>
    <w:rsid w:val="00E82807"/>
    <w:rsid w:val="00E82EE1"/>
    <w:rsid w:val="00E84590"/>
    <w:rsid w:val="00E87805"/>
    <w:rsid w:val="00E90B5B"/>
    <w:rsid w:val="00E90ED7"/>
    <w:rsid w:val="00E95C55"/>
    <w:rsid w:val="00E96259"/>
    <w:rsid w:val="00E96B14"/>
    <w:rsid w:val="00E975B3"/>
    <w:rsid w:val="00E97DEF"/>
    <w:rsid w:val="00EA1319"/>
    <w:rsid w:val="00EA261B"/>
    <w:rsid w:val="00EA60E9"/>
    <w:rsid w:val="00EB2298"/>
    <w:rsid w:val="00EB4377"/>
    <w:rsid w:val="00EB4A0D"/>
    <w:rsid w:val="00EB4C54"/>
    <w:rsid w:val="00EB55FB"/>
    <w:rsid w:val="00EB58C5"/>
    <w:rsid w:val="00EC0314"/>
    <w:rsid w:val="00EC3DF3"/>
    <w:rsid w:val="00EC50E7"/>
    <w:rsid w:val="00EC5350"/>
    <w:rsid w:val="00EC635E"/>
    <w:rsid w:val="00EC63CE"/>
    <w:rsid w:val="00EC6846"/>
    <w:rsid w:val="00ED052F"/>
    <w:rsid w:val="00ED37D7"/>
    <w:rsid w:val="00ED6CC7"/>
    <w:rsid w:val="00EE28C2"/>
    <w:rsid w:val="00EE571D"/>
    <w:rsid w:val="00EE5C00"/>
    <w:rsid w:val="00EE7886"/>
    <w:rsid w:val="00EF1192"/>
    <w:rsid w:val="00EF1A07"/>
    <w:rsid w:val="00EF2AF9"/>
    <w:rsid w:val="00F0308D"/>
    <w:rsid w:val="00F059B2"/>
    <w:rsid w:val="00F05ADE"/>
    <w:rsid w:val="00F061C2"/>
    <w:rsid w:val="00F069AD"/>
    <w:rsid w:val="00F1034C"/>
    <w:rsid w:val="00F10D0A"/>
    <w:rsid w:val="00F1185A"/>
    <w:rsid w:val="00F12B15"/>
    <w:rsid w:val="00F13E8F"/>
    <w:rsid w:val="00F14007"/>
    <w:rsid w:val="00F1565C"/>
    <w:rsid w:val="00F201CC"/>
    <w:rsid w:val="00F20ECB"/>
    <w:rsid w:val="00F22826"/>
    <w:rsid w:val="00F24E15"/>
    <w:rsid w:val="00F25E3D"/>
    <w:rsid w:val="00F30DA9"/>
    <w:rsid w:val="00F31519"/>
    <w:rsid w:val="00F44FCB"/>
    <w:rsid w:val="00F4561D"/>
    <w:rsid w:val="00F50449"/>
    <w:rsid w:val="00F52375"/>
    <w:rsid w:val="00F53D02"/>
    <w:rsid w:val="00F544DC"/>
    <w:rsid w:val="00F55648"/>
    <w:rsid w:val="00F57065"/>
    <w:rsid w:val="00F602FC"/>
    <w:rsid w:val="00F62C05"/>
    <w:rsid w:val="00F64C9F"/>
    <w:rsid w:val="00F65B3C"/>
    <w:rsid w:val="00F65F18"/>
    <w:rsid w:val="00F66818"/>
    <w:rsid w:val="00F67968"/>
    <w:rsid w:val="00F70943"/>
    <w:rsid w:val="00F72745"/>
    <w:rsid w:val="00F7612F"/>
    <w:rsid w:val="00F767E6"/>
    <w:rsid w:val="00F76F97"/>
    <w:rsid w:val="00F775E0"/>
    <w:rsid w:val="00F8286B"/>
    <w:rsid w:val="00F84E8D"/>
    <w:rsid w:val="00F85804"/>
    <w:rsid w:val="00F92350"/>
    <w:rsid w:val="00F942B8"/>
    <w:rsid w:val="00F9568B"/>
    <w:rsid w:val="00F958B9"/>
    <w:rsid w:val="00FA0149"/>
    <w:rsid w:val="00FA284B"/>
    <w:rsid w:val="00FA48D5"/>
    <w:rsid w:val="00FA5751"/>
    <w:rsid w:val="00FA5DC9"/>
    <w:rsid w:val="00FA63CB"/>
    <w:rsid w:val="00FB0BCA"/>
    <w:rsid w:val="00FB1BF4"/>
    <w:rsid w:val="00FB2DEA"/>
    <w:rsid w:val="00FB46FC"/>
    <w:rsid w:val="00FB494A"/>
    <w:rsid w:val="00FB5BD4"/>
    <w:rsid w:val="00FC001B"/>
    <w:rsid w:val="00FC0EFF"/>
    <w:rsid w:val="00FC3050"/>
    <w:rsid w:val="00FC7BF1"/>
    <w:rsid w:val="00FD1157"/>
    <w:rsid w:val="00FD18AC"/>
    <w:rsid w:val="00FD3543"/>
    <w:rsid w:val="00FD3AAA"/>
    <w:rsid w:val="00FD432A"/>
    <w:rsid w:val="00FD4C17"/>
    <w:rsid w:val="00FD5C3C"/>
    <w:rsid w:val="00FD6203"/>
    <w:rsid w:val="00FE0EB0"/>
    <w:rsid w:val="00FE40C6"/>
    <w:rsid w:val="00FE5B4A"/>
    <w:rsid w:val="00FE6097"/>
    <w:rsid w:val="00FF04B9"/>
    <w:rsid w:val="00FF263E"/>
    <w:rsid w:val="00FF4CFA"/>
    <w:rsid w:val="00FF6FF6"/>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032DAE"/>
  <w15:chartTrackingRefBased/>
  <w15:docId w15:val="{B2B9ED92-FE93-4A7E-BBEF-81EEECBB4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D3E"/>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val="en-GB"/>
      <w14:ligatures w14:val="none"/>
    </w:rPr>
  </w:style>
  <w:style w:type="paragraph" w:styleId="Heading1">
    <w:name w:val="heading 1"/>
    <w:basedOn w:val="Normal"/>
    <w:next w:val="Heading2"/>
    <w:link w:val="Heading1Char"/>
    <w:uiPriority w:val="9"/>
    <w:qFormat/>
    <w:rsid w:val="006B6D3E"/>
    <w:pPr>
      <w:keepNext/>
      <w:keepLines/>
      <w:numPr>
        <w:numId w:val="8"/>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6B6D3E"/>
    <w:pPr>
      <w:keepNext/>
      <w:keepLines/>
      <w:numPr>
        <w:ilvl w:val="1"/>
        <w:numId w:val="8"/>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6B6D3E"/>
    <w:pPr>
      <w:keepNext/>
      <w:keepLines/>
      <w:numPr>
        <w:ilvl w:val="2"/>
        <w:numId w:val="8"/>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6B6D3E"/>
    <w:pPr>
      <w:keepNext/>
      <w:numPr>
        <w:ilvl w:val="3"/>
        <w:numId w:val="8"/>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6B6D3E"/>
    <w:pPr>
      <w:keepNext/>
      <w:numPr>
        <w:ilvl w:val="4"/>
        <w:numId w:val="8"/>
      </w:numPr>
      <w:spacing w:before="120" w:after="120"/>
      <w:jc w:val="left"/>
      <w:outlineLvl w:val="4"/>
    </w:pPr>
    <w:rPr>
      <w:rFonts w:eastAsiaTheme="majorEastAsia"/>
      <w:i/>
      <w:iCs/>
    </w:rPr>
  </w:style>
  <w:style w:type="paragraph" w:styleId="Heading6">
    <w:name w:val="heading 6"/>
    <w:basedOn w:val="Normal"/>
    <w:next w:val="Normal"/>
    <w:link w:val="Heading6Char"/>
    <w:semiHidden/>
    <w:rsid w:val="006B6D3E"/>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6B6D3E"/>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6B6D3E"/>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6B6D3E"/>
    <w:pPr>
      <w:keepNext/>
      <w:widowControl w:val="0"/>
      <w:numPr>
        <w:ilvl w:val="8"/>
        <w:numId w:val="1"/>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D3E"/>
    <w:rPr>
      <w:rFonts w:ascii="Times New Roman" w:eastAsiaTheme="majorEastAsia" w:hAnsi="Times New Roman" w:cstheme="majorBidi"/>
      <w:b/>
      <w:bCs/>
      <w:sz w:val="28"/>
      <w:szCs w:val="32"/>
      <w:lang w:val="en-GB"/>
    </w:rPr>
  </w:style>
  <w:style w:type="character" w:customStyle="1" w:styleId="Heading2Char">
    <w:name w:val="Heading 2 Char"/>
    <w:basedOn w:val="DefaultParagraphFont"/>
    <w:link w:val="Heading2"/>
    <w:uiPriority w:val="9"/>
    <w:rsid w:val="006B6D3E"/>
    <w:rPr>
      <w:rFonts w:ascii="Times New Roman Bold" w:eastAsiaTheme="majorEastAsia" w:hAnsi="Times New Roman Bold" w:cstheme="majorBidi"/>
      <w:b/>
      <w:kern w:val="0"/>
      <w:szCs w:val="26"/>
      <w:lang w:val="en-GB"/>
      <w14:ligatures w14:val="none"/>
    </w:rPr>
  </w:style>
  <w:style w:type="character" w:customStyle="1" w:styleId="Heading3Char">
    <w:name w:val="Heading 3 Char"/>
    <w:basedOn w:val="DefaultParagraphFont"/>
    <w:link w:val="Heading3"/>
    <w:uiPriority w:val="9"/>
    <w:rsid w:val="006B6D3E"/>
    <w:rPr>
      <w:rFonts w:ascii="Times New Roman" w:eastAsiaTheme="majorEastAsia" w:hAnsi="Times New Roman" w:cs="Times New Roman"/>
      <w:b/>
      <w:bCs/>
      <w:kern w:val="0"/>
      <w:sz w:val="22"/>
      <w:szCs w:val="22"/>
      <w:lang w:val="en-GB"/>
      <w14:ligatures w14:val="none"/>
    </w:rPr>
  </w:style>
  <w:style w:type="character" w:customStyle="1" w:styleId="Heading4Char">
    <w:name w:val="Heading 4 Char"/>
    <w:basedOn w:val="DefaultParagraphFont"/>
    <w:link w:val="Heading4"/>
    <w:uiPriority w:val="9"/>
    <w:rsid w:val="006B6D3E"/>
    <w:rPr>
      <w:rFonts w:ascii="Times New Roman" w:eastAsiaTheme="majorEastAsia" w:hAnsi="Times New Roman" w:cs="Times New Roman"/>
      <w:b/>
      <w:bCs/>
      <w:kern w:val="0"/>
      <w:sz w:val="22"/>
      <w:szCs w:val="22"/>
      <w:lang w:val="en-GB"/>
      <w14:ligatures w14:val="none"/>
    </w:rPr>
  </w:style>
  <w:style w:type="character" w:customStyle="1" w:styleId="Heading5Char">
    <w:name w:val="Heading 5 Char"/>
    <w:basedOn w:val="DefaultParagraphFont"/>
    <w:link w:val="Heading5"/>
    <w:uiPriority w:val="9"/>
    <w:rsid w:val="006B6D3E"/>
    <w:rPr>
      <w:rFonts w:ascii="Times New Roman" w:eastAsiaTheme="majorEastAsia" w:hAnsi="Times New Roman" w:cs="Times New Roman"/>
      <w:i/>
      <w:iCs/>
      <w:kern w:val="0"/>
      <w:sz w:val="22"/>
      <w:szCs w:val="22"/>
      <w:lang w:val="en-GB"/>
      <w14:ligatures w14:val="none"/>
    </w:rPr>
  </w:style>
  <w:style w:type="character" w:customStyle="1" w:styleId="Heading6Char">
    <w:name w:val="Heading 6 Char"/>
    <w:basedOn w:val="DefaultParagraphFont"/>
    <w:link w:val="Heading6"/>
    <w:semiHidden/>
    <w:rsid w:val="006B6D3E"/>
    <w:rPr>
      <w:rFonts w:ascii="Times New Roman" w:eastAsia="SimSun" w:hAnsi="Times New Roman" w:cs="Times New Roman"/>
      <w:bCs/>
      <w:kern w:val="0"/>
      <w:szCs w:val="22"/>
      <w:lang w:val="en-GB"/>
      <w14:ligatures w14:val="none"/>
    </w:rPr>
  </w:style>
  <w:style w:type="character" w:customStyle="1" w:styleId="Heading7Char">
    <w:name w:val="Heading 7 Char"/>
    <w:basedOn w:val="DefaultParagraphFont"/>
    <w:link w:val="Heading7"/>
    <w:semiHidden/>
    <w:rsid w:val="006B6D3E"/>
    <w:rPr>
      <w:rFonts w:ascii="Times New Roman" w:eastAsia="SimSun" w:hAnsi="Times New Roman" w:cs="Times New Roman"/>
      <w:b/>
      <w:snapToGrid w:val="0"/>
      <w:kern w:val="0"/>
      <w:sz w:val="22"/>
      <w:szCs w:val="22"/>
      <w:u w:val="single"/>
      <w:lang w:val="en-GB"/>
      <w14:ligatures w14:val="none"/>
    </w:rPr>
  </w:style>
  <w:style w:type="character" w:customStyle="1" w:styleId="Heading8Char">
    <w:name w:val="Heading 8 Char"/>
    <w:basedOn w:val="DefaultParagraphFont"/>
    <w:link w:val="Heading8"/>
    <w:semiHidden/>
    <w:rsid w:val="006B6D3E"/>
    <w:rPr>
      <w:rFonts w:ascii="Times New Roman" w:eastAsia="SimSun" w:hAnsi="Times New Roman" w:cs="Times New Roman"/>
      <w:b/>
      <w:snapToGrid w:val="0"/>
      <w:kern w:val="0"/>
      <w:sz w:val="22"/>
      <w:szCs w:val="22"/>
      <w:u w:val="single"/>
      <w:lang w:val="en-GB"/>
      <w14:ligatures w14:val="none"/>
    </w:rPr>
  </w:style>
  <w:style w:type="character" w:customStyle="1" w:styleId="Heading9Char">
    <w:name w:val="Heading 9 Char"/>
    <w:basedOn w:val="DefaultParagraphFont"/>
    <w:link w:val="Heading9"/>
    <w:semiHidden/>
    <w:rsid w:val="006B6D3E"/>
    <w:rPr>
      <w:rFonts w:ascii="Times New Roman" w:eastAsia="SimSun" w:hAnsi="Times New Roman" w:cs="Times New Roman"/>
      <w:snapToGrid w:val="0"/>
      <w:kern w:val="0"/>
      <w:sz w:val="22"/>
      <w:szCs w:val="22"/>
      <w:u w:val="single"/>
      <w:lang w:val="en-GB"/>
      <w14:ligatures w14:val="none"/>
    </w:rPr>
  </w:style>
  <w:style w:type="paragraph" w:styleId="Title">
    <w:name w:val="Title"/>
    <w:basedOn w:val="Normal"/>
    <w:next w:val="Normal"/>
    <w:link w:val="TitleChar"/>
    <w:uiPriority w:val="10"/>
    <w:qFormat/>
    <w:rsid w:val="004C29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983"/>
    <w:rPr>
      <w:rFonts w:asciiTheme="majorHAnsi" w:eastAsiaTheme="majorEastAsia" w:hAnsiTheme="majorHAnsi" w:cstheme="majorBidi"/>
      <w:spacing w:val="-10"/>
      <w:kern w:val="28"/>
      <w:sz w:val="56"/>
      <w:szCs w:val="56"/>
      <w:lang w:val="en-GB"/>
      <w14:ligatures w14:val="none"/>
    </w:rPr>
  </w:style>
  <w:style w:type="paragraph" w:styleId="Subtitle">
    <w:name w:val="Subtitle"/>
    <w:basedOn w:val="Normal"/>
    <w:next w:val="Normal"/>
    <w:link w:val="SubtitleChar"/>
    <w:uiPriority w:val="11"/>
    <w:qFormat/>
    <w:rsid w:val="004C29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983"/>
    <w:rPr>
      <w:rFonts w:ascii="Times New Roman" w:eastAsiaTheme="majorEastAsia" w:hAnsi="Times New Roman" w:cstheme="majorBidi"/>
      <w:color w:val="595959" w:themeColor="text1" w:themeTint="A6"/>
      <w:spacing w:val="15"/>
      <w:kern w:val="0"/>
      <w:sz w:val="28"/>
      <w:szCs w:val="28"/>
      <w:lang w:val="en-GB"/>
      <w14:ligatures w14:val="none"/>
    </w:rPr>
  </w:style>
  <w:style w:type="paragraph" w:styleId="Quote">
    <w:name w:val="Quote"/>
    <w:basedOn w:val="Normal"/>
    <w:next w:val="Normal"/>
    <w:link w:val="QuoteChar"/>
    <w:uiPriority w:val="29"/>
    <w:qFormat/>
    <w:rsid w:val="004C2983"/>
    <w:pPr>
      <w:spacing w:before="160"/>
      <w:jc w:val="center"/>
    </w:pPr>
    <w:rPr>
      <w:i/>
      <w:iCs/>
      <w:color w:val="404040" w:themeColor="text1" w:themeTint="BF"/>
    </w:rPr>
  </w:style>
  <w:style w:type="character" w:customStyle="1" w:styleId="QuoteChar">
    <w:name w:val="Quote Char"/>
    <w:basedOn w:val="DefaultParagraphFont"/>
    <w:link w:val="Quote"/>
    <w:uiPriority w:val="29"/>
    <w:rsid w:val="004C2983"/>
    <w:rPr>
      <w:rFonts w:ascii="Times New Roman" w:eastAsia="SimSun" w:hAnsi="Times New Roman" w:cs="Times New Roman"/>
      <w:i/>
      <w:iCs/>
      <w:color w:val="404040" w:themeColor="text1" w:themeTint="BF"/>
      <w:kern w:val="0"/>
      <w:sz w:val="22"/>
      <w:szCs w:val="22"/>
      <w:lang w:val="en-GB"/>
      <w14:ligatures w14:val="none"/>
    </w:rPr>
  </w:style>
  <w:style w:type="paragraph" w:styleId="ListParagraph">
    <w:name w:val="List Paragraph"/>
    <w:basedOn w:val="Normal"/>
    <w:uiPriority w:val="34"/>
    <w:qFormat/>
    <w:rsid w:val="006B6D3E"/>
    <w:pPr>
      <w:ind w:left="720"/>
      <w:contextualSpacing/>
    </w:pPr>
  </w:style>
  <w:style w:type="character" w:styleId="IntenseEmphasis">
    <w:name w:val="Intense Emphasis"/>
    <w:basedOn w:val="DefaultParagraphFont"/>
    <w:uiPriority w:val="21"/>
    <w:qFormat/>
    <w:rsid w:val="004C2983"/>
    <w:rPr>
      <w:i/>
      <w:iCs/>
      <w:color w:val="0F4761" w:themeColor="accent1" w:themeShade="BF"/>
      <w:lang w:val="en-GB"/>
    </w:rPr>
  </w:style>
  <w:style w:type="paragraph" w:styleId="IntenseQuote">
    <w:name w:val="Intense Quote"/>
    <w:basedOn w:val="Normal"/>
    <w:next w:val="Normal"/>
    <w:link w:val="IntenseQuoteChar"/>
    <w:uiPriority w:val="30"/>
    <w:qFormat/>
    <w:rsid w:val="004C2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983"/>
    <w:rPr>
      <w:rFonts w:ascii="Times New Roman" w:eastAsia="SimSun" w:hAnsi="Times New Roman" w:cs="Times New Roman"/>
      <w:i/>
      <w:iCs/>
      <w:color w:val="0F4761" w:themeColor="accent1" w:themeShade="BF"/>
      <w:kern w:val="0"/>
      <w:sz w:val="22"/>
      <w:szCs w:val="22"/>
      <w:lang w:val="en-GB"/>
      <w14:ligatures w14:val="none"/>
    </w:rPr>
  </w:style>
  <w:style w:type="character" w:styleId="IntenseReference">
    <w:name w:val="Intense Reference"/>
    <w:basedOn w:val="DefaultParagraphFont"/>
    <w:uiPriority w:val="32"/>
    <w:qFormat/>
    <w:rsid w:val="004C2983"/>
    <w:rPr>
      <w:b/>
      <w:bCs/>
      <w:smallCaps/>
      <w:color w:val="0F4761" w:themeColor="accent1" w:themeShade="BF"/>
      <w:spacing w:val="5"/>
      <w:lang w:val="en-GB"/>
    </w:rPr>
  </w:style>
  <w:style w:type="paragraph" w:styleId="Revision">
    <w:name w:val="Revision"/>
    <w:hidden/>
    <w:uiPriority w:val="99"/>
    <w:semiHidden/>
    <w:rsid w:val="006B6D3E"/>
    <w:pPr>
      <w:spacing w:after="0" w:line="240" w:lineRule="auto"/>
    </w:pPr>
    <w:rPr>
      <w:rFonts w:ascii="Simplified Arabic" w:eastAsia="Times New Roman" w:hAnsi="Simplified Arabic" w:cs="Simplified Arabic"/>
      <w:noProof/>
      <w:kern w:val="0"/>
      <w:lang w:val="en-US"/>
      <w14:ligatures w14:val="none"/>
    </w:rPr>
  </w:style>
  <w:style w:type="paragraph" w:customStyle="1" w:styleId="DarkList-Accent31">
    <w:name w:val="Dark List - Accent 31"/>
    <w:hidden/>
    <w:uiPriority w:val="99"/>
    <w:semiHidden/>
    <w:rsid w:val="006B6D3E"/>
    <w:pPr>
      <w:spacing w:after="0" w:line="240" w:lineRule="auto"/>
    </w:pPr>
    <w:rPr>
      <w:rFonts w:ascii="Times New Roman" w:eastAsia="SimSun" w:hAnsi="Times New Roman" w:cs="Times New Roman"/>
      <w:kern w:val="0"/>
      <w:sz w:val="22"/>
      <w:szCs w:val="22"/>
      <w:lang w:val="en-GB" w:eastAsia="en-GB"/>
      <w14:ligatures w14:val="none"/>
    </w:rPr>
  </w:style>
  <w:style w:type="paragraph" w:customStyle="1" w:styleId="CBDNormalNoNumber">
    <w:name w:val="CBD_Normal_NoNumber"/>
    <w:basedOn w:val="CBDNormal"/>
    <w:qFormat/>
    <w:rsid w:val="006B6D3E"/>
    <w:pPr>
      <w:spacing w:after="120"/>
      <w:ind w:left="567"/>
    </w:pPr>
  </w:style>
  <w:style w:type="character" w:styleId="FootnoteReference">
    <w:name w:val="footnote reference"/>
    <w:basedOn w:val="DefaultParagraphFont"/>
    <w:uiPriority w:val="99"/>
    <w:semiHidden/>
    <w:unhideWhenUsed/>
    <w:rsid w:val="006B6D3E"/>
    <w:rPr>
      <w:vertAlign w:val="superscript"/>
      <w:lang w:val="en-GB"/>
    </w:rPr>
  </w:style>
  <w:style w:type="paragraph" w:customStyle="1" w:styleId="Footnote">
    <w:name w:val="Footnote"/>
    <w:basedOn w:val="FootnoteText"/>
    <w:semiHidden/>
    <w:qFormat/>
    <w:rsid w:val="006B6D3E"/>
    <w:rPr>
      <w:szCs w:val="18"/>
    </w:rPr>
  </w:style>
  <w:style w:type="paragraph" w:styleId="Header">
    <w:name w:val="header"/>
    <w:basedOn w:val="Normal"/>
    <w:link w:val="HeaderChar"/>
    <w:semiHidden/>
    <w:rsid w:val="006B6D3E"/>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semiHidden/>
    <w:rsid w:val="006B6D3E"/>
    <w:rPr>
      <w:rFonts w:ascii="Times New Roman" w:eastAsia="SimSun" w:hAnsi="Times New Roman" w:cs="Times New Roman"/>
      <w:kern w:val="0"/>
      <w:sz w:val="20"/>
      <w:szCs w:val="22"/>
      <w:lang w:val="en-GB"/>
      <w14:ligatures w14:val="none"/>
    </w:rPr>
  </w:style>
  <w:style w:type="paragraph" w:styleId="Footer">
    <w:name w:val="footer"/>
    <w:basedOn w:val="Normal"/>
    <w:link w:val="FooterChar"/>
    <w:uiPriority w:val="99"/>
    <w:rsid w:val="006B6D3E"/>
    <w:pPr>
      <w:tabs>
        <w:tab w:val="center" w:pos="4680"/>
        <w:tab w:val="right" w:pos="9360"/>
      </w:tabs>
    </w:pPr>
    <w:rPr>
      <w:sz w:val="20"/>
    </w:rPr>
  </w:style>
  <w:style w:type="character" w:customStyle="1" w:styleId="FooterChar">
    <w:name w:val="Footer Char"/>
    <w:basedOn w:val="DefaultParagraphFont"/>
    <w:link w:val="Footer"/>
    <w:uiPriority w:val="99"/>
    <w:rsid w:val="006B6D3E"/>
    <w:rPr>
      <w:rFonts w:ascii="Times New Roman" w:eastAsia="SimSun" w:hAnsi="Times New Roman" w:cs="Times New Roman"/>
      <w:kern w:val="0"/>
      <w:sz w:val="20"/>
      <w:szCs w:val="22"/>
      <w:lang w:val="en-GB"/>
      <w14:ligatures w14:val="none"/>
    </w:rPr>
  </w:style>
  <w:style w:type="paragraph" w:customStyle="1" w:styleId="Annex">
    <w:name w:val="Annex"/>
    <w:basedOn w:val="Normal"/>
    <w:semiHidden/>
    <w:qFormat/>
    <w:rsid w:val="006B6D3E"/>
    <w:pPr>
      <w:spacing w:after="240"/>
    </w:pPr>
    <w:rPr>
      <w:b/>
      <w:sz w:val="28"/>
    </w:rPr>
  </w:style>
  <w:style w:type="paragraph" w:customStyle="1" w:styleId="ABSymbol">
    <w:name w:val="AB_Symbol"/>
    <w:basedOn w:val="Normal"/>
    <w:qFormat/>
    <w:rsid w:val="006B6D3E"/>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6B6D3E"/>
    <w:pPr>
      <w:numPr>
        <w:numId w:val="9"/>
      </w:numPr>
      <w:tabs>
        <w:tab w:val="left" w:pos="3969"/>
      </w:tabs>
      <w:spacing w:before="120" w:after="120"/>
    </w:pPr>
  </w:style>
  <w:style w:type="paragraph" w:customStyle="1" w:styleId="AFCorNNormal">
    <w:name w:val="AF_CorNNormal"/>
    <w:basedOn w:val="Normal"/>
    <w:unhideWhenUsed/>
    <w:rsid w:val="006B6D3E"/>
    <w:pPr>
      <w:jc w:val="left"/>
    </w:pPr>
  </w:style>
  <w:style w:type="paragraph" w:customStyle="1" w:styleId="AEDistrNormal">
    <w:name w:val="AE_DistrNormal"/>
    <w:basedOn w:val="Normal"/>
    <w:unhideWhenUsed/>
    <w:rsid w:val="006B6D3E"/>
    <w:pPr>
      <w:jc w:val="left"/>
    </w:pPr>
  </w:style>
  <w:style w:type="paragraph" w:customStyle="1" w:styleId="AASmallLogo">
    <w:name w:val="AA_SmallLogo"/>
    <w:basedOn w:val="AEDistrNormal"/>
    <w:unhideWhenUsed/>
    <w:rsid w:val="006B6D3E"/>
    <w:pPr>
      <w:spacing w:before="40"/>
    </w:pPr>
    <w:rPr>
      <w:sz w:val="4"/>
    </w:rPr>
  </w:style>
  <w:style w:type="paragraph" w:customStyle="1" w:styleId="ACLargeLogo">
    <w:name w:val="AC_LargeLogo"/>
    <w:basedOn w:val="AFCorNNormal"/>
    <w:next w:val="AISpacer"/>
    <w:unhideWhenUsed/>
    <w:rsid w:val="006B6D3E"/>
    <w:pPr>
      <w:spacing w:before="120"/>
      <w:contextualSpacing/>
    </w:pPr>
    <w:rPr>
      <w:sz w:val="8"/>
    </w:rPr>
  </w:style>
  <w:style w:type="paragraph" w:styleId="FootnoteText">
    <w:name w:val="footnote text"/>
    <w:basedOn w:val="Normal"/>
    <w:link w:val="FootnoteTextChar"/>
    <w:uiPriority w:val="99"/>
    <w:semiHidden/>
    <w:unhideWhenUsed/>
    <w:rsid w:val="006B6D3E"/>
    <w:pPr>
      <w:jc w:val="left"/>
    </w:pPr>
    <w:rPr>
      <w:sz w:val="18"/>
      <w:szCs w:val="20"/>
    </w:rPr>
  </w:style>
  <w:style w:type="character" w:customStyle="1" w:styleId="FootnoteTextChar">
    <w:name w:val="Footnote Text Char"/>
    <w:basedOn w:val="DefaultParagraphFont"/>
    <w:link w:val="FootnoteText"/>
    <w:uiPriority w:val="99"/>
    <w:semiHidden/>
    <w:rsid w:val="006B6D3E"/>
    <w:rPr>
      <w:rFonts w:ascii="Times New Roman" w:eastAsia="SimSun" w:hAnsi="Times New Roman" w:cs="Times New Roman"/>
      <w:kern w:val="0"/>
      <w:sz w:val="18"/>
      <w:szCs w:val="20"/>
      <w:lang w:val="en-GB"/>
      <w14:ligatures w14:val="none"/>
    </w:rPr>
  </w:style>
  <w:style w:type="paragraph" w:styleId="BodyText">
    <w:name w:val="Body Text"/>
    <w:basedOn w:val="Normal"/>
    <w:link w:val="BodyTextChar"/>
    <w:uiPriority w:val="99"/>
    <w:semiHidden/>
    <w:unhideWhenUsed/>
    <w:rsid w:val="006B6D3E"/>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6B6D3E"/>
    <w:rPr>
      <w:sz w:val="22"/>
      <w:szCs w:val="22"/>
      <w:lang w:val="en-GB"/>
    </w:rPr>
  </w:style>
  <w:style w:type="character" w:styleId="CommentReference">
    <w:name w:val="annotation reference"/>
    <w:basedOn w:val="DefaultParagraphFont"/>
    <w:uiPriority w:val="99"/>
    <w:semiHidden/>
    <w:unhideWhenUsed/>
    <w:rsid w:val="006B6D3E"/>
    <w:rPr>
      <w:sz w:val="16"/>
      <w:szCs w:val="16"/>
      <w:lang w:val="en-GB"/>
    </w:rPr>
  </w:style>
  <w:style w:type="paragraph" w:styleId="CommentText">
    <w:name w:val="annotation text"/>
    <w:basedOn w:val="Normal"/>
    <w:link w:val="CommentTextChar"/>
    <w:uiPriority w:val="99"/>
    <w:semiHidden/>
    <w:rsid w:val="006B6D3E"/>
    <w:rPr>
      <w:sz w:val="20"/>
      <w:szCs w:val="20"/>
    </w:rPr>
  </w:style>
  <w:style w:type="character" w:customStyle="1" w:styleId="CommentTextChar">
    <w:name w:val="Comment Text Char"/>
    <w:basedOn w:val="DefaultParagraphFont"/>
    <w:link w:val="CommentText"/>
    <w:uiPriority w:val="99"/>
    <w:semiHidden/>
    <w:rsid w:val="006B6D3E"/>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6B6D3E"/>
    <w:rPr>
      <w:b/>
      <w:bCs/>
    </w:rPr>
  </w:style>
  <w:style w:type="character" w:customStyle="1" w:styleId="CommentSubjectChar">
    <w:name w:val="Comment Subject Char"/>
    <w:basedOn w:val="CommentTextChar"/>
    <w:link w:val="CommentSubject"/>
    <w:uiPriority w:val="99"/>
    <w:semiHidden/>
    <w:rsid w:val="006B6D3E"/>
    <w:rPr>
      <w:rFonts w:ascii="Times New Roman" w:eastAsia="SimSun" w:hAnsi="Times New Roman" w:cs="Times New Roman"/>
      <w:b/>
      <w:bCs/>
      <w:kern w:val="0"/>
      <w:sz w:val="20"/>
      <w:szCs w:val="20"/>
      <w:lang w:val="en-GB"/>
      <w14:ligatures w14:val="none"/>
    </w:rPr>
  </w:style>
  <w:style w:type="paragraph" w:customStyle="1" w:styleId="Item">
    <w:name w:val="Item"/>
    <w:basedOn w:val="Normal"/>
    <w:semiHidden/>
    <w:qFormat/>
    <w:rsid w:val="006B6D3E"/>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6B6D3E"/>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sz w:val="22"/>
      <w:szCs w:val="22"/>
      <w:lang w:val="en-GB"/>
      <w14:ligatures w14:val="none"/>
    </w:rPr>
  </w:style>
  <w:style w:type="paragraph" w:styleId="List">
    <w:name w:val="List"/>
    <w:basedOn w:val="Normal"/>
    <w:semiHidden/>
    <w:rsid w:val="006B6D3E"/>
    <w:pPr>
      <w:contextualSpacing/>
    </w:pPr>
  </w:style>
  <w:style w:type="numbering" w:customStyle="1" w:styleId="ListCBD">
    <w:name w:val="ListCBD"/>
    <w:basedOn w:val="NoList"/>
    <w:uiPriority w:val="99"/>
    <w:rsid w:val="006B6D3E"/>
    <w:pPr>
      <w:numPr>
        <w:numId w:val="7"/>
      </w:numPr>
    </w:pPr>
  </w:style>
  <w:style w:type="numbering" w:customStyle="1" w:styleId="CBDHeadings">
    <w:name w:val="CBD_Headings"/>
    <w:basedOn w:val="ListCBD"/>
    <w:uiPriority w:val="99"/>
    <w:rsid w:val="006B6D3E"/>
    <w:pPr>
      <w:numPr>
        <w:numId w:val="8"/>
      </w:numPr>
    </w:pPr>
  </w:style>
  <w:style w:type="paragraph" w:customStyle="1" w:styleId="AISpacer">
    <w:name w:val="AI_Spacer"/>
    <w:next w:val="Normal"/>
    <w:unhideWhenUsed/>
    <w:qFormat/>
    <w:rsid w:val="006B6D3E"/>
    <w:pPr>
      <w:spacing w:after="0" w:line="240" w:lineRule="auto"/>
    </w:pPr>
    <w:rPr>
      <w:rFonts w:ascii="Times New Roman" w:eastAsia="SimSun" w:hAnsi="Times New Roman" w:cs="Times New Roman"/>
      <w:kern w:val="0"/>
      <w:sz w:val="2"/>
      <w:szCs w:val="22"/>
      <w:lang w:val="en-GB"/>
      <w14:ligatures w14:val="none"/>
    </w:rPr>
  </w:style>
  <w:style w:type="paragraph" w:customStyle="1" w:styleId="AEDistrNormal6pt">
    <w:name w:val="AE_DistrNormal6pt"/>
    <w:basedOn w:val="AEDistrNormal"/>
    <w:next w:val="AFCorNNormal"/>
    <w:unhideWhenUsed/>
    <w:qFormat/>
    <w:rsid w:val="006B6D3E"/>
    <w:pPr>
      <w:spacing w:before="120"/>
    </w:pPr>
  </w:style>
  <w:style w:type="paragraph" w:customStyle="1" w:styleId="AFCorNBold">
    <w:name w:val="AF_CorNBold"/>
    <w:basedOn w:val="AFCorNNormal"/>
    <w:next w:val="AFCorNNormal"/>
    <w:unhideWhenUsed/>
    <w:qFormat/>
    <w:rsid w:val="006B6D3E"/>
    <w:rPr>
      <w:b/>
    </w:rPr>
  </w:style>
  <w:style w:type="paragraph" w:customStyle="1" w:styleId="AFCorN12Bold">
    <w:name w:val="AF_CorN12Bold"/>
    <w:basedOn w:val="AFCorNNormal"/>
    <w:next w:val="AFCorNNormal"/>
    <w:unhideWhenUsed/>
    <w:qFormat/>
    <w:rsid w:val="006B6D3E"/>
    <w:rPr>
      <w:b/>
      <w:sz w:val="24"/>
    </w:rPr>
  </w:style>
  <w:style w:type="paragraph" w:customStyle="1" w:styleId="CBDAgendaItem">
    <w:name w:val="CBD_AgendaItem"/>
    <w:basedOn w:val="Normal"/>
    <w:qFormat/>
    <w:rsid w:val="006B6D3E"/>
    <w:pPr>
      <w:keepNext/>
      <w:keepLines/>
      <w:spacing w:before="240" w:after="120"/>
      <w:jc w:val="left"/>
    </w:pPr>
    <w:rPr>
      <w:b/>
      <w:sz w:val="24"/>
    </w:rPr>
  </w:style>
  <w:style w:type="paragraph" w:customStyle="1" w:styleId="CBDDesicionText">
    <w:name w:val="CBD_DesicionText"/>
    <w:basedOn w:val="CBDNormal"/>
    <w:qFormat/>
    <w:rsid w:val="006B6D3E"/>
    <w:pPr>
      <w:spacing w:after="120"/>
      <w:ind w:left="567" w:firstLine="567"/>
    </w:pPr>
  </w:style>
  <w:style w:type="paragraph" w:customStyle="1" w:styleId="CBDDesicionAnnex">
    <w:name w:val="CBD_DesicionAnnex"/>
    <w:basedOn w:val="CBDNormal"/>
    <w:next w:val="CBDDesicionText"/>
    <w:qFormat/>
    <w:rsid w:val="006B6D3E"/>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character" w:styleId="Hyperlink">
    <w:name w:val="Hyperlink"/>
    <w:basedOn w:val="DefaultParagraphFont"/>
    <w:uiPriority w:val="99"/>
    <w:unhideWhenUsed/>
    <w:rsid w:val="006B6D3E"/>
    <w:rPr>
      <w:rFonts w:ascii="Times New Roman" w:hAnsi="Times New Roman"/>
      <w:color w:val="467886" w:themeColor="hyperlink"/>
      <w:u w:val="single"/>
      <w:lang w:val="en-GB"/>
    </w:rPr>
  </w:style>
  <w:style w:type="paragraph" w:customStyle="1" w:styleId="CBDAnnex">
    <w:name w:val="CBD_Annex"/>
    <w:basedOn w:val="CBDNormal"/>
    <w:next w:val="CBDTitle"/>
    <w:qFormat/>
    <w:rsid w:val="006B6D3E"/>
    <w:pPr>
      <w:keepNext/>
      <w:keepLines/>
      <w:spacing w:after="240"/>
      <w:jc w:val="left"/>
    </w:pPr>
    <w:rPr>
      <w:b/>
      <w:sz w:val="28"/>
      <w:lang w:bidi="ar-SY"/>
    </w:rPr>
  </w:style>
  <w:style w:type="paragraph" w:customStyle="1" w:styleId="CBDSubTitle">
    <w:name w:val="CBD_SubTitle"/>
    <w:basedOn w:val="CBDNormal"/>
    <w:qFormat/>
    <w:rsid w:val="006B6D3E"/>
    <w:pPr>
      <w:keepNext/>
      <w:keepLines/>
      <w:spacing w:before="240" w:after="240"/>
      <w:ind w:left="567"/>
      <w:jc w:val="left"/>
    </w:pPr>
    <w:rPr>
      <w:b/>
    </w:rPr>
  </w:style>
  <w:style w:type="paragraph" w:customStyle="1" w:styleId="CBDTitle">
    <w:name w:val="CBD_Title"/>
    <w:basedOn w:val="CBDNormal"/>
    <w:next w:val="CBDSubTitle"/>
    <w:qFormat/>
    <w:rsid w:val="006B6D3E"/>
    <w:pPr>
      <w:keepNext/>
      <w:keepLines/>
      <w:spacing w:before="240" w:after="240"/>
      <w:ind w:left="567"/>
      <w:jc w:val="left"/>
    </w:pPr>
    <w:rPr>
      <w:b/>
      <w:sz w:val="28"/>
    </w:rPr>
  </w:style>
  <w:style w:type="paragraph" w:customStyle="1" w:styleId="AENormal">
    <w:name w:val="AE_Normal"/>
    <w:basedOn w:val="Normal"/>
    <w:rsid w:val="006B6D3E"/>
  </w:style>
  <w:style w:type="paragraph" w:customStyle="1" w:styleId="CBDH1">
    <w:name w:val="CBD_H1"/>
    <w:basedOn w:val="CBDNormal"/>
    <w:qFormat/>
    <w:rsid w:val="006B6D3E"/>
    <w:pPr>
      <w:keepNext/>
      <w:keepLines/>
      <w:spacing w:before="240" w:after="120"/>
      <w:ind w:left="567" w:hanging="567"/>
      <w:jc w:val="left"/>
      <w:outlineLvl w:val="0"/>
    </w:pPr>
    <w:rPr>
      <w:b/>
      <w:sz w:val="28"/>
    </w:rPr>
  </w:style>
  <w:style w:type="paragraph" w:customStyle="1" w:styleId="CBDH2">
    <w:name w:val="CBD_H2"/>
    <w:basedOn w:val="CBDNormalNumber"/>
    <w:qFormat/>
    <w:rsid w:val="006B6D3E"/>
    <w:pPr>
      <w:keepNext/>
      <w:keepLines/>
      <w:numPr>
        <w:numId w:val="0"/>
      </w:numPr>
      <w:ind w:left="567" w:hanging="567"/>
    </w:pPr>
    <w:rPr>
      <w:b/>
      <w:sz w:val="24"/>
    </w:rPr>
  </w:style>
  <w:style w:type="paragraph" w:customStyle="1" w:styleId="CBDFootnoteText">
    <w:name w:val="CBD_Footnote_Text"/>
    <w:basedOn w:val="CBDNormal"/>
    <w:qFormat/>
    <w:rsid w:val="006B6D3E"/>
    <w:pPr>
      <w:jc w:val="left"/>
    </w:pPr>
    <w:rPr>
      <w:sz w:val="18"/>
    </w:rPr>
  </w:style>
  <w:style w:type="paragraph" w:customStyle="1" w:styleId="CBDFooter">
    <w:name w:val="CBD_Footer"/>
    <w:basedOn w:val="CBDNormal"/>
    <w:qFormat/>
    <w:rsid w:val="006B6D3E"/>
    <w:rPr>
      <w:sz w:val="20"/>
    </w:rPr>
  </w:style>
  <w:style w:type="paragraph" w:customStyle="1" w:styleId="CBDHeader">
    <w:name w:val="CBD_Header"/>
    <w:basedOn w:val="CBDNormal"/>
    <w:next w:val="CBDFooter"/>
    <w:qFormat/>
    <w:rsid w:val="006B6D3E"/>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6B6D3E"/>
    <w:pPr>
      <w:keepNext/>
      <w:keepLines/>
      <w:spacing w:before="120" w:after="120"/>
      <w:ind w:left="567" w:hanging="567"/>
      <w:jc w:val="left"/>
    </w:pPr>
    <w:rPr>
      <w:b/>
    </w:rPr>
  </w:style>
  <w:style w:type="paragraph" w:customStyle="1" w:styleId="CBDH4">
    <w:name w:val="CBD_H4"/>
    <w:basedOn w:val="CBDNormal"/>
    <w:rsid w:val="006B6D3E"/>
    <w:pPr>
      <w:keepNext/>
      <w:keepLines/>
      <w:spacing w:before="120" w:after="120"/>
      <w:ind w:left="567" w:hanging="567"/>
      <w:jc w:val="left"/>
    </w:pPr>
    <w:rPr>
      <w:b/>
    </w:rPr>
  </w:style>
  <w:style w:type="paragraph" w:customStyle="1" w:styleId="CBDH5">
    <w:name w:val="CBD_H5"/>
    <w:basedOn w:val="CBDNormal"/>
    <w:qFormat/>
    <w:rsid w:val="006B6D3E"/>
    <w:pPr>
      <w:keepNext/>
      <w:keepLines/>
      <w:spacing w:before="120" w:after="120"/>
      <w:ind w:left="567" w:hanging="567"/>
      <w:jc w:val="left"/>
    </w:pPr>
    <w:rPr>
      <w:i/>
    </w:rPr>
  </w:style>
  <w:style w:type="paragraph" w:customStyle="1" w:styleId="CBDTableNormal">
    <w:name w:val="CBD_TableNormal"/>
    <w:basedOn w:val="CBDNormal"/>
    <w:qFormat/>
    <w:rsid w:val="006B6D3E"/>
    <w:pPr>
      <w:spacing w:before="40" w:after="80"/>
      <w:jc w:val="left"/>
    </w:pPr>
    <w:rPr>
      <w:sz w:val="20"/>
    </w:rPr>
  </w:style>
  <w:style w:type="paragraph" w:customStyle="1" w:styleId="CBDTableTitle">
    <w:name w:val="CBD_TableTitle"/>
    <w:basedOn w:val="CBDNormal"/>
    <w:qFormat/>
    <w:rsid w:val="006B6D3E"/>
    <w:pPr>
      <w:keepNext/>
      <w:keepLines/>
      <w:spacing w:before="120" w:after="60"/>
      <w:ind w:left="567"/>
      <w:jc w:val="left"/>
    </w:pPr>
    <w:rPr>
      <w:b/>
    </w:rPr>
  </w:style>
  <w:style w:type="paragraph" w:customStyle="1" w:styleId="CBDFigureTitle">
    <w:name w:val="CBD_FigureTitle"/>
    <w:basedOn w:val="CBDNormal"/>
    <w:next w:val="CBDNormalNoNumber"/>
    <w:qFormat/>
    <w:rsid w:val="006B6D3E"/>
    <w:pPr>
      <w:keepNext/>
      <w:keepLines/>
      <w:spacing w:before="120" w:after="60"/>
      <w:ind w:left="567"/>
      <w:jc w:val="left"/>
    </w:pPr>
    <w:rPr>
      <w:b/>
    </w:rPr>
  </w:style>
  <w:style w:type="paragraph" w:styleId="TOC1">
    <w:name w:val="toc 1"/>
    <w:basedOn w:val="CBDNormal"/>
    <w:next w:val="Normal"/>
    <w:autoRedefine/>
    <w:uiPriority w:val="39"/>
    <w:unhideWhenUsed/>
    <w:rsid w:val="006B6D3E"/>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6B6D3E"/>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6B6D3E"/>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6B6D3E"/>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6B6D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D3E"/>
    <w:rPr>
      <w:rFonts w:ascii="Segoe UI" w:eastAsia="SimSun" w:hAnsi="Segoe UI" w:cs="Segoe UI"/>
      <w:kern w:val="0"/>
      <w:sz w:val="18"/>
      <w:szCs w:val="18"/>
      <w:lang w:val="en-GB"/>
      <w14:ligatures w14:val="none"/>
    </w:rPr>
  </w:style>
  <w:style w:type="paragraph" w:styleId="Bibliography">
    <w:name w:val="Bibliography"/>
    <w:basedOn w:val="Normal"/>
    <w:next w:val="Normal"/>
    <w:uiPriority w:val="37"/>
    <w:semiHidden/>
    <w:unhideWhenUsed/>
    <w:rsid w:val="006B6D3E"/>
  </w:style>
  <w:style w:type="paragraph" w:styleId="BlockText">
    <w:name w:val="Block Text"/>
    <w:basedOn w:val="Normal"/>
    <w:uiPriority w:val="99"/>
    <w:semiHidden/>
    <w:unhideWhenUsed/>
    <w:rsid w:val="006B6D3E"/>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2">
    <w:name w:val="Body Text 2"/>
    <w:basedOn w:val="Normal"/>
    <w:link w:val="BodyText2Char"/>
    <w:uiPriority w:val="99"/>
    <w:semiHidden/>
    <w:unhideWhenUsed/>
    <w:rsid w:val="006B6D3E"/>
    <w:pPr>
      <w:spacing w:after="120" w:line="480" w:lineRule="auto"/>
    </w:pPr>
  </w:style>
  <w:style w:type="character" w:customStyle="1" w:styleId="BodyText2Char">
    <w:name w:val="Body Text 2 Char"/>
    <w:basedOn w:val="DefaultParagraphFont"/>
    <w:link w:val="BodyText2"/>
    <w:uiPriority w:val="99"/>
    <w:semiHidden/>
    <w:rsid w:val="006B6D3E"/>
    <w:rPr>
      <w:rFonts w:ascii="Times New Roman" w:eastAsia="SimSun" w:hAnsi="Times New Roman" w:cs="Times New Roman"/>
      <w:kern w:val="0"/>
      <w:sz w:val="22"/>
      <w:szCs w:val="22"/>
      <w:lang w:val="en-GB"/>
      <w14:ligatures w14:val="none"/>
    </w:rPr>
  </w:style>
  <w:style w:type="paragraph" w:styleId="BodyText3">
    <w:name w:val="Body Text 3"/>
    <w:basedOn w:val="Normal"/>
    <w:link w:val="BodyText3Char"/>
    <w:uiPriority w:val="99"/>
    <w:semiHidden/>
    <w:unhideWhenUsed/>
    <w:rsid w:val="006B6D3E"/>
    <w:pPr>
      <w:spacing w:after="120"/>
    </w:pPr>
    <w:rPr>
      <w:sz w:val="16"/>
      <w:szCs w:val="16"/>
    </w:rPr>
  </w:style>
  <w:style w:type="character" w:customStyle="1" w:styleId="BodyText3Char">
    <w:name w:val="Body Text 3 Char"/>
    <w:basedOn w:val="DefaultParagraphFont"/>
    <w:link w:val="BodyText3"/>
    <w:uiPriority w:val="99"/>
    <w:semiHidden/>
    <w:rsid w:val="006B6D3E"/>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6B6D3E"/>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6B6D3E"/>
    <w:rPr>
      <w:rFonts w:ascii="Times New Roman" w:eastAsia="SimSun" w:hAnsi="Times New Roman" w:cs="Times New Roman"/>
      <w:kern w:val="0"/>
      <w:sz w:val="22"/>
      <w:szCs w:val="22"/>
      <w:lang w:val="en-GB"/>
      <w14:ligatures w14:val="none"/>
    </w:rPr>
  </w:style>
  <w:style w:type="paragraph" w:styleId="BodyTextIndent">
    <w:name w:val="Body Text Indent"/>
    <w:basedOn w:val="Normal"/>
    <w:link w:val="BodyTextIndentChar"/>
    <w:uiPriority w:val="99"/>
    <w:semiHidden/>
    <w:unhideWhenUsed/>
    <w:rsid w:val="006B6D3E"/>
    <w:pPr>
      <w:spacing w:after="120"/>
      <w:ind w:left="283"/>
    </w:pPr>
  </w:style>
  <w:style w:type="character" w:customStyle="1" w:styleId="BodyTextIndentChar">
    <w:name w:val="Body Text Indent Char"/>
    <w:basedOn w:val="DefaultParagraphFont"/>
    <w:link w:val="BodyTextIndent"/>
    <w:uiPriority w:val="99"/>
    <w:semiHidden/>
    <w:rsid w:val="006B6D3E"/>
    <w:rPr>
      <w:rFonts w:ascii="Times New Roman" w:eastAsia="SimSun" w:hAnsi="Times New Roman" w:cs="Times New Roman"/>
      <w:kern w:val="0"/>
      <w:sz w:val="22"/>
      <w:szCs w:val="22"/>
      <w:lang w:val="en-GB"/>
      <w14:ligatures w14:val="none"/>
    </w:rPr>
  </w:style>
  <w:style w:type="paragraph" w:styleId="BodyTextFirstIndent2">
    <w:name w:val="Body Text First Indent 2"/>
    <w:basedOn w:val="BodyTextIndent"/>
    <w:link w:val="BodyTextFirstIndent2Char"/>
    <w:uiPriority w:val="99"/>
    <w:semiHidden/>
    <w:unhideWhenUsed/>
    <w:rsid w:val="006B6D3E"/>
    <w:pPr>
      <w:spacing w:after="0"/>
      <w:ind w:left="360" w:firstLine="360"/>
    </w:pPr>
  </w:style>
  <w:style w:type="character" w:customStyle="1" w:styleId="BodyTextFirstIndent2Char">
    <w:name w:val="Body Text First Indent 2 Char"/>
    <w:basedOn w:val="BodyTextIndentChar"/>
    <w:link w:val="BodyTextFirstIndent2"/>
    <w:uiPriority w:val="99"/>
    <w:semiHidden/>
    <w:rsid w:val="006B6D3E"/>
    <w:rPr>
      <w:rFonts w:ascii="Times New Roman" w:eastAsia="SimSun" w:hAnsi="Times New Roman" w:cs="Times New Roman"/>
      <w:kern w:val="0"/>
      <w:sz w:val="22"/>
      <w:szCs w:val="22"/>
      <w:lang w:val="en-GB"/>
      <w14:ligatures w14:val="none"/>
    </w:rPr>
  </w:style>
  <w:style w:type="paragraph" w:styleId="BodyTextIndent2">
    <w:name w:val="Body Text Indent 2"/>
    <w:basedOn w:val="Normal"/>
    <w:link w:val="BodyTextIndent2Char"/>
    <w:uiPriority w:val="99"/>
    <w:semiHidden/>
    <w:unhideWhenUsed/>
    <w:rsid w:val="006B6D3E"/>
    <w:pPr>
      <w:spacing w:after="120" w:line="480" w:lineRule="auto"/>
      <w:ind w:left="283"/>
    </w:pPr>
  </w:style>
  <w:style w:type="character" w:customStyle="1" w:styleId="BodyTextIndent2Char">
    <w:name w:val="Body Text Indent 2 Char"/>
    <w:basedOn w:val="DefaultParagraphFont"/>
    <w:link w:val="BodyTextIndent2"/>
    <w:uiPriority w:val="99"/>
    <w:semiHidden/>
    <w:rsid w:val="006B6D3E"/>
    <w:rPr>
      <w:rFonts w:ascii="Times New Roman" w:eastAsia="SimSun" w:hAnsi="Times New Roman" w:cs="Times New Roman"/>
      <w:kern w:val="0"/>
      <w:sz w:val="22"/>
      <w:szCs w:val="22"/>
      <w:lang w:val="en-GB"/>
      <w14:ligatures w14:val="none"/>
    </w:rPr>
  </w:style>
  <w:style w:type="paragraph" w:styleId="BodyTextIndent3">
    <w:name w:val="Body Text Indent 3"/>
    <w:basedOn w:val="Normal"/>
    <w:link w:val="BodyTextIndent3Char"/>
    <w:uiPriority w:val="99"/>
    <w:semiHidden/>
    <w:unhideWhenUsed/>
    <w:rsid w:val="006B6D3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6D3E"/>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6B6D3E"/>
    <w:rPr>
      <w:b/>
      <w:bCs/>
      <w:i/>
      <w:iCs/>
      <w:spacing w:val="5"/>
      <w:lang w:val="en-GB"/>
    </w:rPr>
  </w:style>
  <w:style w:type="paragraph" w:styleId="Caption">
    <w:name w:val="caption"/>
    <w:basedOn w:val="Normal"/>
    <w:next w:val="Normal"/>
    <w:uiPriority w:val="35"/>
    <w:semiHidden/>
    <w:unhideWhenUsed/>
    <w:qFormat/>
    <w:rsid w:val="006B6D3E"/>
    <w:pPr>
      <w:spacing w:after="200"/>
    </w:pPr>
    <w:rPr>
      <w:i/>
      <w:iCs/>
      <w:color w:val="0E2841" w:themeColor="text2"/>
      <w:sz w:val="18"/>
      <w:szCs w:val="18"/>
    </w:rPr>
  </w:style>
  <w:style w:type="paragraph" w:styleId="Closing">
    <w:name w:val="Closing"/>
    <w:basedOn w:val="Normal"/>
    <w:link w:val="ClosingChar"/>
    <w:uiPriority w:val="99"/>
    <w:semiHidden/>
    <w:unhideWhenUsed/>
    <w:rsid w:val="006B6D3E"/>
    <w:pPr>
      <w:ind w:left="4252"/>
    </w:pPr>
  </w:style>
  <w:style w:type="character" w:customStyle="1" w:styleId="ClosingChar">
    <w:name w:val="Closing Char"/>
    <w:basedOn w:val="DefaultParagraphFont"/>
    <w:link w:val="Closing"/>
    <w:uiPriority w:val="99"/>
    <w:semiHidden/>
    <w:rsid w:val="006B6D3E"/>
    <w:rPr>
      <w:rFonts w:ascii="Times New Roman" w:eastAsia="SimSun" w:hAnsi="Times New Roman" w:cs="Times New Roman"/>
      <w:kern w:val="0"/>
      <w:sz w:val="22"/>
      <w:szCs w:val="22"/>
      <w:lang w:val="en-GB"/>
      <w14:ligatures w14:val="none"/>
    </w:rPr>
  </w:style>
  <w:style w:type="table" w:styleId="ColorfulGrid">
    <w:name w:val="Colorful Grid"/>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6B6D3E"/>
  </w:style>
  <w:style w:type="character" w:customStyle="1" w:styleId="DateChar">
    <w:name w:val="Date Char"/>
    <w:basedOn w:val="DefaultParagraphFont"/>
    <w:link w:val="Date"/>
    <w:uiPriority w:val="99"/>
    <w:semiHidden/>
    <w:rsid w:val="006B6D3E"/>
    <w:rPr>
      <w:rFonts w:ascii="Times New Roman" w:eastAsia="SimSun" w:hAnsi="Times New Roman" w:cs="Times New Roman"/>
      <w:kern w:val="0"/>
      <w:sz w:val="22"/>
      <w:szCs w:val="22"/>
      <w:lang w:val="en-GB"/>
      <w14:ligatures w14:val="none"/>
    </w:rPr>
  </w:style>
  <w:style w:type="paragraph" w:styleId="DocumentMap">
    <w:name w:val="Document Map"/>
    <w:basedOn w:val="Normal"/>
    <w:link w:val="DocumentMapChar"/>
    <w:uiPriority w:val="99"/>
    <w:semiHidden/>
    <w:unhideWhenUsed/>
    <w:rsid w:val="006B6D3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B6D3E"/>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6B6D3E"/>
  </w:style>
  <w:style w:type="character" w:customStyle="1" w:styleId="E-mailSignatureChar">
    <w:name w:val="E-mail Signature Char"/>
    <w:basedOn w:val="DefaultParagraphFont"/>
    <w:link w:val="E-mailSignature"/>
    <w:uiPriority w:val="99"/>
    <w:semiHidden/>
    <w:rsid w:val="006B6D3E"/>
    <w:rPr>
      <w:rFonts w:ascii="Times New Roman" w:eastAsia="SimSun" w:hAnsi="Times New Roman" w:cs="Times New Roman"/>
      <w:kern w:val="0"/>
      <w:sz w:val="22"/>
      <w:szCs w:val="22"/>
      <w:lang w:val="en-GB"/>
      <w14:ligatures w14:val="none"/>
    </w:rPr>
  </w:style>
  <w:style w:type="character" w:styleId="Emphasis">
    <w:name w:val="Emphasis"/>
    <w:basedOn w:val="DefaultParagraphFont"/>
    <w:uiPriority w:val="20"/>
    <w:qFormat/>
    <w:rsid w:val="006B6D3E"/>
    <w:rPr>
      <w:i/>
      <w:iCs/>
      <w:lang w:val="en-GB"/>
    </w:rPr>
  </w:style>
  <w:style w:type="character" w:styleId="EndnoteReference">
    <w:name w:val="endnote reference"/>
    <w:basedOn w:val="DefaultParagraphFont"/>
    <w:uiPriority w:val="99"/>
    <w:semiHidden/>
    <w:unhideWhenUsed/>
    <w:rsid w:val="006B6D3E"/>
    <w:rPr>
      <w:vertAlign w:val="superscript"/>
      <w:lang w:val="en-GB"/>
    </w:rPr>
  </w:style>
  <w:style w:type="paragraph" w:styleId="EndnoteText">
    <w:name w:val="endnote text"/>
    <w:basedOn w:val="Normal"/>
    <w:link w:val="EndnoteTextChar"/>
    <w:uiPriority w:val="99"/>
    <w:semiHidden/>
    <w:unhideWhenUsed/>
    <w:rsid w:val="006B6D3E"/>
    <w:rPr>
      <w:sz w:val="20"/>
      <w:szCs w:val="20"/>
    </w:rPr>
  </w:style>
  <w:style w:type="character" w:customStyle="1" w:styleId="EndnoteTextChar">
    <w:name w:val="Endnote Text Char"/>
    <w:basedOn w:val="DefaultParagraphFont"/>
    <w:link w:val="EndnoteText"/>
    <w:uiPriority w:val="99"/>
    <w:semiHidden/>
    <w:rsid w:val="006B6D3E"/>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6B6D3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B6D3E"/>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6B6D3E"/>
    <w:rPr>
      <w:color w:val="96607D" w:themeColor="followedHyperlink"/>
      <w:u w:val="single"/>
      <w:lang w:val="en-GB"/>
    </w:rPr>
  </w:style>
  <w:style w:type="table" w:styleId="GridTable1Light">
    <w:name w:val="Grid Table 1 Light"/>
    <w:basedOn w:val="TableNormal"/>
    <w:uiPriority w:val="46"/>
    <w:rsid w:val="006B6D3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B6D3E"/>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B6D3E"/>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B6D3E"/>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B6D3E"/>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B6D3E"/>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B6D3E"/>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B6D3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B6D3E"/>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6B6D3E"/>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6B6D3E"/>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6B6D3E"/>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6B6D3E"/>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6B6D3E"/>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customStyle="1" w:styleId="Hashtag1">
    <w:name w:val="Hashtag1"/>
    <w:basedOn w:val="DefaultParagraphFont"/>
    <w:uiPriority w:val="99"/>
    <w:semiHidden/>
    <w:unhideWhenUsed/>
    <w:rsid w:val="006B6D3E"/>
    <w:rPr>
      <w:color w:val="2B579A"/>
      <w:shd w:val="clear" w:color="auto" w:fill="E1DFDD"/>
      <w:lang w:val="en-GB"/>
    </w:rPr>
  </w:style>
  <w:style w:type="character" w:styleId="HTMLAcronym">
    <w:name w:val="HTML Acronym"/>
    <w:basedOn w:val="DefaultParagraphFont"/>
    <w:uiPriority w:val="99"/>
    <w:semiHidden/>
    <w:unhideWhenUsed/>
    <w:rsid w:val="006B6D3E"/>
    <w:rPr>
      <w:lang w:val="en-GB"/>
    </w:rPr>
  </w:style>
  <w:style w:type="paragraph" w:styleId="HTMLAddress">
    <w:name w:val="HTML Address"/>
    <w:basedOn w:val="Normal"/>
    <w:link w:val="HTMLAddressChar"/>
    <w:uiPriority w:val="99"/>
    <w:semiHidden/>
    <w:unhideWhenUsed/>
    <w:rsid w:val="006B6D3E"/>
    <w:rPr>
      <w:i/>
      <w:iCs/>
    </w:rPr>
  </w:style>
  <w:style w:type="character" w:customStyle="1" w:styleId="HTMLAddressChar">
    <w:name w:val="HTML Address Char"/>
    <w:basedOn w:val="DefaultParagraphFont"/>
    <w:link w:val="HTMLAddress"/>
    <w:uiPriority w:val="99"/>
    <w:semiHidden/>
    <w:rsid w:val="006B6D3E"/>
    <w:rPr>
      <w:rFonts w:ascii="Times New Roman" w:eastAsia="SimSun" w:hAnsi="Times New Roman" w:cs="Times New Roman"/>
      <w:i/>
      <w:iCs/>
      <w:kern w:val="0"/>
      <w:sz w:val="22"/>
      <w:szCs w:val="22"/>
      <w:lang w:val="en-GB"/>
      <w14:ligatures w14:val="none"/>
    </w:rPr>
  </w:style>
  <w:style w:type="character" w:styleId="HTMLCite">
    <w:name w:val="HTML Cite"/>
    <w:basedOn w:val="DefaultParagraphFont"/>
    <w:uiPriority w:val="99"/>
    <w:semiHidden/>
    <w:unhideWhenUsed/>
    <w:rsid w:val="006B6D3E"/>
    <w:rPr>
      <w:i/>
      <w:iCs/>
      <w:lang w:val="en-GB"/>
    </w:rPr>
  </w:style>
  <w:style w:type="character" w:styleId="HTMLCode">
    <w:name w:val="HTML Code"/>
    <w:basedOn w:val="DefaultParagraphFont"/>
    <w:uiPriority w:val="99"/>
    <w:semiHidden/>
    <w:unhideWhenUsed/>
    <w:rsid w:val="006B6D3E"/>
    <w:rPr>
      <w:rFonts w:ascii="Consolas" w:hAnsi="Consolas"/>
      <w:sz w:val="20"/>
      <w:szCs w:val="20"/>
      <w:lang w:val="en-GB"/>
    </w:rPr>
  </w:style>
  <w:style w:type="character" w:styleId="HTMLDefinition">
    <w:name w:val="HTML Definition"/>
    <w:basedOn w:val="DefaultParagraphFont"/>
    <w:uiPriority w:val="99"/>
    <w:semiHidden/>
    <w:unhideWhenUsed/>
    <w:rsid w:val="006B6D3E"/>
    <w:rPr>
      <w:i/>
      <w:iCs/>
      <w:lang w:val="en-GB"/>
    </w:rPr>
  </w:style>
  <w:style w:type="character" w:styleId="HTMLKeyboard">
    <w:name w:val="HTML Keyboard"/>
    <w:basedOn w:val="DefaultParagraphFont"/>
    <w:uiPriority w:val="99"/>
    <w:semiHidden/>
    <w:unhideWhenUsed/>
    <w:rsid w:val="006B6D3E"/>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6B6D3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B6D3E"/>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6B6D3E"/>
    <w:rPr>
      <w:rFonts w:ascii="Consolas" w:hAnsi="Consolas"/>
      <w:sz w:val="24"/>
      <w:szCs w:val="24"/>
      <w:lang w:val="en-GB"/>
    </w:rPr>
  </w:style>
  <w:style w:type="character" w:styleId="HTMLTypewriter">
    <w:name w:val="HTML Typewriter"/>
    <w:basedOn w:val="DefaultParagraphFont"/>
    <w:uiPriority w:val="99"/>
    <w:semiHidden/>
    <w:unhideWhenUsed/>
    <w:rsid w:val="006B6D3E"/>
    <w:rPr>
      <w:rFonts w:ascii="Consolas" w:hAnsi="Consolas"/>
      <w:sz w:val="20"/>
      <w:szCs w:val="20"/>
      <w:lang w:val="en-GB"/>
    </w:rPr>
  </w:style>
  <w:style w:type="character" w:styleId="HTMLVariable">
    <w:name w:val="HTML Variable"/>
    <w:basedOn w:val="DefaultParagraphFont"/>
    <w:uiPriority w:val="99"/>
    <w:semiHidden/>
    <w:unhideWhenUsed/>
    <w:rsid w:val="006B6D3E"/>
    <w:rPr>
      <w:i/>
      <w:iCs/>
      <w:lang w:val="en-GB"/>
    </w:rPr>
  </w:style>
  <w:style w:type="paragraph" w:styleId="Index1">
    <w:name w:val="index 1"/>
    <w:basedOn w:val="Normal"/>
    <w:next w:val="Normal"/>
    <w:autoRedefine/>
    <w:uiPriority w:val="99"/>
    <w:semiHidden/>
    <w:unhideWhenUsed/>
    <w:rsid w:val="006B6D3E"/>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6B6D3E"/>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6B6D3E"/>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6B6D3E"/>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6B6D3E"/>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6B6D3E"/>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6B6D3E"/>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6B6D3E"/>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6B6D3E"/>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6B6D3E"/>
    <w:rPr>
      <w:rFonts w:asciiTheme="majorHAnsi" w:eastAsiaTheme="majorEastAsia" w:hAnsiTheme="majorHAnsi" w:cstheme="majorBidi"/>
      <w:b/>
      <w:bCs/>
    </w:rPr>
  </w:style>
  <w:style w:type="table" w:styleId="LightGrid">
    <w:name w:val="Light Grid"/>
    <w:basedOn w:val="TableNormal"/>
    <w:uiPriority w:val="62"/>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6B6D3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6D3E"/>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6B6D3E"/>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6B6D3E"/>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6B6D3E"/>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6B6D3E"/>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6B6D3E"/>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6B6D3E"/>
    <w:rPr>
      <w:lang w:val="en-GB"/>
    </w:rPr>
  </w:style>
  <w:style w:type="paragraph" w:styleId="List2">
    <w:name w:val="List 2"/>
    <w:basedOn w:val="Normal"/>
    <w:uiPriority w:val="99"/>
    <w:semiHidden/>
    <w:unhideWhenUsed/>
    <w:rsid w:val="006B6D3E"/>
    <w:pPr>
      <w:ind w:left="566" w:hanging="283"/>
      <w:contextualSpacing/>
    </w:pPr>
  </w:style>
  <w:style w:type="paragraph" w:styleId="List3">
    <w:name w:val="List 3"/>
    <w:basedOn w:val="Normal"/>
    <w:uiPriority w:val="99"/>
    <w:semiHidden/>
    <w:unhideWhenUsed/>
    <w:rsid w:val="006B6D3E"/>
    <w:pPr>
      <w:ind w:left="849" w:hanging="283"/>
      <w:contextualSpacing/>
    </w:pPr>
  </w:style>
  <w:style w:type="paragraph" w:styleId="List4">
    <w:name w:val="List 4"/>
    <w:basedOn w:val="Normal"/>
    <w:uiPriority w:val="99"/>
    <w:semiHidden/>
    <w:unhideWhenUsed/>
    <w:rsid w:val="006B6D3E"/>
    <w:pPr>
      <w:ind w:left="1132" w:hanging="283"/>
      <w:contextualSpacing/>
    </w:pPr>
  </w:style>
  <w:style w:type="paragraph" w:styleId="List5">
    <w:name w:val="List 5"/>
    <w:basedOn w:val="Normal"/>
    <w:uiPriority w:val="99"/>
    <w:semiHidden/>
    <w:unhideWhenUsed/>
    <w:rsid w:val="006B6D3E"/>
    <w:pPr>
      <w:ind w:left="1415" w:hanging="283"/>
      <w:contextualSpacing/>
    </w:pPr>
  </w:style>
  <w:style w:type="paragraph" w:styleId="ListBullet">
    <w:name w:val="List Bullet"/>
    <w:basedOn w:val="Normal"/>
    <w:uiPriority w:val="99"/>
    <w:semiHidden/>
    <w:unhideWhenUsed/>
    <w:rsid w:val="006B6D3E"/>
    <w:pPr>
      <w:numPr>
        <w:numId w:val="2"/>
      </w:numPr>
      <w:contextualSpacing/>
    </w:pPr>
  </w:style>
  <w:style w:type="paragraph" w:styleId="ListBullet2">
    <w:name w:val="List Bullet 2"/>
    <w:basedOn w:val="Normal"/>
    <w:uiPriority w:val="99"/>
    <w:semiHidden/>
    <w:unhideWhenUsed/>
    <w:rsid w:val="006B6D3E"/>
    <w:pPr>
      <w:numPr>
        <w:numId w:val="3"/>
      </w:numPr>
      <w:contextualSpacing/>
    </w:pPr>
  </w:style>
  <w:style w:type="paragraph" w:styleId="ListBullet3">
    <w:name w:val="List Bullet 3"/>
    <w:basedOn w:val="Normal"/>
    <w:uiPriority w:val="99"/>
    <w:semiHidden/>
    <w:unhideWhenUsed/>
    <w:rsid w:val="006B6D3E"/>
    <w:pPr>
      <w:numPr>
        <w:numId w:val="4"/>
      </w:numPr>
      <w:contextualSpacing/>
    </w:pPr>
  </w:style>
  <w:style w:type="paragraph" w:styleId="ListBullet4">
    <w:name w:val="List Bullet 4"/>
    <w:basedOn w:val="Normal"/>
    <w:uiPriority w:val="99"/>
    <w:semiHidden/>
    <w:unhideWhenUsed/>
    <w:rsid w:val="006B6D3E"/>
    <w:pPr>
      <w:numPr>
        <w:numId w:val="5"/>
      </w:numPr>
      <w:contextualSpacing/>
    </w:pPr>
  </w:style>
  <w:style w:type="paragraph" w:styleId="ListBullet5">
    <w:name w:val="List Bullet 5"/>
    <w:basedOn w:val="Normal"/>
    <w:uiPriority w:val="99"/>
    <w:semiHidden/>
    <w:unhideWhenUsed/>
    <w:rsid w:val="006B6D3E"/>
    <w:pPr>
      <w:numPr>
        <w:numId w:val="6"/>
      </w:numPr>
      <w:contextualSpacing/>
    </w:pPr>
  </w:style>
  <w:style w:type="paragraph" w:styleId="ListContinue">
    <w:name w:val="List Continue"/>
    <w:basedOn w:val="Normal"/>
    <w:uiPriority w:val="99"/>
    <w:semiHidden/>
    <w:unhideWhenUsed/>
    <w:rsid w:val="006B6D3E"/>
    <w:pPr>
      <w:spacing w:after="120"/>
      <w:ind w:left="283"/>
      <w:contextualSpacing/>
    </w:pPr>
  </w:style>
  <w:style w:type="paragraph" w:styleId="ListContinue2">
    <w:name w:val="List Continue 2"/>
    <w:basedOn w:val="Normal"/>
    <w:uiPriority w:val="99"/>
    <w:semiHidden/>
    <w:unhideWhenUsed/>
    <w:rsid w:val="006B6D3E"/>
    <w:pPr>
      <w:spacing w:after="120"/>
      <w:ind w:left="566"/>
      <w:contextualSpacing/>
    </w:pPr>
  </w:style>
  <w:style w:type="paragraph" w:styleId="ListContinue3">
    <w:name w:val="List Continue 3"/>
    <w:basedOn w:val="Normal"/>
    <w:uiPriority w:val="99"/>
    <w:semiHidden/>
    <w:unhideWhenUsed/>
    <w:rsid w:val="006B6D3E"/>
    <w:pPr>
      <w:spacing w:after="120"/>
      <w:ind w:left="849"/>
      <w:contextualSpacing/>
    </w:pPr>
  </w:style>
  <w:style w:type="paragraph" w:styleId="ListContinue4">
    <w:name w:val="List Continue 4"/>
    <w:basedOn w:val="Normal"/>
    <w:uiPriority w:val="99"/>
    <w:semiHidden/>
    <w:unhideWhenUsed/>
    <w:rsid w:val="006B6D3E"/>
    <w:pPr>
      <w:spacing w:after="120"/>
      <w:ind w:left="1132"/>
      <w:contextualSpacing/>
    </w:pPr>
  </w:style>
  <w:style w:type="paragraph" w:styleId="ListContinue5">
    <w:name w:val="List Continue 5"/>
    <w:basedOn w:val="Normal"/>
    <w:uiPriority w:val="99"/>
    <w:semiHidden/>
    <w:unhideWhenUsed/>
    <w:rsid w:val="006B6D3E"/>
    <w:pPr>
      <w:spacing w:after="120"/>
      <w:ind w:left="1415"/>
      <w:contextualSpacing/>
    </w:pPr>
  </w:style>
  <w:style w:type="paragraph" w:styleId="ListNumber">
    <w:name w:val="List Number"/>
    <w:basedOn w:val="Normal"/>
    <w:uiPriority w:val="99"/>
    <w:semiHidden/>
    <w:unhideWhenUsed/>
    <w:rsid w:val="006B6D3E"/>
    <w:pPr>
      <w:numPr>
        <w:numId w:val="10"/>
      </w:numPr>
      <w:contextualSpacing/>
    </w:pPr>
  </w:style>
  <w:style w:type="paragraph" w:styleId="ListNumber2">
    <w:name w:val="List Number 2"/>
    <w:basedOn w:val="Normal"/>
    <w:uiPriority w:val="99"/>
    <w:semiHidden/>
    <w:unhideWhenUsed/>
    <w:rsid w:val="006B6D3E"/>
    <w:pPr>
      <w:numPr>
        <w:numId w:val="11"/>
      </w:numPr>
      <w:contextualSpacing/>
    </w:pPr>
  </w:style>
  <w:style w:type="paragraph" w:styleId="ListNumber3">
    <w:name w:val="List Number 3"/>
    <w:basedOn w:val="Normal"/>
    <w:uiPriority w:val="99"/>
    <w:semiHidden/>
    <w:unhideWhenUsed/>
    <w:rsid w:val="006B6D3E"/>
    <w:pPr>
      <w:numPr>
        <w:numId w:val="12"/>
      </w:numPr>
      <w:contextualSpacing/>
    </w:pPr>
  </w:style>
  <w:style w:type="paragraph" w:styleId="ListNumber4">
    <w:name w:val="List Number 4"/>
    <w:basedOn w:val="Normal"/>
    <w:uiPriority w:val="99"/>
    <w:semiHidden/>
    <w:unhideWhenUsed/>
    <w:rsid w:val="006B6D3E"/>
    <w:pPr>
      <w:numPr>
        <w:numId w:val="13"/>
      </w:numPr>
      <w:contextualSpacing/>
    </w:pPr>
  </w:style>
  <w:style w:type="paragraph" w:styleId="ListNumber5">
    <w:name w:val="List Number 5"/>
    <w:basedOn w:val="Normal"/>
    <w:uiPriority w:val="99"/>
    <w:semiHidden/>
    <w:unhideWhenUsed/>
    <w:rsid w:val="006B6D3E"/>
    <w:pPr>
      <w:numPr>
        <w:numId w:val="14"/>
      </w:numPr>
      <w:contextualSpacing/>
    </w:pPr>
  </w:style>
  <w:style w:type="table" w:styleId="ListTable1Light">
    <w:name w:val="List Table 1 Light"/>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6B6D3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B6D3E"/>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6B6D3E"/>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6B6D3E"/>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6B6D3E"/>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6B6D3E"/>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6B6D3E"/>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6B6D3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B6D3E"/>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6B6D3E"/>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6B6D3E"/>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6B6D3E"/>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6B6D3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6B6D3E"/>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6B6D3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B6D3E"/>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B6D3E"/>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B6D3E"/>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B6D3E"/>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B6D3E"/>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B6D3E"/>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B6D3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B6D3E"/>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6B6D3E"/>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6B6D3E"/>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6B6D3E"/>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6B6D3E"/>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6B6D3E"/>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6B6D3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B6D3E"/>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B6D3E"/>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B6D3E"/>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B6D3E"/>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B6D3E"/>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B6D3E"/>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B6D3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6B6D3E"/>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6B6D3E"/>
    <w:rPr>
      <w:color w:val="2B579A"/>
      <w:shd w:val="clear" w:color="auto" w:fill="E1DFDD"/>
      <w:lang w:val="en-GB"/>
    </w:rPr>
  </w:style>
  <w:style w:type="paragraph" w:styleId="MessageHeader">
    <w:name w:val="Message Header"/>
    <w:basedOn w:val="Normal"/>
    <w:link w:val="MessageHeaderChar"/>
    <w:uiPriority w:val="99"/>
    <w:semiHidden/>
    <w:unhideWhenUsed/>
    <w:rsid w:val="006B6D3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B6D3E"/>
    <w:rPr>
      <w:rFonts w:asciiTheme="majorHAnsi" w:eastAsiaTheme="majorEastAsia" w:hAnsiTheme="majorHAnsi" w:cstheme="majorBidi"/>
      <w:kern w:val="0"/>
      <w:shd w:val="pct20" w:color="auto" w:fill="auto"/>
      <w:lang w:val="en-GB"/>
      <w14:ligatures w14:val="none"/>
    </w:rPr>
  </w:style>
  <w:style w:type="paragraph" w:styleId="NoSpacing">
    <w:name w:val="No Spacing"/>
    <w:uiPriority w:val="1"/>
    <w:qFormat/>
    <w:rsid w:val="006B6D3E"/>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val="en-GB"/>
      <w14:ligatures w14:val="none"/>
    </w:rPr>
  </w:style>
  <w:style w:type="paragraph" w:styleId="NormalWeb">
    <w:name w:val="Normal (Web)"/>
    <w:basedOn w:val="Normal"/>
    <w:uiPriority w:val="99"/>
    <w:semiHidden/>
    <w:unhideWhenUsed/>
    <w:rsid w:val="006B6D3E"/>
    <w:rPr>
      <w:sz w:val="24"/>
      <w:szCs w:val="24"/>
    </w:rPr>
  </w:style>
  <w:style w:type="paragraph" w:styleId="NormalIndent">
    <w:name w:val="Normal Indent"/>
    <w:basedOn w:val="Normal"/>
    <w:uiPriority w:val="99"/>
    <w:semiHidden/>
    <w:unhideWhenUsed/>
    <w:rsid w:val="006B6D3E"/>
    <w:pPr>
      <w:ind w:left="720"/>
    </w:pPr>
  </w:style>
  <w:style w:type="paragraph" w:styleId="NoteHeading">
    <w:name w:val="Note Heading"/>
    <w:basedOn w:val="Normal"/>
    <w:next w:val="Normal"/>
    <w:link w:val="NoteHeadingChar"/>
    <w:uiPriority w:val="99"/>
    <w:semiHidden/>
    <w:unhideWhenUsed/>
    <w:rsid w:val="006B6D3E"/>
  </w:style>
  <w:style w:type="character" w:customStyle="1" w:styleId="NoteHeadingChar">
    <w:name w:val="Note Heading Char"/>
    <w:basedOn w:val="DefaultParagraphFont"/>
    <w:link w:val="NoteHeading"/>
    <w:uiPriority w:val="99"/>
    <w:semiHidden/>
    <w:rsid w:val="006B6D3E"/>
    <w:rPr>
      <w:rFonts w:ascii="Times New Roman" w:eastAsia="SimSun" w:hAnsi="Times New Roman" w:cs="Times New Roman"/>
      <w:kern w:val="0"/>
      <w:sz w:val="22"/>
      <w:szCs w:val="22"/>
      <w:lang w:val="en-GB"/>
      <w14:ligatures w14:val="none"/>
    </w:rPr>
  </w:style>
  <w:style w:type="character" w:styleId="PageNumber">
    <w:name w:val="page number"/>
    <w:basedOn w:val="DefaultParagraphFont"/>
    <w:uiPriority w:val="99"/>
    <w:semiHidden/>
    <w:unhideWhenUsed/>
    <w:rsid w:val="006B6D3E"/>
    <w:rPr>
      <w:lang w:val="en-GB"/>
    </w:rPr>
  </w:style>
  <w:style w:type="character" w:styleId="PlaceholderText">
    <w:name w:val="Placeholder Text"/>
    <w:basedOn w:val="DefaultParagraphFont"/>
    <w:uiPriority w:val="99"/>
    <w:semiHidden/>
    <w:rsid w:val="006B6D3E"/>
    <w:rPr>
      <w:color w:val="666666"/>
      <w:lang w:val="en-GB"/>
    </w:rPr>
  </w:style>
  <w:style w:type="table" w:styleId="PlainTable1">
    <w:name w:val="Plain Table 1"/>
    <w:basedOn w:val="TableNormal"/>
    <w:uiPriority w:val="41"/>
    <w:rsid w:val="006B6D3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B6D3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B6D3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B6D3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B6D3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B6D3E"/>
    <w:rPr>
      <w:rFonts w:ascii="Consolas" w:hAnsi="Consolas"/>
      <w:sz w:val="21"/>
      <w:szCs w:val="21"/>
    </w:rPr>
  </w:style>
  <w:style w:type="character" w:customStyle="1" w:styleId="PlainTextChar">
    <w:name w:val="Plain Text Char"/>
    <w:basedOn w:val="DefaultParagraphFont"/>
    <w:link w:val="PlainText"/>
    <w:uiPriority w:val="99"/>
    <w:semiHidden/>
    <w:rsid w:val="006B6D3E"/>
    <w:rPr>
      <w:rFonts w:ascii="Consolas" w:eastAsia="SimSun" w:hAnsi="Consolas" w:cs="Times New Roman"/>
      <w:kern w:val="0"/>
      <w:sz w:val="21"/>
      <w:szCs w:val="21"/>
      <w:lang w:val="en-GB"/>
      <w14:ligatures w14:val="none"/>
    </w:rPr>
  </w:style>
  <w:style w:type="paragraph" w:styleId="Salutation">
    <w:name w:val="Salutation"/>
    <w:basedOn w:val="Normal"/>
    <w:next w:val="Normal"/>
    <w:link w:val="SalutationChar"/>
    <w:uiPriority w:val="99"/>
    <w:semiHidden/>
    <w:unhideWhenUsed/>
    <w:rsid w:val="006B6D3E"/>
  </w:style>
  <w:style w:type="character" w:customStyle="1" w:styleId="SalutationChar">
    <w:name w:val="Salutation Char"/>
    <w:basedOn w:val="DefaultParagraphFont"/>
    <w:link w:val="Salutation"/>
    <w:uiPriority w:val="99"/>
    <w:semiHidden/>
    <w:rsid w:val="006B6D3E"/>
    <w:rPr>
      <w:rFonts w:ascii="Times New Roman" w:eastAsia="SimSun" w:hAnsi="Times New Roman" w:cs="Times New Roman"/>
      <w:kern w:val="0"/>
      <w:sz w:val="22"/>
      <w:szCs w:val="22"/>
      <w:lang w:val="en-GB"/>
      <w14:ligatures w14:val="none"/>
    </w:rPr>
  </w:style>
  <w:style w:type="paragraph" w:styleId="Signature">
    <w:name w:val="Signature"/>
    <w:basedOn w:val="Normal"/>
    <w:link w:val="SignatureChar"/>
    <w:uiPriority w:val="99"/>
    <w:semiHidden/>
    <w:unhideWhenUsed/>
    <w:rsid w:val="006B6D3E"/>
    <w:pPr>
      <w:ind w:left="4252"/>
    </w:pPr>
  </w:style>
  <w:style w:type="character" w:customStyle="1" w:styleId="SignatureChar">
    <w:name w:val="Signature Char"/>
    <w:basedOn w:val="DefaultParagraphFont"/>
    <w:link w:val="Signature"/>
    <w:uiPriority w:val="99"/>
    <w:semiHidden/>
    <w:rsid w:val="006B6D3E"/>
    <w:rPr>
      <w:rFonts w:ascii="Times New Roman" w:eastAsia="SimSun" w:hAnsi="Times New Roman" w:cs="Times New Roman"/>
      <w:kern w:val="0"/>
      <w:sz w:val="22"/>
      <w:szCs w:val="22"/>
      <w:lang w:val="en-GB"/>
      <w14:ligatures w14:val="none"/>
    </w:rPr>
  </w:style>
  <w:style w:type="character" w:customStyle="1" w:styleId="SmartHyperlink1">
    <w:name w:val="Smart Hyperlink1"/>
    <w:basedOn w:val="DefaultParagraphFont"/>
    <w:uiPriority w:val="99"/>
    <w:semiHidden/>
    <w:unhideWhenUsed/>
    <w:rsid w:val="006B6D3E"/>
    <w:rPr>
      <w:u w:val="dotted"/>
      <w:lang w:val="en-GB"/>
    </w:rPr>
  </w:style>
  <w:style w:type="character" w:customStyle="1" w:styleId="SmartLink1">
    <w:name w:val="SmartLink1"/>
    <w:basedOn w:val="DefaultParagraphFont"/>
    <w:uiPriority w:val="99"/>
    <w:semiHidden/>
    <w:unhideWhenUsed/>
    <w:rsid w:val="006B6D3E"/>
    <w:rPr>
      <w:color w:val="0000FF"/>
      <w:u w:val="single"/>
      <w:shd w:val="clear" w:color="auto" w:fill="F3F2F1"/>
      <w:lang w:val="en-GB"/>
    </w:rPr>
  </w:style>
  <w:style w:type="character" w:styleId="Strong">
    <w:name w:val="Strong"/>
    <w:basedOn w:val="DefaultParagraphFont"/>
    <w:uiPriority w:val="22"/>
    <w:qFormat/>
    <w:rsid w:val="006B6D3E"/>
    <w:rPr>
      <w:b/>
      <w:bCs/>
      <w:lang w:val="en-GB"/>
    </w:rPr>
  </w:style>
  <w:style w:type="character" w:styleId="SubtleEmphasis">
    <w:name w:val="Subtle Emphasis"/>
    <w:basedOn w:val="DefaultParagraphFont"/>
    <w:uiPriority w:val="19"/>
    <w:qFormat/>
    <w:rsid w:val="006B6D3E"/>
    <w:rPr>
      <w:i/>
      <w:iCs/>
      <w:color w:val="404040" w:themeColor="text1" w:themeTint="BF"/>
      <w:lang w:val="en-GB"/>
    </w:rPr>
  </w:style>
  <w:style w:type="character" w:styleId="SubtleReference">
    <w:name w:val="Subtle Reference"/>
    <w:basedOn w:val="DefaultParagraphFont"/>
    <w:uiPriority w:val="31"/>
    <w:qFormat/>
    <w:rsid w:val="006B6D3E"/>
    <w:rPr>
      <w:smallCaps/>
      <w:color w:val="5A5A5A" w:themeColor="text1" w:themeTint="A5"/>
      <w:lang w:val="en-GB"/>
    </w:rPr>
  </w:style>
  <w:style w:type="table" w:styleId="Table3Deffects1">
    <w:name w:val="Table 3D effects 1"/>
    <w:basedOn w:val="TableNormal"/>
    <w:uiPriority w:val="99"/>
    <w:semiHidden/>
    <w:unhideWhenUsed/>
    <w:rsid w:val="006B6D3E"/>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B6D3E"/>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B6D3E"/>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B6D3E"/>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B6D3E"/>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6B6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B6D3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B6D3E"/>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6B6D3E"/>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B6D3E"/>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B6D3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B6D3E"/>
    <w:pPr>
      <w:numPr>
        <w:numId w:val="0"/>
      </w:numPr>
      <w:tabs>
        <w:tab w:val="left" w:pos="567"/>
      </w:tabs>
      <w:spacing w:after="0"/>
      <w:jc w:val="both"/>
      <w:outlineLvl w:val="9"/>
    </w:pPr>
    <w:rPr>
      <w:rFonts w:asciiTheme="majorHAnsi" w:hAnsiTheme="majorHAnsi"/>
      <w:b w:val="0"/>
      <w:bCs w:val="0"/>
      <w:color w:val="0F4761" w:themeColor="accent1" w:themeShade="BF"/>
      <w:kern w:val="0"/>
      <w:sz w:val="32"/>
      <w14:ligatures w14:val="none"/>
    </w:rPr>
  </w:style>
  <w:style w:type="character" w:customStyle="1" w:styleId="UnresolvedMention1">
    <w:name w:val="Unresolved Mention1"/>
    <w:basedOn w:val="DefaultParagraphFont"/>
    <w:uiPriority w:val="99"/>
    <w:semiHidden/>
    <w:unhideWhenUsed/>
    <w:rsid w:val="006B6D3E"/>
    <w:rPr>
      <w:color w:val="605E5C"/>
      <w:shd w:val="clear" w:color="auto" w:fill="E1DFDD"/>
      <w:lang w:val="en-GB"/>
    </w:rPr>
  </w:style>
  <w:style w:type="character" w:styleId="UnresolvedMention">
    <w:name w:val="Unresolved Mention"/>
    <w:basedOn w:val="DefaultParagraphFont"/>
    <w:uiPriority w:val="99"/>
    <w:semiHidden/>
    <w:unhideWhenUsed/>
    <w:rsid w:val="001A79FF"/>
    <w:rPr>
      <w:color w:val="605E5C"/>
      <w:shd w:val="clear" w:color="auto" w:fill="E1DFDD"/>
    </w:rPr>
  </w:style>
  <w:style w:type="numbering" w:customStyle="1" w:styleId="ListCBD1">
    <w:name w:val="ListCBD1"/>
    <w:uiPriority w:val="99"/>
    <w:rsid w:val="00EB5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bch.cbd.int/protocol/tex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bd.int/decisions/mop/?m=cp-mop-11"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p-mop-09/cp-mop-09-dec-13-en.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cbd.int/doc/decisions/cp-mop-09/cp-mop-09-dec-13-en.pdf" TargetMode="External"/><Relationship Id="rId20" Type="http://schemas.openxmlformats.org/officeDocument/2006/relationships/hyperlink" Target="https://www.cbd.int/decisions/?id=1366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bd.int/doc/decisions/cp-mop-11/cp-mop-11-dec-07-en.pdf"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bch.cbd.int/protocol/tex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p-mop-09/cp-mop-09-dec-13-en.pdf"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uments/CBD/CP/RA/AHTEG/2025/1/INF/1" TargetMode="External"/><Relationship Id="rId3" Type="http://schemas.openxmlformats.org/officeDocument/2006/relationships/hyperlink" Target="https://www.cbd.int/documents/CBD/CP/RA/AHTEG/2025/1/3" TargetMode="External"/><Relationship Id="rId7" Type="http://schemas.openxmlformats.org/officeDocument/2006/relationships/hyperlink" Target="https://www.cbd.int/documents/CBD/CP/MOP/11/9" TargetMode="External"/><Relationship Id="rId2" Type="http://schemas.openxmlformats.org/officeDocument/2006/relationships/hyperlink" Target="https://www.cbd.int/documents/CBD/SBSTTA/27/6" TargetMode="External"/><Relationship Id="rId1" Type="http://schemas.openxmlformats.org/officeDocument/2006/relationships/hyperlink" Target="https://www.cbd.int/documents/CBD/CP/RA/AHTEG/2025/1/3" TargetMode="External"/><Relationship Id="rId6" Type="http://schemas.openxmlformats.org/officeDocument/2006/relationships/hyperlink" Target="https://www.cbd.int/decisions/?id=11024" TargetMode="External"/><Relationship Id="rId5" Type="http://schemas.openxmlformats.org/officeDocument/2006/relationships/hyperlink" Target="https://www.cbd.int/documents/CBD/CP/MOP/11/9" TargetMode="External"/><Relationship Id="rId4" Type="http://schemas.openxmlformats.org/officeDocument/2006/relationships/hyperlink" Target="https://www.cbd.int/tsc/tscm/subregionalcentres" TargetMode="External"/><Relationship Id="rId9" Type="http://schemas.openxmlformats.org/officeDocument/2006/relationships/hyperlink" Target="https://www.cbd.int/documents/CBD/CP/RA/AHTEG/2025/1/INF/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CLOUGHLI\OneDrive%20-%20United%20Nations\Desktop\Working%20on%20plane%20(AHTEG%20+%20SBSTTA)\sbstta-27-template-en%20(1).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76974CAE7F4C98B024CDADEBC38C0E"/>
        <w:category>
          <w:name w:val="General"/>
          <w:gallery w:val="placeholder"/>
        </w:category>
        <w:types>
          <w:type w:val="bbPlcHdr"/>
        </w:types>
        <w:behaviors>
          <w:behavior w:val="content"/>
        </w:behaviors>
        <w:guid w:val="{82759513-02C4-4D40-AC7B-DB3CD5F9F212}"/>
      </w:docPartPr>
      <w:docPartBody>
        <w:p w:rsidR="00E245DA" w:rsidRDefault="00E245DA">
          <w:pPr>
            <w:pStyle w:val="D176974CAE7F4C98B024CDADEBC38C0E"/>
          </w:pPr>
          <w:r w:rsidRPr="002C719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5DA"/>
    <w:rsid w:val="000106FF"/>
    <w:rsid w:val="00057B13"/>
    <w:rsid w:val="00097729"/>
    <w:rsid w:val="000C22EA"/>
    <w:rsid w:val="000E1726"/>
    <w:rsid w:val="0010015F"/>
    <w:rsid w:val="0015601F"/>
    <w:rsid w:val="001F5684"/>
    <w:rsid w:val="0020012C"/>
    <w:rsid w:val="002463D7"/>
    <w:rsid w:val="0025038F"/>
    <w:rsid w:val="002E42A2"/>
    <w:rsid w:val="002E4A52"/>
    <w:rsid w:val="003173B0"/>
    <w:rsid w:val="0034450D"/>
    <w:rsid w:val="00381B24"/>
    <w:rsid w:val="003F3A67"/>
    <w:rsid w:val="004A2929"/>
    <w:rsid w:val="004B2DBC"/>
    <w:rsid w:val="005479F7"/>
    <w:rsid w:val="0057380B"/>
    <w:rsid w:val="00593A11"/>
    <w:rsid w:val="005D300A"/>
    <w:rsid w:val="00636706"/>
    <w:rsid w:val="006500F3"/>
    <w:rsid w:val="00694870"/>
    <w:rsid w:val="00757F90"/>
    <w:rsid w:val="00770E23"/>
    <w:rsid w:val="008416B6"/>
    <w:rsid w:val="0087688E"/>
    <w:rsid w:val="008B2BE3"/>
    <w:rsid w:val="009313F0"/>
    <w:rsid w:val="00962316"/>
    <w:rsid w:val="009737FE"/>
    <w:rsid w:val="00975B20"/>
    <w:rsid w:val="0098214E"/>
    <w:rsid w:val="009A7AC5"/>
    <w:rsid w:val="009F457E"/>
    <w:rsid w:val="00A4031B"/>
    <w:rsid w:val="00A73C9D"/>
    <w:rsid w:val="00AA32CF"/>
    <w:rsid w:val="00AE2428"/>
    <w:rsid w:val="00AE4E48"/>
    <w:rsid w:val="00AE4EC5"/>
    <w:rsid w:val="00B11FCF"/>
    <w:rsid w:val="00B122A4"/>
    <w:rsid w:val="00B77868"/>
    <w:rsid w:val="00BB183E"/>
    <w:rsid w:val="00C06AF9"/>
    <w:rsid w:val="00C12402"/>
    <w:rsid w:val="00C21376"/>
    <w:rsid w:val="00CA057F"/>
    <w:rsid w:val="00CD2364"/>
    <w:rsid w:val="00CD68A9"/>
    <w:rsid w:val="00D01A9B"/>
    <w:rsid w:val="00D100CD"/>
    <w:rsid w:val="00D719BE"/>
    <w:rsid w:val="00DE6411"/>
    <w:rsid w:val="00E03E3F"/>
    <w:rsid w:val="00E245DA"/>
    <w:rsid w:val="00E5477A"/>
    <w:rsid w:val="00E84590"/>
    <w:rsid w:val="00ED1EED"/>
    <w:rsid w:val="00EF60A3"/>
    <w:rsid w:val="00F65B3C"/>
    <w:rsid w:val="00F81C05"/>
    <w:rsid w:val="00F9568B"/>
    <w:rsid w:val="00FF04B9"/>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lang w:val="en-GB"/>
    </w:rPr>
  </w:style>
  <w:style w:type="paragraph" w:customStyle="1" w:styleId="D176974CAE7F4C98B024CDADEBC38C0E">
    <w:name w:val="D176974CAE7F4C98B024CDADEBC38C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091f8ace11fb69fdaf2c6ad3544dfa48">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2090d878a5f7290b684f838b47639990"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08823B-A5F6-49A1-A79A-619A93B7CA8B}">
  <ds:schemaRefs>
    <ds:schemaRef ds:uri="http://schemas.microsoft.com/sharepoint/v3/contenttype/forms"/>
  </ds:schemaRefs>
</ds:datastoreItem>
</file>

<file path=customXml/itemProps2.xml><?xml version="1.0" encoding="utf-8"?>
<ds:datastoreItem xmlns:ds="http://schemas.openxmlformats.org/officeDocument/2006/customXml" ds:itemID="{FD2536E0-8A8A-46A2-BAC5-5D6BF8A2F526}">
  <ds:schemaRefs>
    <ds:schemaRef ds:uri="http://schemas.openxmlformats.org/officeDocument/2006/bibliography"/>
  </ds:schemaRefs>
</ds:datastoreItem>
</file>

<file path=customXml/itemProps3.xml><?xml version="1.0" encoding="utf-8"?>
<ds:datastoreItem xmlns:ds="http://schemas.openxmlformats.org/officeDocument/2006/customXml" ds:itemID="{0586E82D-1297-41F9-82B5-613666E5D8EF}">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E8BD1E6E-7CC8-4425-B9BB-876BD7CB2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sbstta-27-template-en (1).dotm</Template>
  <TotalTime>1</TotalTime>
  <Pages>1</Pages>
  <Words>1732</Words>
  <Characters>9838</Characters>
  <Application>Microsoft Office Word</Application>
  <DocSecurity>0</DocSecurity>
  <Lines>228</Lines>
  <Paragraphs>136</Paragraphs>
  <ScaleCrop>false</ScaleCrop>
  <HeadingPairs>
    <vt:vector size="2" baseType="variant">
      <vt:variant>
        <vt:lpstr>Title</vt:lpstr>
      </vt:variant>
      <vt:variant>
        <vt:i4>1</vt:i4>
      </vt:variant>
    </vt:vector>
  </HeadingPairs>
  <TitlesOfParts>
    <vt:vector size="1" baseType="lpstr">
      <vt:lpstr>Risk assessment and risk management of living modified organisms</vt:lpstr>
    </vt:vector>
  </TitlesOfParts>
  <Company/>
  <LinksUpToDate>false</LinksUpToDate>
  <CharactersWithSpaces>11434</CharactersWithSpaces>
  <SharedDoc>false</SharedDoc>
  <HLinks>
    <vt:vector size="90" baseType="variant">
      <vt:variant>
        <vt:i4>7405681</vt:i4>
      </vt:variant>
      <vt:variant>
        <vt:i4>15</vt:i4>
      </vt:variant>
      <vt:variant>
        <vt:i4>0</vt:i4>
      </vt:variant>
      <vt:variant>
        <vt:i4>5</vt:i4>
      </vt:variant>
      <vt:variant>
        <vt:lpwstr>https://www.cbd.int/decisions/mop/?m=cp-mop-11</vt:lpwstr>
      </vt:variant>
      <vt:variant>
        <vt:lpwstr/>
      </vt:variant>
      <vt:variant>
        <vt:i4>3145838</vt:i4>
      </vt:variant>
      <vt:variant>
        <vt:i4>12</vt:i4>
      </vt:variant>
      <vt:variant>
        <vt:i4>0</vt:i4>
      </vt:variant>
      <vt:variant>
        <vt:i4>5</vt:i4>
      </vt:variant>
      <vt:variant>
        <vt:lpwstr>https://www.cbd.int/decisions/?id=13668</vt:lpwstr>
      </vt:variant>
      <vt:variant>
        <vt:lpwstr/>
      </vt:variant>
      <vt:variant>
        <vt:i4>7798832</vt:i4>
      </vt:variant>
      <vt:variant>
        <vt:i4>9</vt:i4>
      </vt:variant>
      <vt:variant>
        <vt:i4>0</vt:i4>
      </vt:variant>
      <vt:variant>
        <vt:i4>5</vt:i4>
      </vt:variant>
      <vt:variant>
        <vt:lpwstr>https://www.cbd.int/doc/decisions/cp-mop-09/cp-mop-09-dec-13-en.pdf</vt:lpwstr>
      </vt:variant>
      <vt:variant>
        <vt:lpwstr/>
      </vt:variant>
      <vt:variant>
        <vt:i4>7798832</vt:i4>
      </vt:variant>
      <vt:variant>
        <vt:i4>6</vt:i4>
      </vt:variant>
      <vt:variant>
        <vt:i4>0</vt:i4>
      </vt:variant>
      <vt:variant>
        <vt:i4>5</vt:i4>
      </vt:variant>
      <vt:variant>
        <vt:lpwstr>https://www.cbd.int/doc/decisions/cp-mop-09/cp-mop-09-dec-13-en.pdf</vt:lpwstr>
      </vt:variant>
      <vt:variant>
        <vt:lpwstr/>
      </vt:variant>
      <vt:variant>
        <vt:i4>7536689</vt:i4>
      </vt:variant>
      <vt:variant>
        <vt:i4>3</vt:i4>
      </vt:variant>
      <vt:variant>
        <vt:i4>0</vt:i4>
      </vt:variant>
      <vt:variant>
        <vt:i4>5</vt:i4>
      </vt:variant>
      <vt:variant>
        <vt:lpwstr>https://www.cbd.int/doc/decisions/cp-mop-11/cp-mop-11-dec-07-en.pdf</vt:lpwstr>
      </vt:variant>
      <vt:variant>
        <vt:lpwstr/>
      </vt:variant>
      <vt:variant>
        <vt:i4>7798832</vt:i4>
      </vt:variant>
      <vt:variant>
        <vt:i4>0</vt:i4>
      </vt:variant>
      <vt:variant>
        <vt:i4>0</vt:i4>
      </vt:variant>
      <vt:variant>
        <vt:i4>5</vt:i4>
      </vt:variant>
      <vt:variant>
        <vt:lpwstr>https://www.cbd.int/doc/decisions/cp-mop-09/cp-mop-09-dec-13-en.pdf</vt:lpwstr>
      </vt:variant>
      <vt:variant>
        <vt:lpwstr/>
      </vt:variant>
      <vt:variant>
        <vt:i4>2752564</vt:i4>
      </vt:variant>
      <vt:variant>
        <vt:i4>21</vt:i4>
      </vt:variant>
      <vt:variant>
        <vt:i4>0</vt:i4>
      </vt:variant>
      <vt:variant>
        <vt:i4>5</vt:i4>
      </vt:variant>
      <vt:variant>
        <vt:lpwstr>https://www.cbd.int/documents/CBD/CP/RA/AHTEG/2025/1/INF/2</vt:lpwstr>
      </vt:variant>
      <vt:variant>
        <vt:lpwstr/>
      </vt:variant>
      <vt:variant>
        <vt:i4>2687028</vt:i4>
      </vt:variant>
      <vt:variant>
        <vt:i4>18</vt:i4>
      </vt:variant>
      <vt:variant>
        <vt:i4>0</vt:i4>
      </vt:variant>
      <vt:variant>
        <vt:i4>5</vt:i4>
      </vt:variant>
      <vt:variant>
        <vt:lpwstr>https://www.cbd.int/documents/CBD/CP/RA/AHTEG/2025/1/INF/1</vt:lpwstr>
      </vt:variant>
      <vt:variant>
        <vt:lpwstr/>
      </vt:variant>
      <vt:variant>
        <vt:i4>7405681</vt:i4>
      </vt:variant>
      <vt:variant>
        <vt:i4>15</vt:i4>
      </vt:variant>
      <vt:variant>
        <vt:i4>0</vt:i4>
      </vt:variant>
      <vt:variant>
        <vt:i4>5</vt:i4>
      </vt:variant>
      <vt:variant>
        <vt:lpwstr>https://www.cbd.int/decisions/mop/?m=cp-mop-11</vt:lpwstr>
      </vt:variant>
      <vt:variant>
        <vt:lpwstr/>
      </vt:variant>
      <vt:variant>
        <vt:i4>3539048</vt:i4>
      </vt:variant>
      <vt:variant>
        <vt:i4>12</vt:i4>
      </vt:variant>
      <vt:variant>
        <vt:i4>0</vt:i4>
      </vt:variant>
      <vt:variant>
        <vt:i4>5</vt:i4>
      </vt:variant>
      <vt:variant>
        <vt:lpwstr>https://www.cbd.int/decisions/?id=11024</vt:lpwstr>
      </vt:variant>
      <vt:variant>
        <vt:lpwstr/>
      </vt:variant>
      <vt:variant>
        <vt:i4>7077988</vt:i4>
      </vt:variant>
      <vt:variant>
        <vt:i4>9</vt:i4>
      </vt:variant>
      <vt:variant>
        <vt:i4>0</vt:i4>
      </vt:variant>
      <vt:variant>
        <vt:i4>5</vt:i4>
      </vt:variant>
      <vt:variant>
        <vt:lpwstr>https://www.cbd.int/tsc/tscm/subregionalcentres</vt:lpwstr>
      </vt:variant>
      <vt:variant>
        <vt:lpwstr/>
      </vt:variant>
      <vt:variant>
        <vt:i4>2359413</vt:i4>
      </vt:variant>
      <vt:variant>
        <vt:i4>6</vt:i4>
      </vt:variant>
      <vt:variant>
        <vt:i4>0</vt:i4>
      </vt:variant>
      <vt:variant>
        <vt:i4>5</vt:i4>
      </vt:variant>
      <vt:variant>
        <vt:lpwstr>https://www.cbd.int/documents/CBD/CP/RA/AHTEG/2025/1/3</vt:lpwstr>
      </vt:variant>
      <vt:variant>
        <vt:lpwstr/>
      </vt:variant>
      <vt:variant>
        <vt:i4>4587590</vt:i4>
      </vt:variant>
      <vt:variant>
        <vt:i4>3</vt:i4>
      </vt:variant>
      <vt:variant>
        <vt:i4>0</vt:i4>
      </vt:variant>
      <vt:variant>
        <vt:i4>5</vt:i4>
      </vt:variant>
      <vt:variant>
        <vt:lpwstr>https://www.cbd.int/documents/CBD/SBSTTA/27/6</vt:lpwstr>
      </vt:variant>
      <vt:variant>
        <vt:lpwstr/>
      </vt:variant>
      <vt:variant>
        <vt:i4>2359413</vt:i4>
      </vt:variant>
      <vt:variant>
        <vt:i4>0</vt:i4>
      </vt:variant>
      <vt:variant>
        <vt:i4>0</vt:i4>
      </vt:variant>
      <vt:variant>
        <vt:i4>5</vt:i4>
      </vt:variant>
      <vt:variant>
        <vt:lpwstr>https://www.cbd.int/documents/CBD/CP/RA/AHTEG/2025/1/3</vt:lpwstr>
      </vt:variant>
      <vt:variant>
        <vt:lpwstr/>
      </vt:variant>
      <vt:variant>
        <vt:i4>4587590</vt:i4>
      </vt:variant>
      <vt:variant>
        <vt:i4>0</vt:i4>
      </vt:variant>
      <vt:variant>
        <vt:i4>0</vt:i4>
      </vt:variant>
      <vt:variant>
        <vt:i4>5</vt:i4>
      </vt:variant>
      <vt:variant>
        <vt:lpwstr>https://www.cbd.int/documents/CBD/SBSTTA/27/6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adopted by the Subsidiary Body on Scientific, Technical and Technological Advice on 24 October 2025</dc:title>
  <dc:subject/>
  <dc:creator>Secretariat of the Convention on Biological Diversity</dc:creator>
  <cp:keywords>Subsidiary Body on Scientific, Technical and Technological Advice, twenty-seventh meeting</cp:keywords>
  <dc:description/>
  <cp:lastModifiedBy>Veronique Lefebvre</cp:lastModifiedBy>
  <cp:revision>3</cp:revision>
  <dcterms:created xsi:type="dcterms:W3CDTF">2025-11-13T19:29:00Z</dcterms:created>
  <dcterms:modified xsi:type="dcterms:W3CDTF">2025-11-13T19:29:00Z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MediaServiceImageTags">
    <vt:lpwstr/>
  </property>
  <property fmtid="{D5CDD505-2E9C-101B-9397-08002B2CF9AE}" pid="9" name="ContentTypeId">
    <vt:lpwstr>0x01010069BFACF6D92CD24AA50050CE23F68F74</vt:lpwstr>
  </property>
</Properties>
</file>