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2" w:type="dxa"/>
        <w:tblInd w:w="-283" w:type="dxa"/>
        <w:tblLayout w:type="fixed"/>
        <w:tblLook w:val="0000" w:firstRow="0" w:lastRow="0" w:firstColumn="0" w:lastColumn="0" w:noHBand="0" w:noVBand="0"/>
      </w:tblPr>
      <w:tblGrid>
        <w:gridCol w:w="975"/>
        <w:gridCol w:w="1434"/>
        <w:gridCol w:w="8073"/>
      </w:tblGrid>
      <w:tr w:rsidR="001065E9" w:rsidRPr="00E70E49" w14:paraId="139A89C9" w14:textId="77777777" w:rsidTr="001065E9">
        <w:trPr>
          <w:trHeight w:val="850"/>
        </w:trPr>
        <w:tc>
          <w:tcPr>
            <w:tcW w:w="975" w:type="dxa"/>
            <w:vAlign w:val="bottom"/>
          </w:tcPr>
          <w:p w14:paraId="558375E6" w14:textId="77777777" w:rsidR="005012FC" w:rsidRPr="00E70E49" w:rsidRDefault="005012FC" w:rsidP="005012FC">
            <w:pPr>
              <w:pStyle w:val="AASmallLogo"/>
              <w:rPr>
                <w:lang w:val="es-419"/>
              </w:rPr>
            </w:pPr>
            <w:r w:rsidRPr="00E70E49">
              <w:rPr>
                <w:noProof/>
                <w:lang w:val="en-US"/>
              </w:rPr>
              <w:drawing>
                <wp:inline distT="0" distB="0" distL="0" distR="0" wp14:anchorId="108C7E4C" wp14:editId="78D5F55C">
                  <wp:extent cx="474727" cy="402337"/>
                  <wp:effectExtent l="0" t="0" r="1905" b="0"/>
                  <wp:docPr id="554334967" name="Picture 1"/>
                  <wp:cNvGraphicFramePr/>
                  <a:graphic xmlns:a="http://schemas.openxmlformats.org/drawingml/2006/main">
                    <a:graphicData uri="http://schemas.openxmlformats.org/drawingml/2006/picture">
                      <pic:pic xmlns:pic="http://schemas.openxmlformats.org/drawingml/2006/picture">
                        <pic:nvPicPr>
                          <pic:cNvPr id="55433496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E70E49">
              <w:rPr>
                <w:lang w:val="es-419"/>
              </w:rPr>
              <w:t xml:space="preserve"> </w:t>
            </w:r>
          </w:p>
          <w:p w14:paraId="2F4ED89D" w14:textId="77777777" w:rsidR="001065E9" w:rsidRPr="00E70E49" w:rsidRDefault="001065E9" w:rsidP="005012FC">
            <w:pPr>
              <w:pStyle w:val="AASmallLogo"/>
              <w:rPr>
                <w:lang w:val="es-419"/>
              </w:rPr>
            </w:pPr>
          </w:p>
        </w:tc>
        <w:tc>
          <w:tcPr>
            <w:tcW w:w="1434" w:type="dxa"/>
            <w:noWrap/>
            <w:vAlign w:val="bottom"/>
          </w:tcPr>
          <w:p w14:paraId="7ED8D3A0" w14:textId="3A153A4E" w:rsidR="005012FC" w:rsidRPr="00E70E49" w:rsidRDefault="00285D70" w:rsidP="005012FC">
            <w:pPr>
              <w:pStyle w:val="AASmallLogo"/>
              <w:rPr>
                <w:lang w:val="es-419"/>
              </w:rPr>
            </w:pPr>
            <w:r w:rsidRPr="00E70E49">
              <w:rPr>
                <w:noProof/>
                <w:lang w:val="en-US"/>
              </w:rPr>
              <w:drawing>
                <wp:inline distT="0" distB="0" distL="0" distR="0" wp14:anchorId="5B6A93DB" wp14:editId="22B72A60">
                  <wp:extent cx="498788" cy="285021"/>
                  <wp:effectExtent l="0" t="0" r="0" b="1270"/>
                  <wp:docPr id="186738444" name="Picture 2"/>
                  <wp:cNvGraphicFramePr/>
                  <a:graphic xmlns:a="http://schemas.openxmlformats.org/drawingml/2006/main">
                    <a:graphicData uri="http://schemas.openxmlformats.org/drawingml/2006/picture">
                      <pic:pic xmlns:pic="http://schemas.openxmlformats.org/drawingml/2006/picture">
                        <pic:nvPicPr>
                          <pic:cNvPr id="186738444"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8788" cy="285021"/>
                          </a:xfrm>
                          <a:prstGeom prst="rect">
                            <a:avLst/>
                          </a:prstGeom>
                        </pic:spPr>
                      </pic:pic>
                    </a:graphicData>
                  </a:graphic>
                </wp:inline>
              </w:drawing>
            </w:r>
            <w:r w:rsidR="005012FC" w:rsidRPr="00E70E49">
              <w:rPr>
                <w:lang w:val="es-419"/>
              </w:rPr>
              <w:t xml:space="preserve"> </w:t>
            </w:r>
          </w:p>
          <w:p w14:paraId="5F3BA419" w14:textId="77777777" w:rsidR="001065E9" w:rsidRPr="00E70E49" w:rsidRDefault="001065E9" w:rsidP="005012FC">
            <w:pPr>
              <w:pStyle w:val="AASmallLogo"/>
              <w:rPr>
                <w:lang w:val="es-419"/>
              </w:rPr>
            </w:pPr>
          </w:p>
        </w:tc>
        <w:tc>
          <w:tcPr>
            <w:tcW w:w="8073" w:type="dxa"/>
            <w:vAlign w:val="bottom"/>
          </w:tcPr>
          <w:p w14:paraId="0E134068" w14:textId="5FDCD332" w:rsidR="001065E9" w:rsidRPr="00E70E49" w:rsidRDefault="009C0BBB" w:rsidP="006B2FEF">
            <w:pPr>
              <w:pStyle w:val="ABSymbol"/>
              <w:rPr>
                <w:lang w:val="es-419"/>
              </w:rPr>
            </w:pPr>
            <w:r w:rsidRPr="00E70E49">
              <w:rPr>
                <w:sz w:val="40"/>
                <w:lang w:val="es-419"/>
              </w:rPr>
              <w:t>CBD</w:t>
            </w:r>
            <w:r w:rsidRPr="00E70E49">
              <w:rPr>
                <w:lang w:val="es-419"/>
              </w:rPr>
              <w:t>/</w:t>
            </w:r>
            <w:r w:rsidR="00E70E49" w:rsidRPr="00E70E49">
              <w:rPr>
                <w:lang w:val="es-419"/>
              </w:rPr>
              <w:t>SBSTTA/REC/27/7</w:t>
            </w:r>
          </w:p>
        </w:tc>
      </w:tr>
    </w:tbl>
    <w:p w14:paraId="2AA499BF" w14:textId="77777777" w:rsidR="009F67EB" w:rsidRPr="00E70E49" w:rsidRDefault="009F67EB" w:rsidP="001065E9">
      <w:pPr>
        <w:pStyle w:val="AISpacer"/>
        <w:rPr>
          <w:lang w:val="es-419"/>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1065E9" w:rsidRPr="00E70E49" w14:paraId="09B77170" w14:textId="77777777" w:rsidTr="001065E9">
        <w:trPr>
          <w:trHeight w:val="1814"/>
        </w:trPr>
        <w:tc>
          <w:tcPr>
            <w:tcW w:w="7370" w:type="dxa"/>
          </w:tcPr>
          <w:p w14:paraId="07AAF0EF" w14:textId="137B2B2A" w:rsidR="005012FC" w:rsidRPr="00E70E49" w:rsidRDefault="00285D70" w:rsidP="005012FC">
            <w:pPr>
              <w:pStyle w:val="ACLargeLogo"/>
              <w:rPr>
                <w:lang w:val="es-419"/>
              </w:rPr>
            </w:pPr>
            <w:r w:rsidRPr="00E70E49">
              <w:rPr>
                <w:noProof/>
                <w:lang w:val="en-US"/>
                <w14:ligatures w14:val="standardContextual"/>
              </w:rPr>
              <w:drawing>
                <wp:inline distT="0" distB="0" distL="0" distR="0" wp14:anchorId="7733AA18" wp14:editId="141151A2">
                  <wp:extent cx="2755631" cy="1013099"/>
                  <wp:effectExtent l="0" t="0" r="6985" b="0"/>
                  <wp:docPr id="1745784610" name="Picture 3"/>
                  <wp:cNvGraphicFramePr/>
                  <a:graphic xmlns:a="http://schemas.openxmlformats.org/drawingml/2006/main">
                    <a:graphicData uri="http://schemas.openxmlformats.org/drawingml/2006/picture">
                      <pic:pic xmlns:pic="http://schemas.openxmlformats.org/drawingml/2006/picture">
                        <pic:nvPicPr>
                          <pic:cNvPr id="174578461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2755631" cy="1013099"/>
                          </a:xfrm>
                          <a:prstGeom prst="rect">
                            <a:avLst/>
                          </a:prstGeom>
                        </pic:spPr>
                      </pic:pic>
                    </a:graphicData>
                  </a:graphic>
                </wp:inline>
              </w:drawing>
            </w:r>
            <w:r w:rsidR="005012FC" w:rsidRPr="00E70E49">
              <w:rPr>
                <w:lang w:val="es-419"/>
              </w:rPr>
              <w:t xml:space="preserve"> </w:t>
            </w:r>
          </w:p>
          <w:p w14:paraId="43E9AB4F" w14:textId="77777777" w:rsidR="001065E9" w:rsidRPr="00E70E49" w:rsidRDefault="001065E9" w:rsidP="005012FC">
            <w:pPr>
              <w:pStyle w:val="ACLargeLogo"/>
              <w:rPr>
                <w:lang w:val="es-419"/>
              </w:rPr>
            </w:pPr>
          </w:p>
        </w:tc>
        <w:tc>
          <w:tcPr>
            <w:tcW w:w="3112" w:type="dxa"/>
          </w:tcPr>
          <w:p w14:paraId="765DCF29" w14:textId="43CE9642" w:rsidR="005012FC" w:rsidRPr="00E70E49" w:rsidRDefault="005012FC" w:rsidP="005012FC">
            <w:pPr>
              <w:pStyle w:val="AEDistrNormal"/>
              <w:rPr>
                <w:lang w:val="es-419"/>
              </w:rPr>
            </w:pPr>
            <w:r w:rsidRPr="00E70E49">
              <w:rPr>
                <w:lang w:val="es-419"/>
              </w:rPr>
              <w:t xml:space="preserve">Distr. </w:t>
            </w:r>
            <w:r w:rsidR="000E061B">
              <w:rPr>
                <w:lang w:val="es-419"/>
              </w:rPr>
              <w:t>general</w:t>
            </w:r>
          </w:p>
          <w:p w14:paraId="07E15374" w14:textId="6D9B7A43" w:rsidR="005012FC" w:rsidRPr="00E70E49" w:rsidRDefault="00612CDF" w:rsidP="005012FC">
            <w:pPr>
              <w:pStyle w:val="AEDistrNormal"/>
              <w:rPr>
                <w:lang w:val="es-419"/>
              </w:rPr>
            </w:pPr>
            <w:r w:rsidRPr="00E70E49">
              <w:rPr>
                <w:lang w:val="es-419"/>
              </w:rPr>
              <w:t>24 de octubre de 2025</w:t>
            </w:r>
          </w:p>
          <w:p w14:paraId="66696826" w14:textId="77777777" w:rsidR="005012FC" w:rsidRPr="00E70E49" w:rsidRDefault="005012FC" w:rsidP="005012FC">
            <w:pPr>
              <w:pStyle w:val="AEDistrNormal"/>
              <w:rPr>
                <w:lang w:val="es-419"/>
              </w:rPr>
            </w:pPr>
            <w:r w:rsidRPr="00E70E49">
              <w:rPr>
                <w:lang w:val="es-419"/>
              </w:rPr>
              <w:t>Español</w:t>
            </w:r>
            <w:r w:rsidRPr="00E70E49">
              <w:rPr>
                <w:lang w:val="es-419"/>
              </w:rPr>
              <w:br/>
              <w:t xml:space="preserve">Original: inglés </w:t>
            </w:r>
          </w:p>
          <w:p w14:paraId="74CD7968" w14:textId="77777777" w:rsidR="001065E9" w:rsidRPr="00E70E49" w:rsidRDefault="001065E9" w:rsidP="005012FC">
            <w:pPr>
              <w:pStyle w:val="AEDistrNormal6pt"/>
              <w:rPr>
                <w:lang w:val="es-419"/>
              </w:rPr>
            </w:pPr>
          </w:p>
        </w:tc>
      </w:tr>
    </w:tbl>
    <w:p w14:paraId="5D878378" w14:textId="77777777" w:rsidR="001065E9" w:rsidRPr="00E70E49" w:rsidRDefault="001065E9" w:rsidP="001065E9">
      <w:pPr>
        <w:pStyle w:val="AISpacer"/>
        <w:rPr>
          <w:lang w:val="es-419"/>
        </w:rP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1065E9" w:rsidRPr="00E70E49" w14:paraId="5FBB0DB2" w14:textId="77777777" w:rsidTr="001065E9">
        <w:trPr>
          <w:trHeight w:val="57"/>
        </w:trPr>
        <w:tc>
          <w:tcPr>
            <w:tcW w:w="6094" w:type="dxa"/>
          </w:tcPr>
          <w:p w14:paraId="32CB6BC2" w14:textId="77777777" w:rsidR="005012FC" w:rsidRPr="00E70E49" w:rsidRDefault="005012FC" w:rsidP="005012FC">
            <w:pPr>
              <w:pStyle w:val="AFCorN12Bold"/>
              <w:rPr>
                <w:lang w:val="es-419"/>
              </w:rPr>
            </w:pPr>
            <w:r w:rsidRPr="00E70E49">
              <w:rPr>
                <w:lang w:val="es-419"/>
              </w:rPr>
              <w:t>Órgano Subsidiario de Asesoramiento</w:t>
            </w:r>
            <w:r w:rsidRPr="00E70E49">
              <w:rPr>
                <w:lang w:val="es-419"/>
              </w:rPr>
              <w:br/>
              <w:t>Científico, Técnico y Tecnológico</w:t>
            </w:r>
          </w:p>
          <w:p w14:paraId="40F1D129" w14:textId="528D23AE" w:rsidR="005012FC" w:rsidRPr="00E70E49" w:rsidRDefault="008F5F06" w:rsidP="005012FC">
            <w:pPr>
              <w:pStyle w:val="AFCorNBold"/>
              <w:rPr>
                <w:lang w:val="es-419"/>
              </w:rPr>
            </w:pPr>
            <w:r>
              <w:rPr>
                <w:lang w:val="es-419"/>
              </w:rPr>
              <w:t>27ª reunión</w:t>
            </w:r>
            <w:bookmarkStart w:id="0" w:name="_GoBack"/>
            <w:bookmarkEnd w:id="0"/>
          </w:p>
          <w:p w14:paraId="17F1EA03" w14:textId="77777777" w:rsidR="005012FC" w:rsidRPr="00E70E49" w:rsidRDefault="00962822" w:rsidP="005012FC">
            <w:pPr>
              <w:pStyle w:val="AFCorNNormal"/>
              <w:rPr>
                <w:lang w:val="es-419"/>
              </w:rPr>
            </w:pPr>
            <w:r w:rsidRPr="00E70E49">
              <w:rPr>
                <w:lang w:val="es-419"/>
              </w:rPr>
              <w:t xml:space="preserve">Panamá, 20 a 24 de octubre de 2025 </w:t>
            </w:r>
          </w:p>
          <w:p w14:paraId="36AB3FF2" w14:textId="087DA920" w:rsidR="005012FC" w:rsidRPr="00E70E49" w:rsidRDefault="00573922" w:rsidP="005012FC">
            <w:pPr>
              <w:pStyle w:val="AFCorNNormal"/>
              <w:rPr>
                <w:lang w:val="es-419"/>
              </w:rPr>
            </w:pPr>
            <w:r w:rsidRPr="00E70E49">
              <w:rPr>
                <w:lang w:val="es-419"/>
              </w:rPr>
              <w:t>Tema 7 del programa</w:t>
            </w:r>
          </w:p>
          <w:p w14:paraId="62C0EBFF" w14:textId="4E5B9F66" w:rsidR="001065E9" w:rsidRPr="00E70E49" w:rsidRDefault="0009421D" w:rsidP="00B1090B">
            <w:pPr>
              <w:pStyle w:val="AFCorNBold"/>
              <w:spacing w:after="120"/>
              <w:rPr>
                <w:lang w:val="es-419"/>
              </w:rPr>
            </w:pPr>
            <w:r w:rsidRPr="00E70E49">
              <w:rPr>
                <w:lang w:val="es-419"/>
              </w:rPr>
              <w:t>Evaluación del riesgo y gestión del riesgo</w:t>
            </w:r>
          </w:p>
        </w:tc>
        <w:tc>
          <w:tcPr>
            <w:tcW w:w="4388" w:type="dxa"/>
          </w:tcPr>
          <w:p w14:paraId="1E2A819C" w14:textId="77777777" w:rsidR="001065E9" w:rsidRPr="00E70E49" w:rsidRDefault="001065E9" w:rsidP="001065E9">
            <w:pPr>
              <w:pStyle w:val="CBDNormal"/>
              <w:jc w:val="left"/>
              <w:rPr>
                <w:lang w:val="es-419"/>
              </w:rPr>
            </w:pPr>
          </w:p>
        </w:tc>
      </w:tr>
    </w:tbl>
    <w:sdt>
      <w:sdtPr>
        <w:rPr>
          <w:lang w:val="es-419"/>
        </w:rPr>
        <w:alias w:val="Title"/>
        <w:tag w:val=""/>
        <w:id w:val="-591865594"/>
        <w:placeholder>
          <w:docPart w:val="D176974CAE7F4C98B024CDADEBC38C0E"/>
        </w:placeholder>
        <w:dataBinding w:prefixMappings="xmlns:ns0='http://purl.org/dc/elements/1.1/' xmlns:ns1='http://schemas.openxmlformats.org/package/2006/metadata/core-properties' " w:xpath="/ns1:coreProperties[1]/ns0:title[1]" w:storeItemID="{6C3C8BC8-F283-45AE-878A-BAB7291924A1}"/>
        <w:text/>
      </w:sdtPr>
      <w:sdtEndPr/>
      <w:sdtContent>
        <w:p w14:paraId="26093F35" w14:textId="50C4A60E" w:rsidR="001065E9" w:rsidRPr="00E70E49" w:rsidRDefault="00E70E49" w:rsidP="003B142D">
          <w:pPr>
            <w:pStyle w:val="CBDTitle"/>
            <w:rPr>
              <w:lang w:val="es-419"/>
            </w:rPr>
          </w:pPr>
          <w:r w:rsidRPr="00E70E49">
            <w:rPr>
              <w:lang w:val="es-419"/>
            </w:rPr>
            <w:t>Recomendación adopt</w:t>
          </w:r>
          <w:r>
            <w:rPr>
              <w:lang w:val="es-419"/>
            </w:rPr>
            <w:t>a</w:t>
          </w:r>
          <w:r w:rsidRPr="00E70E49">
            <w:rPr>
              <w:lang w:val="es-419"/>
            </w:rPr>
            <w:t>d</w:t>
          </w:r>
          <w:r>
            <w:rPr>
              <w:lang w:val="es-419"/>
            </w:rPr>
            <w:t>a por el Órgano</w:t>
          </w:r>
          <w:r w:rsidRPr="00E70E49">
            <w:rPr>
              <w:lang w:val="es-419"/>
            </w:rPr>
            <w:t xml:space="preserve"> Subsidiar</w:t>
          </w:r>
          <w:r>
            <w:rPr>
              <w:lang w:val="es-419"/>
            </w:rPr>
            <w:t>i</w:t>
          </w:r>
          <w:r w:rsidRPr="00E70E49">
            <w:rPr>
              <w:lang w:val="es-419"/>
            </w:rPr>
            <w:t>o</w:t>
          </w:r>
          <w:r>
            <w:rPr>
              <w:lang w:val="es-419"/>
            </w:rPr>
            <w:t xml:space="preserve"> </w:t>
          </w:r>
          <w:r w:rsidRPr="00E70E49">
            <w:rPr>
              <w:lang w:val="es-419"/>
            </w:rPr>
            <w:t>d</w:t>
          </w:r>
          <w:r>
            <w:rPr>
              <w:lang w:val="es-419"/>
            </w:rPr>
            <w:t>e Asesoramie</w:t>
          </w:r>
          <w:r w:rsidRPr="00E70E49">
            <w:rPr>
              <w:lang w:val="es-419"/>
            </w:rPr>
            <w:t>n</w:t>
          </w:r>
          <w:r>
            <w:rPr>
              <w:lang w:val="es-419"/>
            </w:rPr>
            <w:t>to</w:t>
          </w:r>
          <w:r w:rsidRPr="00E70E49">
            <w:rPr>
              <w:lang w:val="es-419"/>
            </w:rPr>
            <w:t xml:space="preserve"> </w:t>
          </w:r>
          <w:r>
            <w:rPr>
              <w:lang w:val="es-419"/>
            </w:rPr>
            <w:t>C</w:t>
          </w:r>
          <w:r w:rsidRPr="00E70E49">
            <w:rPr>
              <w:lang w:val="es-419"/>
            </w:rPr>
            <w:t>ient</w:t>
          </w:r>
          <w:r>
            <w:rPr>
              <w:lang w:val="es-419"/>
            </w:rPr>
            <w:t>í</w:t>
          </w:r>
          <w:r w:rsidRPr="00E70E49">
            <w:rPr>
              <w:lang w:val="es-419"/>
            </w:rPr>
            <w:t>fic</w:t>
          </w:r>
          <w:r>
            <w:rPr>
              <w:lang w:val="es-419"/>
            </w:rPr>
            <w:t>o</w:t>
          </w:r>
          <w:r w:rsidRPr="00E70E49">
            <w:rPr>
              <w:lang w:val="es-419"/>
            </w:rPr>
            <w:t>, T</w:t>
          </w:r>
          <w:r>
            <w:rPr>
              <w:lang w:val="es-419"/>
            </w:rPr>
            <w:t>é</w:t>
          </w:r>
          <w:r w:rsidRPr="00E70E49">
            <w:rPr>
              <w:lang w:val="es-419"/>
            </w:rPr>
            <w:t>cnic</w:t>
          </w:r>
          <w:r>
            <w:rPr>
              <w:lang w:val="es-419"/>
            </w:rPr>
            <w:t xml:space="preserve">o y </w:t>
          </w:r>
          <w:r w:rsidRPr="00E70E49">
            <w:rPr>
              <w:lang w:val="es-419"/>
            </w:rPr>
            <w:t>Tecnol</w:t>
          </w:r>
          <w:r>
            <w:rPr>
              <w:lang w:val="es-419"/>
            </w:rPr>
            <w:t>ó</w:t>
          </w:r>
          <w:r w:rsidRPr="00E70E49">
            <w:rPr>
              <w:lang w:val="es-419"/>
            </w:rPr>
            <w:t>gico</w:t>
          </w:r>
          <w:r>
            <w:rPr>
              <w:lang w:val="es-419"/>
            </w:rPr>
            <w:t xml:space="preserve"> el</w:t>
          </w:r>
          <w:r w:rsidRPr="00E70E49">
            <w:rPr>
              <w:lang w:val="es-419"/>
            </w:rPr>
            <w:t xml:space="preserve"> 24 </w:t>
          </w:r>
          <w:r>
            <w:rPr>
              <w:lang w:val="es-419"/>
            </w:rPr>
            <w:t>de o</w:t>
          </w:r>
          <w:r w:rsidRPr="00E70E49">
            <w:rPr>
              <w:lang w:val="es-419"/>
            </w:rPr>
            <w:t>ct</w:t>
          </w:r>
          <w:r>
            <w:rPr>
              <w:lang w:val="es-419"/>
            </w:rPr>
            <w:t>u</w:t>
          </w:r>
          <w:r w:rsidRPr="00E70E49">
            <w:rPr>
              <w:lang w:val="es-419"/>
            </w:rPr>
            <w:t>br</w:t>
          </w:r>
          <w:r>
            <w:rPr>
              <w:lang w:val="es-419"/>
            </w:rPr>
            <w:t>e</w:t>
          </w:r>
          <w:r w:rsidRPr="00E70E49">
            <w:rPr>
              <w:lang w:val="es-419"/>
            </w:rPr>
            <w:t xml:space="preserve"> </w:t>
          </w:r>
          <w:r>
            <w:rPr>
              <w:lang w:val="es-419"/>
            </w:rPr>
            <w:t xml:space="preserve">de </w:t>
          </w:r>
          <w:r w:rsidRPr="00E70E49">
            <w:rPr>
              <w:lang w:val="es-419"/>
            </w:rPr>
            <w:t>2025</w:t>
          </w:r>
        </w:p>
      </w:sdtContent>
    </w:sdt>
    <w:p w14:paraId="25EA73CB" w14:textId="1E8AB1E4" w:rsidR="00D4364D" w:rsidRPr="00E70E49" w:rsidRDefault="00E70E49" w:rsidP="00B1090B">
      <w:pPr>
        <w:pStyle w:val="CBDSubTitle"/>
        <w:rPr>
          <w:lang w:val="es-419"/>
        </w:rPr>
      </w:pPr>
      <w:r w:rsidRPr="00E70E49">
        <w:rPr>
          <w:lang w:val="es-419"/>
        </w:rPr>
        <w:t>27/2</w:t>
      </w:r>
      <w:r w:rsidRPr="00E70E49">
        <w:rPr>
          <w:lang w:val="es-419"/>
        </w:rPr>
        <w:tab/>
        <w:t>Evaluación del riesgo y gestión del riesgo de organismos vivos modificados</w:t>
      </w:r>
    </w:p>
    <w:p w14:paraId="16F2985F" w14:textId="77777777" w:rsidR="00B66BDF" w:rsidRPr="00E70E49" w:rsidRDefault="00B66BDF" w:rsidP="00B66BDF">
      <w:pPr>
        <w:tabs>
          <w:tab w:val="left" w:pos="2835"/>
          <w:tab w:val="left" w:pos="3402"/>
        </w:tabs>
        <w:spacing w:after="120"/>
        <w:ind w:left="567" w:firstLine="567"/>
        <w:rPr>
          <w:i/>
          <w:lang w:val="es-419"/>
        </w:rPr>
      </w:pPr>
      <w:r w:rsidRPr="00E70E49">
        <w:rPr>
          <w:i/>
          <w:lang w:val="es-419"/>
        </w:rPr>
        <w:t>El Órgano Subsidiario de Asesoramiento Científico, Técnico y Tecnológico</w:t>
      </w:r>
    </w:p>
    <w:p w14:paraId="73CC2822" w14:textId="351FBA97" w:rsidR="00B66BDF" w:rsidRPr="00E70E49" w:rsidRDefault="00B66BDF" w:rsidP="00B66BDF">
      <w:pPr>
        <w:tabs>
          <w:tab w:val="left" w:pos="2835"/>
          <w:tab w:val="left" w:pos="3402"/>
        </w:tabs>
        <w:spacing w:after="120"/>
        <w:ind w:left="567" w:firstLine="567"/>
        <w:rPr>
          <w:lang w:val="es-419"/>
        </w:rPr>
      </w:pPr>
      <w:r w:rsidRPr="00E70E49">
        <w:rPr>
          <w:i/>
          <w:lang w:val="es-419"/>
        </w:rPr>
        <w:t>Recomienda</w:t>
      </w:r>
      <w:r w:rsidRPr="00E70E49">
        <w:rPr>
          <w:lang w:val="es-419"/>
        </w:rPr>
        <w:t xml:space="preserve"> a la Conferencia de las Partes que actúa como reunión de las Partes en el Protocolo de Cartagena sobre Seguridad de la Biotecnología</w:t>
      </w:r>
      <w:r w:rsidR="00F13E8F" w:rsidRPr="00E70E49">
        <w:rPr>
          <w:rStyle w:val="FootnoteReference"/>
          <w:lang w:val="es-419"/>
        </w:rPr>
        <w:footnoteReference w:id="1"/>
      </w:r>
      <w:r w:rsidRPr="00E70E49">
        <w:rPr>
          <w:lang w:val="es-419"/>
        </w:rPr>
        <w:t xml:space="preserve"> que, en su 12ª reunión, adopte una decisión del siguiente tenor: </w:t>
      </w:r>
    </w:p>
    <w:p w14:paraId="39DB4E9E" w14:textId="77777777" w:rsidR="00EB55FB" w:rsidRPr="00E70E49" w:rsidRDefault="00EB55FB" w:rsidP="00BC7D0F">
      <w:pPr>
        <w:tabs>
          <w:tab w:val="clear" w:pos="567"/>
          <w:tab w:val="left" w:pos="2835"/>
          <w:tab w:val="left" w:pos="3402"/>
        </w:tabs>
        <w:spacing w:after="120"/>
        <w:ind w:left="1134" w:firstLine="567"/>
        <w:rPr>
          <w:i/>
          <w:iCs/>
          <w:lang w:val="es-419"/>
        </w:rPr>
      </w:pPr>
      <w:r w:rsidRPr="00E70E49">
        <w:rPr>
          <w:i/>
          <w:lang w:val="es-419"/>
        </w:rPr>
        <w:t>La Conferencia de las Partes que actúa como reunión de las Partes en el Protocolo de Cartagena</w:t>
      </w:r>
      <w:r w:rsidRPr="00E70E49">
        <w:rPr>
          <w:lang w:val="es-419"/>
        </w:rPr>
        <w:t>,</w:t>
      </w:r>
    </w:p>
    <w:p w14:paraId="2D63D43F" w14:textId="0D5407F0" w:rsidR="00EB55FB" w:rsidRPr="00E70E49" w:rsidRDefault="00EB55FB" w:rsidP="00BC7D0F">
      <w:pPr>
        <w:tabs>
          <w:tab w:val="clear" w:pos="567"/>
          <w:tab w:val="left" w:pos="2835"/>
          <w:tab w:val="left" w:pos="3402"/>
          <w:tab w:val="left" w:pos="3969"/>
        </w:tabs>
        <w:spacing w:before="120" w:after="120"/>
        <w:ind w:left="1134" w:firstLine="567"/>
        <w:rPr>
          <w:i/>
          <w:iCs/>
          <w:lang w:val="es-419"/>
        </w:rPr>
      </w:pPr>
      <w:r w:rsidRPr="00E70E49">
        <w:rPr>
          <w:i/>
          <w:lang w:val="es-419"/>
        </w:rPr>
        <w:t>Recordando</w:t>
      </w:r>
      <w:r w:rsidRPr="00E70E49">
        <w:rPr>
          <w:lang w:val="es-419"/>
        </w:rPr>
        <w:t xml:space="preserve"> las decisiones </w:t>
      </w:r>
      <w:hyperlink r:id="rId14" w:history="1">
        <w:r w:rsidRPr="00E70E49">
          <w:rPr>
            <w:rStyle w:val="Hyperlink"/>
            <w:lang w:val="es-419"/>
          </w:rPr>
          <w:t>CP-9/13</w:t>
        </w:r>
      </w:hyperlink>
      <w:r w:rsidRPr="00E70E49">
        <w:rPr>
          <w:lang w:val="es-419"/>
        </w:rPr>
        <w:t xml:space="preserve">, de 28 de noviembre de 2018, y </w:t>
      </w:r>
      <w:hyperlink r:id="rId15" w:history="1">
        <w:r w:rsidRPr="00E70E49">
          <w:rPr>
            <w:rStyle w:val="Hyperlink"/>
            <w:lang w:val="es-419"/>
          </w:rPr>
          <w:t>CP-11/7</w:t>
        </w:r>
      </w:hyperlink>
      <w:r w:rsidRPr="00E70E49">
        <w:rPr>
          <w:lang w:val="es-419"/>
        </w:rPr>
        <w:t>, de 30 de octubre de 2024,</w:t>
      </w:r>
    </w:p>
    <w:p w14:paraId="69D24E59" w14:textId="6BC12E05" w:rsidR="00EB55FB" w:rsidRPr="00E70E49" w:rsidRDefault="00EB55FB" w:rsidP="00BC7D0F">
      <w:pPr>
        <w:tabs>
          <w:tab w:val="clear" w:pos="567"/>
          <w:tab w:val="left" w:pos="2835"/>
          <w:tab w:val="left" w:pos="3402"/>
        </w:tabs>
        <w:spacing w:after="120"/>
        <w:ind w:left="1134" w:firstLine="567"/>
        <w:rPr>
          <w:lang w:val="es-419"/>
        </w:rPr>
      </w:pPr>
      <w:r w:rsidRPr="00E70E49">
        <w:rPr>
          <w:lang w:val="es-419"/>
        </w:rPr>
        <w:t>1.</w:t>
      </w:r>
      <w:r w:rsidRPr="00E70E49">
        <w:rPr>
          <w:i/>
          <w:lang w:val="es-419"/>
        </w:rPr>
        <w:tab/>
        <w:t>Expresa su agradecimiento</w:t>
      </w:r>
      <w:r w:rsidRPr="00E70E49">
        <w:rPr>
          <w:lang w:val="es-419"/>
        </w:rPr>
        <w:t xml:space="preserve"> por la labor del Grupo Especial de Expertos Técnicos sobre Evaluación del Riesgo</w:t>
      </w:r>
      <w:r w:rsidRPr="00E70E49">
        <w:rPr>
          <w:vertAlign w:val="superscript"/>
          <w:lang w:val="es-419"/>
        </w:rPr>
        <w:footnoteReference w:id="2"/>
      </w:r>
      <w:r w:rsidRPr="00E70E49">
        <w:rPr>
          <w:lang w:val="es-419"/>
        </w:rPr>
        <w:t xml:space="preserve"> y su aplicación de los criterios establecidos en el anexo I de la decisión </w:t>
      </w:r>
      <w:hyperlink r:id="rId16" w:history="1">
        <w:r w:rsidRPr="00E70E49">
          <w:rPr>
            <w:rStyle w:val="Hyperlink"/>
            <w:lang w:val="es-419"/>
          </w:rPr>
          <w:t>CP-9/13</w:t>
        </w:r>
      </w:hyperlink>
      <w:r w:rsidRPr="00E70E49">
        <w:rPr>
          <w:lang w:val="es-419"/>
        </w:rPr>
        <w:t xml:space="preserve"> a los temas propuestos por las Partes en relación con las necesidades y prioridades de orientación adicional sobre temas específicos de evaluación del riesgo de organismos vivos modificados</w:t>
      </w:r>
      <w:r w:rsidRPr="00E70E49">
        <w:rPr>
          <w:vertAlign w:val="superscript"/>
          <w:lang w:val="es-419"/>
        </w:rPr>
        <w:footnoteReference w:id="3"/>
      </w:r>
      <w:r w:rsidRPr="00E70E49">
        <w:rPr>
          <w:lang w:val="es-419"/>
        </w:rPr>
        <w:t>;</w:t>
      </w:r>
    </w:p>
    <w:p w14:paraId="3F9A8438" w14:textId="0BC18AC3" w:rsidR="00EB55FB" w:rsidRPr="00E70E49" w:rsidRDefault="00BA3617" w:rsidP="00BC7D0F">
      <w:pPr>
        <w:tabs>
          <w:tab w:val="clear" w:pos="567"/>
          <w:tab w:val="left" w:pos="2835"/>
          <w:tab w:val="left" w:pos="3402"/>
        </w:tabs>
        <w:spacing w:after="120"/>
        <w:ind w:left="1134" w:firstLine="567"/>
        <w:rPr>
          <w:lang w:val="es-419"/>
        </w:rPr>
      </w:pPr>
      <w:r w:rsidRPr="00E70E49">
        <w:rPr>
          <w:lang w:val="es-419"/>
        </w:rPr>
        <w:t>[2.</w:t>
      </w:r>
      <w:r w:rsidRPr="00E70E49">
        <w:rPr>
          <w:i/>
          <w:lang w:val="es-419"/>
        </w:rPr>
        <w:tab/>
        <w:t xml:space="preserve">Decide </w:t>
      </w:r>
      <w:r w:rsidRPr="00E70E49">
        <w:rPr>
          <w:lang w:val="es-419"/>
        </w:rPr>
        <w:t>elaborar</w:t>
      </w:r>
      <w:r w:rsidR="008558B8" w:rsidRPr="00E70E49">
        <w:rPr>
          <w:lang w:val="es-419"/>
        </w:rPr>
        <w:t>,</w:t>
      </w:r>
      <w:r w:rsidRPr="00E70E49">
        <w:rPr>
          <w:lang w:val="es-419"/>
        </w:rPr>
        <w:t xml:space="preserve"> </w:t>
      </w:r>
      <w:r w:rsidR="008558B8" w:rsidRPr="00E70E49">
        <w:rPr>
          <w:lang w:val="es-419"/>
        </w:rPr>
        <w:t>como</w:t>
      </w:r>
      <w:r w:rsidRPr="00E70E49">
        <w:rPr>
          <w:lang w:val="es-419"/>
        </w:rPr>
        <w:t xml:space="preserve"> máximo</w:t>
      </w:r>
      <w:r w:rsidR="008558B8" w:rsidRPr="00E70E49">
        <w:rPr>
          <w:lang w:val="es-419"/>
        </w:rPr>
        <w:t>,</w:t>
      </w:r>
      <w:r w:rsidRPr="00E70E49">
        <w:rPr>
          <w:lang w:val="es-419"/>
        </w:rPr>
        <w:t xml:space="preserve"> dos materiales de orientación voluntari</w:t>
      </w:r>
      <w:r w:rsidR="00432212">
        <w:rPr>
          <w:lang w:val="es-419"/>
        </w:rPr>
        <w:t>a</w:t>
      </w:r>
      <w:r w:rsidR="00432212" w:rsidRPr="00432212">
        <w:rPr>
          <w:lang w:val="es-419"/>
        </w:rPr>
        <w:t xml:space="preserve"> </w:t>
      </w:r>
      <w:r w:rsidR="00432212" w:rsidRPr="00E70E49">
        <w:rPr>
          <w:lang w:val="es-419"/>
        </w:rPr>
        <w:t>adicionales</w:t>
      </w:r>
      <w:r w:rsidRPr="00E70E49">
        <w:rPr>
          <w:lang w:val="es-419"/>
        </w:rPr>
        <w:t xml:space="preserve"> de conformidad con el anexo III del Protocolo de Cartagena sobre Seguridad de la Biotecnología</w:t>
      </w:r>
      <w:r w:rsidR="00423A19" w:rsidRPr="00E70E49">
        <w:rPr>
          <w:rStyle w:val="FootnoteReference"/>
          <w:lang w:val="es-419"/>
        </w:rPr>
        <w:footnoteReference w:id="4"/>
      </w:r>
      <w:r w:rsidRPr="00E70E49">
        <w:rPr>
          <w:lang w:val="es-419"/>
        </w:rPr>
        <w:t xml:space="preserve">, para los temas de [algas vivas modificadas,] [peces vivos modificados,] [microorganismos vivos modificados,] [organismos vivos modificados que expresan técnicas de edición del genoma para el control de plagas o patógenos,] [los efectos a largo plazo y acumulativos de las construcciones genéticas y los organismos vivos modificados,] [la operacionalización de objetivos de protección traduciéndolos a puntos finales de evaluación y medición pertinentes,] [el uso de organismos vivos modificados en centros de origen y en </w:t>
      </w:r>
      <w:r w:rsidRPr="00E70E49">
        <w:rPr>
          <w:lang w:val="es-419"/>
        </w:rPr>
        <w:lastRenderedPageBreak/>
        <w:t xml:space="preserve">sistemas agrícolas tradicionales], evitando </w:t>
      </w:r>
      <w:r w:rsidR="008558B8" w:rsidRPr="00E70E49">
        <w:rPr>
          <w:lang w:val="es-419"/>
        </w:rPr>
        <w:t xml:space="preserve">a la vez </w:t>
      </w:r>
      <w:r w:rsidRPr="00E70E49">
        <w:rPr>
          <w:lang w:val="es-419"/>
        </w:rPr>
        <w:t xml:space="preserve">la duplicación </w:t>
      </w:r>
      <w:r w:rsidR="00810841" w:rsidRPr="00E70E49">
        <w:rPr>
          <w:lang w:val="es-419"/>
        </w:rPr>
        <w:t>de</w:t>
      </w:r>
      <w:r w:rsidRPr="00E70E49">
        <w:rPr>
          <w:lang w:val="es-419"/>
        </w:rPr>
        <w:t xml:space="preserve"> materiales de orientación existentes y, cuando proceda, complementándolos;]</w:t>
      </w:r>
    </w:p>
    <w:p w14:paraId="25CF35B5" w14:textId="71BEBFF7" w:rsidR="00EB55FB" w:rsidRPr="00E70E49" w:rsidRDefault="00EB55FB" w:rsidP="00EB55FB">
      <w:pPr>
        <w:tabs>
          <w:tab w:val="clear" w:pos="567"/>
          <w:tab w:val="left" w:pos="2835"/>
          <w:tab w:val="left" w:pos="3402"/>
        </w:tabs>
        <w:spacing w:after="120"/>
        <w:ind w:left="1134" w:firstLine="567"/>
        <w:rPr>
          <w:b/>
          <w:bCs/>
          <w:u w:val="single"/>
          <w:lang w:val="es-419"/>
        </w:rPr>
      </w:pPr>
      <w:r w:rsidRPr="00E70E49">
        <w:rPr>
          <w:lang w:val="es-419"/>
        </w:rPr>
        <w:t>[3.</w:t>
      </w:r>
      <w:r w:rsidRPr="00E70E49">
        <w:rPr>
          <w:i/>
          <w:lang w:val="es-419"/>
        </w:rPr>
        <w:tab/>
        <w:t>Decide también</w:t>
      </w:r>
      <w:r w:rsidRPr="00E70E49">
        <w:rPr>
          <w:lang w:val="es-419"/>
        </w:rPr>
        <w:t xml:space="preserve"> ampliar los esfuerzos de creación de capacidad en materia de </w:t>
      </w:r>
      <w:r w:rsidR="00D47A28">
        <w:rPr>
          <w:lang w:val="es-419"/>
        </w:rPr>
        <w:t xml:space="preserve">la </w:t>
      </w:r>
      <w:r w:rsidRPr="00E70E49">
        <w:rPr>
          <w:lang w:val="es-419"/>
        </w:rPr>
        <w:t xml:space="preserve">evaluación del riesgo y </w:t>
      </w:r>
      <w:r w:rsidR="00D47A28">
        <w:rPr>
          <w:lang w:val="es-419"/>
        </w:rPr>
        <w:t xml:space="preserve">la </w:t>
      </w:r>
      <w:r w:rsidRPr="00E70E49">
        <w:rPr>
          <w:lang w:val="es-419"/>
        </w:rPr>
        <w:t xml:space="preserve">gestión del riesgo de organismos vivos modificados, haciendo uso de la información, los enfoques y los materiales de orientación existentes sobre el tema, incluidos aquellos elaborados en el contexto del Protocolo de Cartagena, como la </w:t>
      </w:r>
      <w:r w:rsidRPr="00E70E49">
        <w:rPr>
          <w:i/>
          <w:lang w:val="es-419"/>
        </w:rPr>
        <w:t>Serie Técnica sobre Seguridad de la Biotecnología 07</w:t>
      </w:r>
      <w:r w:rsidRPr="00E70E49">
        <w:rPr>
          <w:lang w:val="es-419"/>
        </w:rPr>
        <w:t>;</w:t>
      </w:r>
      <w:r w:rsidR="00C05DCB" w:rsidRPr="00E70E49">
        <w:rPr>
          <w:lang w:val="es-419"/>
        </w:rPr>
        <w:t>]</w:t>
      </w:r>
    </w:p>
    <w:p w14:paraId="194C20AC" w14:textId="065B4E1F" w:rsidR="00EB55FB" w:rsidRPr="00E70E49" w:rsidRDefault="00EB55FB" w:rsidP="00EB55FB">
      <w:pPr>
        <w:tabs>
          <w:tab w:val="clear" w:pos="567"/>
          <w:tab w:val="left" w:pos="2835"/>
          <w:tab w:val="left" w:pos="3402"/>
        </w:tabs>
        <w:spacing w:after="120"/>
        <w:ind w:left="1134" w:firstLine="567"/>
        <w:rPr>
          <w:lang w:val="es-419"/>
        </w:rPr>
      </w:pPr>
      <w:r w:rsidRPr="00E70E49">
        <w:rPr>
          <w:lang w:val="es-419"/>
        </w:rPr>
        <w:t xml:space="preserve">[3.alt </w:t>
      </w:r>
      <w:r w:rsidRPr="00E70E49">
        <w:rPr>
          <w:i/>
          <w:lang w:val="es-419"/>
        </w:rPr>
        <w:t>Decide también</w:t>
      </w:r>
      <w:r w:rsidRPr="00E70E49">
        <w:rPr>
          <w:lang w:val="es-419"/>
        </w:rPr>
        <w:t xml:space="preserve"> ampliar los esfuerzos de creación de capacidad en materia de </w:t>
      </w:r>
      <w:r w:rsidR="0011161A" w:rsidRPr="00E70E49">
        <w:rPr>
          <w:lang w:val="es-419"/>
        </w:rPr>
        <w:t xml:space="preserve">la </w:t>
      </w:r>
      <w:r w:rsidRPr="00E70E49">
        <w:rPr>
          <w:lang w:val="es-419"/>
        </w:rPr>
        <w:t>evaluación del riesgo y</w:t>
      </w:r>
      <w:r w:rsidR="0011161A" w:rsidRPr="00E70E49">
        <w:rPr>
          <w:lang w:val="es-419"/>
        </w:rPr>
        <w:t xml:space="preserve"> la</w:t>
      </w:r>
      <w:r w:rsidRPr="00E70E49">
        <w:rPr>
          <w:lang w:val="es-419"/>
        </w:rPr>
        <w:t xml:space="preserve"> gestión del riesgo de organismos vivos modificados, haciendo uso de información existente, materiales de orientación y el enfoque </w:t>
      </w:r>
      <w:r w:rsidR="00D47A28">
        <w:rPr>
          <w:lang w:val="es-419"/>
        </w:rPr>
        <w:t>para la</w:t>
      </w:r>
      <w:r w:rsidRPr="00E70E49">
        <w:rPr>
          <w:lang w:val="es-419"/>
        </w:rPr>
        <w:t xml:space="preserve"> evaluación del riesgo de organismos vivos modificados descrito en la </w:t>
      </w:r>
      <w:r w:rsidRPr="00E70E49">
        <w:rPr>
          <w:i/>
          <w:lang w:val="es-419"/>
        </w:rPr>
        <w:t>Serie Técnica sobre Seguridad de la Biotecnología 07</w:t>
      </w:r>
      <w:r w:rsidRPr="00E70E49">
        <w:rPr>
          <w:lang w:val="es-419"/>
        </w:rPr>
        <w:t>;]</w:t>
      </w:r>
    </w:p>
    <w:p w14:paraId="1E2DA80D" w14:textId="0DFFCF90" w:rsidR="00EB55FB" w:rsidRPr="00E70E49" w:rsidRDefault="00EB55FB" w:rsidP="00BC7D0F">
      <w:pPr>
        <w:tabs>
          <w:tab w:val="clear" w:pos="567"/>
          <w:tab w:val="left" w:pos="2835"/>
          <w:tab w:val="left" w:pos="3402"/>
        </w:tabs>
        <w:spacing w:after="120"/>
        <w:ind w:left="1134" w:firstLine="567"/>
        <w:rPr>
          <w:lang w:val="es-419"/>
        </w:rPr>
      </w:pPr>
      <w:r w:rsidRPr="00E70E49">
        <w:rPr>
          <w:lang w:val="es-419"/>
        </w:rPr>
        <w:t>[4.</w:t>
      </w:r>
      <w:r w:rsidRPr="00E70E49">
        <w:rPr>
          <w:i/>
          <w:lang w:val="es-419"/>
        </w:rPr>
        <w:tab/>
        <w:t>Decide además</w:t>
      </w:r>
      <w:r w:rsidRPr="00E70E49">
        <w:rPr>
          <w:lang w:val="es-419"/>
        </w:rPr>
        <w:t xml:space="preserve"> establecer un nuevo grupo especial de expertos técnicos sobre evaluación del riesgo, con el mandato que figura en el anexo de la presente decisión;]</w:t>
      </w:r>
    </w:p>
    <w:p w14:paraId="5894BA69" w14:textId="2E594B5F" w:rsidR="00EB55FB" w:rsidRPr="00E70E49" w:rsidRDefault="00EB55FB" w:rsidP="00BC7D0F">
      <w:pPr>
        <w:tabs>
          <w:tab w:val="clear" w:pos="567"/>
          <w:tab w:val="left" w:pos="2835"/>
          <w:tab w:val="left" w:pos="3402"/>
        </w:tabs>
        <w:spacing w:after="120"/>
        <w:ind w:left="1134" w:firstLine="567"/>
        <w:rPr>
          <w:b/>
          <w:u w:val="single"/>
          <w:lang w:val="es-419"/>
        </w:rPr>
      </w:pPr>
      <w:r w:rsidRPr="00E70E49">
        <w:rPr>
          <w:lang w:val="es-419"/>
        </w:rPr>
        <w:t>[5.</w:t>
      </w:r>
      <w:r w:rsidRPr="00E70E49">
        <w:rPr>
          <w:i/>
          <w:lang w:val="es-419"/>
        </w:rPr>
        <w:tab/>
        <w:t xml:space="preserve">Invita </w:t>
      </w:r>
      <w:r w:rsidRPr="00E70E49">
        <w:rPr>
          <w:lang w:val="es-419"/>
        </w:rPr>
        <w:t xml:space="preserve">a las Partes, otros </w:t>
      </w:r>
      <w:r w:rsidR="00AD5A54" w:rsidRPr="00E70E49">
        <w:rPr>
          <w:lang w:val="es-419"/>
        </w:rPr>
        <w:t>Gobiernos, pueblos</w:t>
      </w:r>
      <w:r w:rsidRPr="00E70E49">
        <w:rPr>
          <w:lang w:val="es-419"/>
        </w:rPr>
        <w:t xml:space="preserve"> indígenas y comunidades locales, las mujeres, la juventud, el </w:t>
      </w:r>
      <w:r w:rsidR="00C05DCB" w:rsidRPr="00E70E49">
        <w:rPr>
          <w:lang w:val="es-419"/>
        </w:rPr>
        <w:t>sector</w:t>
      </w:r>
      <w:r w:rsidRPr="00E70E49">
        <w:rPr>
          <w:lang w:val="es-419"/>
        </w:rPr>
        <w:t xml:space="preserve"> académico y organizaciones pertinentes a present</w:t>
      </w:r>
      <w:r w:rsidR="00C05DCB" w:rsidRPr="00E70E49">
        <w:rPr>
          <w:lang w:val="es-419"/>
        </w:rPr>
        <w:t>ar</w:t>
      </w:r>
      <w:r w:rsidRPr="00E70E49">
        <w:rPr>
          <w:lang w:val="es-419"/>
        </w:rPr>
        <w:t xml:space="preserve"> información pertinente, como</w:t>
      </w:r>
      <w:r w:rsidR="006B58B6">
        <w:rPr>
          <w:lang w:val="es-419"/>
        </w:rPr>
        <w:t>, por ejemplo,</w:t>
      </w:r>
      <w:r w:rsidRPr="00E70E49">
        <w:rPr>
          <w:lang w:val="es-419"/>
        </w:rPr>
        <w:t xml:space="preserve"> experiencias nacionales y regionales de evaluación del riesgo y recursos existentes para la evaluación del riesgo en relación con los temas seleccionados, a fin de apoyar la labor del Grupo Especial de Expertos Técnicos sobre Evaluación del Riesgo;]</w:t>
      </w:r>
    </w:p>
    <w:p w14:paraId="5CC0371E" w14:textId="28850E64" w:rsidR="00EB55FB" w:rsidRPr="00E70E49" w:rsidRDefault="00974894" w:rsidP="00BC7D0F">
      <w:pPr>
        <w:tabs>
          <w:tab w:val="clear" w:pos="567"/>
          <w:tab w:val="left" w:pos="2835"/>
          <w:tab w:val="left" w:pos="3402"/>
        </w:tabs>
        <w:spacing w:after="120"/>
        <w:ind w:left="1134" w:firstLine="567"/>
        <w:rPr>
          <w:lang w:val="es-419"/>
        </w:rPr>
      </w:pPr>
      <w:r w:rsidRPr="00E70E49">
        <w:rPr>
          <w:lang w:val="es-419"/>
        </w:rPr>
        <w:t>[6.</w:t>
      </w:r>
      <w:r w:rsidRPr="00E70E49">
        <w:rPr>
          <w:i/>
          <w:lang w:val="es-419"/>
        </w:rPr>
        <w:tab/>
        <w:t>Decide</w:t>
      </w:r>
      <w:r w:rsidRPr="00E70E49">
        <w:rPr>
          <w:lang w:val="es-419"/>
        </w:rPr>
        <w:t xml:space="preserve"> prorrogar el Foro en Línea de Composición Abierta sobre Evaluación del Riesgo y Gestión del Riesgo para apoyar la labor del Grupo Especial de Expertos Técnicos sobre Evaluación del Riesgo;]</w:t>
      </w:r>
    </w:p>
    <w:p w14:paraId="550F6618" w14:textId="783698F9" w:rsidR="00EB55FB" w:rsidRPr="00E70E49" w:rsidRDefault="00EB55FB" w:rsidP="00BC7D0F">
      <w:pPr>
        <w:tabs>
          <w:tab w:val="clear" w:pos="567"/>
          <w:tab w:val="left" w:pos="2835"/>
          <w:tab w:val="left" w:pos="3402"/>
        </w:tabs>
        <w:spacing w:after="120"/>
        <w:ind w:left="1134" w:firstLine="567"/>
        <w:rPr>
          <w:lang w:val="es-419"/>
        </w:rPr>
      </w:pPr>
      <w:r w:rsidRPr="00E70E49">
        <w:rPr>
          <w:lang w:val="es-419"/>
        </w:rPr>
        <w:t>[7.</w:t>
      </w:r>
      <w:r w:rsidRPr="00E70E49">
        <w:rPr>
          <w:i/>
          <w:lang w:val="es-419"/>
        </w:rPr>
        <w:tab/>
        <w:t>Decide también</w:t>
      </w:r>
      <w:r w:rsidRPr="00E70E49">
        <w:rPr>
          <w:lang w:val="es-419"/>
        </w:rPr>
        <w:t xml:space="preserve"> que en su 13</w:t>
      </w:r>
      <w:r w:rsidRPr="00E70E49">
        <w:rPr>
          <w:vertAlign w:val="superscript"/>
          <w:lang w:val="es-419"/>
        </w:rPr>
        <w:t>a</w:t>
      </w:r>
      <w:r w:rsidRPr="00E70E49">
        <w:rPr>
          <w:lang w:val="es-419"/>
        </w:rPr>
        <w:t xml:space="preserve"> reunión considerará otras cuestiones para las que se podría requerir materiales de orientación sobre evaluación del riesgo, con arreglo al proceso establecido en la decisión </w:t>
      </w:r>
      <w:hyperlink r:id="rId17" w:history="1">
        <w:r w:rsidRPr="00E70E49">
          <w:rPr>
            <w:rStyle w:val="Hyperlink"/>
            <w:lang w:val="es-419"/>
          </w:rPr>
          <w:t>CP-9/13</w:t>
        </w:r>
      </w:hyperlink>
      <w:r w:rsidRPr="00E70E49">
        <w:rPr>
          <w:lang w:val="es-419"/>
        </w:rPr>
        <w:t xml:space="preserve"> para la determinación y priorización de cuestiones específicas de </w:t>
      </w:r>
      <w:r w:rsidR="004755AB">
        <w:rPr>
          <w:lang w:val="es-419"/>
        </w:rPr>
        <w:t xml:space="preserve">la </w:t>
      </w:r>
      <w:r w:rsidRPr="00E70E49">
        <w:rPr>
          <w:lang w:val="es-419"/>
        </w:rPr>
        <w:t xml:space="preserve">evaluación del riesgo de </w:t>
      </w:r>
      <w:r w:rsidR="004755AB">
        <w:rPr>
          <w:lang w:val="es-419"/>
        </w:rPr>
        <w:t xml:space="preserve">los </w:t>
      </w:r>
      <w:r w:rsidRPr="00E70E49">
        <w:rPr>
          <w:lang w:val="es-419"/>
        </w:rPr>
        <w:t>organismos vivos modificados que podrían ameritar consideración, teniendo en cuenta las prioridades determinadas por las Partes, incluido en sus informes nacionales, y los temas señalados por el Grupo Especial de Expertos Técnicos en Evaluación del Riesgo</w:t>
      </w:r>
      <w:r w:rsidRPr="00E70E49">
        <w:rPr>
          <w:vertAlign w:val="superscript"/>
          <w:lang w:val="es-419"/>
        </w:rPr>
        <w:footnoteReference w:id="5"/>
      </w:r>
      <w:r w:rsidRPr="00E70E49">
        <w:rPr>
          <w:lang w:val="es-419"/>
        </w:rPr>
        <w:t>;]</w:t>
      </w:r>
    </w:p>
    <w:p w14:paraId="4ACC8BA6" w14:textId="32106949" w:rsidR="00EB55FB" w:rsidRPr="00E70E49" w:rsidRDefault="00EB55FB" w:rsidP="00C67FE4">
      <w:pPr>
        <w:tabs>
          <w:tab w:val="clear" w:pos="567"/>
          <w:tab w:val="left" w:pos="2835"/>
          <w:tab w:val="left" w:pos="3402"/>
        </w:tabs>
        <w:spacing w:after="120"/>
        <w:ind w:left="1134" w:firstLine="567"/>
        <w:rPr>
          <w:lang w:val="es-419"/>
        </w:rPr>
      </w:pPr>
      <w:r w:rsidRPr="00E70E49">
        <w:rPr>
          <w:lang w:val="es-419"/>
        </w:rPr>
        <w:t>[8.</w:t>
      </w:r>
      <w:r w:rsidRPr="00E70E49">
        <w:rPr>
          <w:lang w:val="es-419"/>
        </w:rPr>
        <w:tab/>
      </w:r>
      <w:r w:rsidRPr="00E70E49">
        <w:rPr>
          <w:i/>
          <w:lang w:val="es-419"/>
        </w:rPr>
        <w:t xml:space="preserve">Invita </w:t>
      </w:r>
      <w:r w:rsidRPr="00E70E49">
        <w:rPr>
          <w:lang w:val="es-419"/>
        </w:rPr>
        <w:t>a las Partes, otros Gobiernos, pueblos indígenas y comunidades locales</w:t>
      </w:r>
      <w:r w:rsidR="0011161A" w:rsidRPr="00E70E49">
        <w:rPr>
          <w:lang w:val="es-419"/>
        </w:rPr>
        <w:t xml:space="preserve"> y a</w:t>
      </w:r>
      <w:r w:rsidR="00A46180">
        <w:rPr>
          <w:lang w:val="es-419"/>
        </w:rPr>
        <w:t> </w:t>
      </w:r>
      <w:r w:rsidRPr="00E70E49">
        <w:rPr>
          <w:lang w:val="es-419"/>
        </w:rPr>
        <w:t>las mujeres, la juventud y organizaciones pertinentes a present</w:t>
      </w:r>
      <w:r w:rsidR="00C05DCB" w:rsidRPr="00E70E49">
        <w:rPr>
          <w:lang w:val="es-419"/>
        </w:rPr>
        <w:t>ar</w:t>
      </w:r>
      <w:r w:rsidRPr="00E70E49">
        <w:rPr>
          <w:lang w:val="es-419"/>
        </w:rPr>
        <w:t xml:space="preserve"> información sobre experiencias </w:t>
      </w:r>
      <w:r w:rsidR="00A46180">
        <w:rPr>
          <w:lang w:val="es-419"/>
        </w:rPr>
        <w:t>r</w:t>
      </w:r>
      <w:r w:rsidR="00C05DCB" w:rsidRPr="00E70E49">
        <w:rPr>
          <w:lang w:val="es-419"/>
        </w:rPr>
        <w:t>e</w:t>
      </w:r>
      <w:r w:rsidR="00A46180">
        <w:rPr>
          <w:lang w:val="es-419"/>
        </w:rPr>
        <w:t>lacio</w:t>
      </w:r>
      <w:r w:rsidR="00C05DCB" w:rsidRPr="00E70E49">
        <w:rPr>
          <w:lang w:val="es-419"/>
        </w:rPr>
        <w:t>n</w:t>
      </w:r>
      <w:r w:rsidR="00A46180">
        <w:rPr>
          <w:lang w:val="es-419"/>
        </w:rPr>
        <w:t>adas con</w:t>
      </w:r>
      <w:r w:rsidR="00C05DCB" w:rsidRPr="00E70E49">
        <w:rPr>
          <w:lang w:val="es-419"/>
        </w:rPr>
        <w:t xml:space="preserve"> la aplicación de</w:t>
      </w:r>
      <w:r w:rsidRPr="00E70E49">
        <w:rPr>
          <w:lang w:val="es-419"/>
        </w:rPr>
        <w:t>l proced</w:t>
      </w:r>
      <w:r w:rsidR="00C05DCB" w:rsidRPr="00E70E49">
        <w:rPr>
          <w:lang w:val="es-419"/>
        </w:rPr>
        <w:t>imiento simplificado previsto</w:t>
      </w:r>
      <w:r w:rsidRPr="00E70E49">
        <w:rPr>
          <w:lang w:val="es-419"/>
        </w:rPr>
        <w:t xml:space="preserve"> en el artículo </w:t>
      </w:r>
      <w:hyperlink r:id="rId18" w:history="1">
        <w:r w:rsidRPr="00E70E49">
          <w:rPr>
            <w:rStyle w:val="Hyperlink"/>
            <w:lang w:val="es-419"/>
          </w:rPr>
          <w:t>13</w:t>
        </w:r>
      </w:hyperlink>
      <w:r w:rsidRPr="00E70E49">
        <w:rPr>
          <w:lang w:val="es-419"/>
        </w:rPr>
        <w:t xml:space="preserve"> del Protocolo de Cartagena</w:t>
      </w:r>
      <w:r w:rsidR="0011161A" w:rsidRPr="00E70E49">
        <w:rPr>
          <w:lang w:val="es-419"/>
        </w:rPr>
        <w:t>,</w:t>
      </w:r>
      <w:r w:rsidRPr="00E70E49">
        <w:rPr>
          <w:lang w:val="es-419"/>
        </w:rPr>
        <w:t xml:space="preserve"> los acuerdos y arreglos bilaterales, regionales y multilaterales previstos en el artículo </w:t>
      </w:r>
      <w:hyperlink r:id="rId19" w:history="1">
        <w:r w:rsidRPr="00E70E49">
          <w:rPr>
            <w:rStyle w:val="Hyperlink"/>
            <w:lang w:val="es-419"/>
          </w:rPr>
          <w:t>14</w:t>
        </w:r>
      </w:hyperlink>
      <w:r w:rsidRPr="00E70E49">
        <w:rPr>
          <w:lang w:val="es-419"/>
        </w:rPr>
        <w:t xml:space="preserve"> del Protocolo y la transportabilidad de datos para la evaluación del riesgo de organismos vivos modificados[, reconociendo que la aceptación de datos de evaluaci</w:t>
      </w:r>
      <w:r w:rsidR="00C05DCB" w:rsidRPr="00E70E49">
        <w:rPr>
          <w:lang w:val="es-419"/>
        </w:rPr>
        <w:t>o</w:t>
      </w:r>
      <w:r w:rsidRPr="00E70E49">
        <w:rPr>
          <w:lang w:val="es-419"/>
        </w:rPr>
        <w:t>n</w:t>
      </w:r>
      <w:r w:rsidR="00C05DCB" w:rsidRPr="00E70E49">
        <w:rPr>
          <w:lang w:val="es-419"/>
        </w:rPr>
        <w:t>es</w:t>
      </w:r>
      <w:r w:rsidRPr="00E70E49">
        <w:rPr>
          <w:lang w:val="es-419"/>
        </w:rPr>
        <w:t xml:space="preserve"> del riesgo de otros países estará sujet</w:t>
      </w:r>
      <w:r w:rsidR="00C05DCB" w:rsidRPr="00E70E49">
        <w:rPr>
          <w:lang w:val="es-419"/>
        </w:rPr>
        <w:t xml:space="preserve">a a </w:t>
      </w:r>
      <w:r w:rsidRPr="00E70E49">
        <w:rPr>
          <w:lang w:val="es-419"/>
        </w:rPr>
        <w:t xml:space="preserve">evaluación y confirmación </w:t>
      </w:r>
      <w:r w:rsidR="00443A83" w:rsidRPr="00E70E49">
        <w:rPr>
          <w:lang w:val="es-419"/>
        </w:rPr>
        <w:t xml:space="preserve">nacional </w:t>
      </w:r>
      <w:r w:rsidRPr="00E70E49">
        <w:rPr>
          <w:lang w:val="es-419"/>
        </w:rPr>
        <w:t>de pertinencia y comparabilidad ecológicas];]</w:t>
      </w:r>
    </w:p>
    <w:p w14:paraId="24162C7C" w14:textId="71FAAB57" w:rsidR="00EB55FB" w:rsidRPr="00E70E49" w:rsidRDefault="00EB55FB" w:rsidP="00EB55FB">
      <w:pPr>
        <w:tabs>
          <w:tab w:val="clear" w:pos="567"/>
          <w:tab w:val="left" w:pos="2835"/>
          <w:tab w:val="left" w:pos="3402"/>
        </w:tabs>
        <w:spacing w:after="120"/>
        <w:ind w:left="1134" w:firstLine="567"/>
        <w:rPr>
          <w:lang w:val="es-419"/>
        </w:rPr>
      </w:pPr>
      <w:r w:rsidRPr="00E70E49">
        <w:rPr>
          <w:lang w:val="es-419"/>
        </w:rPr>
        <w:t>[9.</w:t>
      </w:r>
      <w:r w:rsidRPr="00E70E49">
        <w:rPr>
          <w:lang w:val="es-419"/>
        </w:rPr>
        <w:tab/>
      </w:r>
      <w:r w:rsidRPr="00E70E49">
        <w:rPr>
          <w:i/>
          <w:lang w:val="es-419"/>
        </w:rPr>
        <w:t>Decide</w:t>
      </w:r>
      <w:r w:rsidRPr="00E70E49">
        <w:rPr>
          <w:lang w:val="es-419"/>
        </w:rPr>
        <w:t xml:space="preserve"> que en su 13ª reunión considerará la información presentada en respuesta al párrafo 8 </w:t>
      </w:r>
      <w:r w:rsidR="00443A83" w:rsidRPr="00E70E49">
        <w:rPr>
          <w:lang w:val="es-419"/>
        </w:rPr>
        <w:t>anterior</w:t>
      </w:r>
      <w:r w:rsidRPr="00E70E49">
        <w:rPr>
          <w:lang w:val="es-419"/>
        </w:rPr>
        <w:t>;]</w:t>
      </w:r>
    </w:p>
    <w:p w14:paraId="2296D468" w14:textId="3475C4DF" w:rsidR="00EB55FB" w:rsidRPr="00E70E49" w:rsidRDefault="00EB55FB" w:rsidP="00236891">
      <w:pPr>
        <w:tabs>
          <w:tab w:val="clear" w:pos="567"/>
          <w:tab w:val="left" w:pos="2835"/>
          <w:tab w:val="left" w:pos="3402"/>
        </w:tabs>
        <w:spacing w:after="120"/>
        <w:ind w:left="1134" w:firstLine="567"/>
        <w:rPr>
          <w:lang w:val="es-419"/>
        </w:rPr>
      </w:pPr>
      <w:r w:rsidRPr="00E70E49">
        <w:rPr>
          <w:lang w:val="es-419"/>
        </w:rPr>
        <w:t>10.</w:t>
      </w:r>
      <w:r w:rsidRPr="00E70E49">
        <w:rPr>
          <w:lang w:val="es-419"/>
        </w:rPr>
        <w:tab/>
      </w:r>
      <w:r w:rsidRPr="00E70E49">
        <w:rPr>
          <w:i/>
          <w:lang w:val="es-419"/>
        </w:rPr>
        <w:t>Insta</w:t>
      </w:r>
      <w:r w:rsidRPr="00E70E49">
        <w:rPr>
          <w:lang w:val="es-419"/>
        </w:rPr>
        <w:t xml:space="preserve"> a las Partes, e invita a otros Gobiernos, pueblos indígenas y comunidades locales</w:t>
      </w:r>
      <w:r w:rsidR="0011161A" w:rsidRPr="00E70E49">
        <w:rPr>
          <w:lang w:val="es-419"/>
        </w:rPr>
        <w:t xml:space="preserve"> y</w:t>
      </w:r>
      <w:r w:rsidRPr="00E70E49">
        <w:rPr>
          <w:lang w:val="es-419"/>
        </w:rPr>
        <w:t xml:space="preserve"> a las mujeres, la juventud y organizaciones pertinentes</w:t>
      </w:r>
      <w:r w:rsidR="004755AB">
        <w:rPr>
          <w:lang w:val="es-419"/>
        </w:rPr>
        <w:t>,</w:t>
      </w:r>
      <w:r w:rsidRPr="00E70E49">
        <w:rPr>
          <w:lang w:val="es-419"/>
        </w:rPr>
        <w:t xml:space="preserve"> a cooperar ampliamente a nivel internacional para compartir información y experiencias relacionadas con la evaluación del riesgo, en particular a través del Centro de Intercambio de Información sobre Seguridad de </w:t>
      </w:r>
      <w:r w:rsidRPr="00E70E49">
        <w:rPr>
          <w:lang w:val="es-419"/>
        </w:rPr>
        <w:lastRenderedPageBreak/>
        <w:t>la Biotecnología, y</w:t>
      </w:r>
      <w:r w:rsidR="00A46180">
        <w:rPr>
          <w:lang w:val="es-419"/>
        </w:rPr>
        <w:t xml:space="preserve"> a</w:t>
      </w:r>
      <w:r w:rsidRPr="00E70E49">
        <w:rPr>
          <w:lang w:val="es-419"/>
        </w:rPr>
        <w:t xml:space="preserve"> promover actividades de creación y desarrollo de capacidad con respecto a los temas priorizados por el [Grupo Especial de Expertos Técnicos sobre Evaluación del Riesgo</w:t>
      </w:r>
      <w:r w:rsidR="00A04F66" w:rsidRPr="00E70E49">
        <w:rPr>
          <w:vertAlign w:val="superscript"/>
          <w:lang w:val="es-419"/>
        </w:rPr>
        <w:footnoteReference w:id="6"/>
      </w:r>
      <w:r w:rsidRPr="00E70E49">
        <w:rPr>
          <w:lang w:val="es-419"/>
        </w:rPr>
        <w:t>;][Órgano Subsidiario de Asesoramiento Científico, Técnico y Tecnológico;]</w:t>
      </w:r>
    </w:p>
    <w:p w14:paraId="0F5F4F10" w14:textId="2D64439A" w:rsidR="00EB55FB" w:rsidRPr="00E70E49" w:rsidRDefault="00EB55FB" w:rsidP="00BE5904">
      <w:pPr>
        <w:tabs>
          <w:tab w:val="clear" w:pos="567"/>
          <w:tab w:val="left" w:pos="2835"/>
          <w:tab w:val="left" w:pos="3402"/>
        </w:tabs>
        <w:spacing w:after="120"/>
        <w:ind w:left="1134" w:firstLine="567"/>
        <w:rPr>
          <w:lang w:val="es-419"/>
        </w:rPr>
      </w:pPr>
      <w:r w:rsidRPr="00E70E49">
        <w:rPr>
          <w:lang w:val="es-419"/>
        </w:rPr>
        <w:t>11.</w:t>
      </w:r>
      <w:r w:rsidRPr="00E70E49">
        <w:rPr>
          <w:lang w:val="es-419"/>
        </w:rPr>
        <w:tab/>
      </w:r>
      <w:r w:rsidRPr="00E70E49">
        <w:rPr>
          <w:i/>
          <w:lang w:val="es-419"/>
        </w:rPr>
        <w:t xml:space="preserve">Invita </w:t>
      </w:r>
      <w:r w:rsidRPr="00E70E49">
        <w:rPr>
          <w:lang w:val="es-419"/>
        </w:rPr>
        <w:t>a los centros regionales y subregionales de apoyo a la cooperación científica y técnica</w:t>
      </w:r>
      <w:r w:rsidR="00CC638A" w:rsidRPr="00E70E49">
        <w:rPr>
          <w:vertAlign w:val="superscript"/>
          <w:lang w:val="es-419"/>
        </w:rPr>
        <w:footnoteReference w:id="7"/>
      </w:r>
      <w:r w:rsidRPr="00E70E49">
        <w:rPr>
          <w:lang w:val="es-419"/>
        </w:rPr>
        <w:t xml:space="preserve"> a ayudar a las Partes a abordar sus necesidades y prioridades en materia de evaluación del riesgo y gestión del riesgo;</w:t>
      </w:r>
    </w:p>
    <w:p w14:paraId="5668C28C" w14:textId="7A82266F" w:rsidR="00EB55FB" w:rsidRPr="00E70E49" w:rsidRDefault="00EB55FB" w:rsidP="004136E4">
      <w:pPr>
        <w:keepNext/>
        <w:tabs>
          <w:tab w:val="clear" w:pos="567"/>
          <w:tab w:val="left" w:pos="2835"/>
          <w:tab w:val="left" w:pos="3402"/>
        </w:tabs>
        <w:spacing w:after="120"/>
        <w:ind w:left="1134" w:firstLine="567"/>
        <w:rPr>
          <w:lang w:val="es-419"/>
        </w:rPr>
      </w:pPr>
      <w:r w:rsidRPr="00E70E49">
        <w:rPr>
          <w:lang w:val="es-419"/>
        </w:rPr>
        <w:t>12.</w:t>
      </w:r>
      <w:r w:rsidRPr="00E70E49">
        <w:rPr>
          <w:i/>
          <w:lang w:val="es-419"/>
        </w:rPr>
        <w:tab/>
      </w:r>
      <w:r w:rsidRPr="00E70E49">
        <w:rPr>
          <w:i/>
          <w:iCs/>
          <w:lang w:val="es-419"/>
        </w:rPr>
        <w:t>Pide</w:t>
      </w:r>
      <w:r w:rsidRPr="00E70E49">
        <w:rPr>
          <w:lang w:val="es-419"/>
        </w:rPr>
        <w:t xml:space="preserve"> a la Secretaria Ejecutiva que, con sujeción a la disponibilidad de recursos financieros:</w:t>
      </w:r>
    </w:p>
    <w:p w14:paraId="0BFC555F" w14:textId="55CFE730" w:rsidR="00EB55FB" w:rsidRPr="00E70E49" w:rsidRDefault="00EB55FB" w:rsidP="00BC7D0F">
      <w:pPr>
        <w:tabs>
          <w:tab w:val="clear" w:pos="567"/>
          <w:tab w:val="left" w:pos="2835"/>
          <w:tab w:val="left" w:pos="3402"/>
        </w:tabs>
        <w:spacing w:after="120"/>
        <w:ind w:left="1134" w:firstLine="567"/>
        <w:rPr>
          <w:lang w:val="es-419"/>
        </w:rPr>
      </w:pPr>
      <w:r w:rsidRPr="00E70E49">
        <w:rPr>
          <w:lang w:val="es-419"/>
        </w:rPr>
        <w:t>[a)</w:t>
      </w:r>
      <w:r w:rsidRPr="00E70E49">
        <w:rPr>
          <w:lang w:val="es-419"/>
        </w:rPr>
        <w:tab/>
        <w:t>Convoque por lo menos dos reuniones del Grupo Especial de Expertos Técnicos sobre Evaluación del Riesgo, una de ellas presencial, con anterioridad la 13ª reunión de la Conferencia de las Partes que actúa como reunión de las Partes en el Protocolo de Cartagena;]</w:t>
      </w:r>
    </w:p>
    <w:p w14:paraId="6A63CF30" w14:textId="10A805C7" w:rsidR="00EB55FB" w:rsidRPr="00E70E49" w:rsidRDefault="00EB55FB" w:rsidP="00BC7D0F">
      <w:pPr>
        <w:tabs>
          <w:tab w:val="clear" w:pos="567"/>
          <w:tab w:val="left" w:pos="2835"/>
          <w:tab w:val="left" w:pos="3402"/>
        </w:tabs>
        <w:spacing w:after="120"/>
        <w:ind w:left="1134" w:firstLine="567"/>
        <w:rPr>
          <w:lang w:val="es-419"/>
        </w:rPr>
      </w:pPr>
      <w:r w:rsidRPr="00E70E49">
        <w:rPr>
          <w:lang w:val="es-419"/>
        </w:rPr>
        <w:t>[b)</w:t>
      </w:r>
      <w:r w:rsidRPr="00E70E49">
        <w:rPr>
          <w:lang w:val="es-419"/>
        </w:rPr>
        <w:tab/>
        <w:t xml:space="preserve">Convoque debates en el Foro en Línea de Composición Abierta sobre Evaluación del Riesgo y Gestión del Riesgo durante el mismo período entre reuniones y aliente la participación activa de pueblos indígenas y comunidades locales, organizaciones de mujeres y de la juventud, el </w:t>
      </w:r>
      <w:r w:rsidR="002A6192" w:rsidRPr="00E70E49">
        <w:rPr>
          <w:lang w:val="es-419"/>
        </w:rPr>
        <w:t>sector</w:t>
      </w:r>
      <w:r w:rsidRPr="00E70E49">
        <w:rPr>
          <w:lang w:val="es-419"/>
        </w:rPr>
        <w:t xml:space="preserve"> académico y otras organizaciones pertinentes;]</w:t>
      </w:r>
    </w:p>
    <w:p w14:paraId="12104EB0" w14:textId="57BB6FC7" w:rsidR="00EB55FB" w:rsidRPr="00E70E49" w:rsidRDefault="00EB55FB" w:rsidP="00BC7D0F">
      <w:pPr>
        <w:tabs>
          <w:tab w:val="clear" w:pos="567"/>
          <w:tab w:val="left" w:pos="2835"/>
          <w:tab w:val="left" w:pos="3402"/>
        </w:tabs>
        <w:spacing w:after="120"/>
        <w:ind w:left="1134" w:firstLine="567"/>
        <w:rPr>
          <w:lang w:val="es-419"/>
        </w:rPr>
      </w:pPr>
      <w:r w:rsidRPr="00E70E49">
        <w:rPr>
          <w:lang w:val="es-419"/>
        </w:rPr>
        <w:t>c)</w:t>
      </w:r>
      <w:r w:rsidRPr="00E70E49">
        <w:rPr>
          <w:lang w:val="es-419"/>
        </w:rPr>
        <w:tab/>
        <w:t>Sintetice la información recopilada en respuesta a los párrafos [5] y [8] de la presente decisión[</w:t>
      </w:r>
      <w:r w:rsidR="002A6192" w:rsidRPr="00E70E49">
        <w:rPr>
          <w:lang w:val="es-419"/>
        </w:rPr>
        <w:t xml:space="preserve"> </w:t>
      </w:r>
      <w:r w:rsidRPr="00E70E49">
        <w:rPr>
          <w:lang w:val="es-419"/>
        </w:rPr>
        <w:t>y a través del Foro en Línea de Composición Abierta sobre Evaluación del Riesgo y Gestión del Riesgo], así como la información relacionada con necesidades específicas de orientación adicional sobre temas específicos de evaluación del riesgo y gestión del riesgo contenida en informes nacionales</w:t>
      </w:r>
      <w:r w:rsidRPr="00E70E49">
        <w:rPr>
          <w:vertAlign w:val="superscript"/>
          <w:lang w:val="es-419"/>
        </w:rPr>
        <w:footnoteReference w:id="8"/>
      </w:r>
      <w:r w:rsidRPr="00E70E49">
        <w:rPr>
          <w:lang w:val="es-419"/>
        </w:rPr>
        <w:t>;</w:t>
      </w:r>
    </w:p>
    <w:p w14:paraId="16A77F25" w14:textId="20A6B34A" w:rsidR="00EB55FB" w:rsidRPr="00E70E49" w:rsidRDefault="00EB55FB" w:rsidP="00BC7D0F">
      <w:pPr>
        <w:tabs>
          <w:tab w:val="clear" w:pos="567"/>
          <w:tab w:val="left" w:pos="2835"/>
          <w:tab w:val="left" w:pos="3402"/>
        </w:tabs>
        <w:spacing w:after="120"/>
        <w:ind w:left="1134" w:firstLine="567"/>
        <w:rPr>
          <w:lang w:val="es-419"/>
        </w:rPr>
      </w:pPr>
      <w:r w:rsidRPr="00E70E49">
        <w:rPr>
          <w:lang w:val="es-419"/>
        </w:rPr>
        <w:t>d)</w:t>
      </w:r>
      <w:r w:rsidRPr="00E70E49">
        <w:rPr>
          <w:lang w:val="es-419"/>
        </w:rPr>
        <w:tab/>
        <w:t xml:space="preserve">Continúe llevando a cabo actividades de creación y desarrollo de capacidad </w:t>
      </w:r>
      <w:r w:rsidR="002A6192" w:rsidRPr="00E70E49">
        <w:rPr>
          <w:lang w:val="es-419"/>
        </w:rPr>
        <w:t>sobre</w:t>
      </w:r>
      <w:r w:rsidRPr="00E70E49">
        <w:rPr>
          <w:lang w:val="es-419"/>
        </w:rPr>
        <w:t xml:space="preserve"> materiales de orientación existentes a través de talleres regionales</w:t>
      </w:r>
      <w:r w:rsidR="002A6192" w:rsidRPr="00E70E49">
        <w:rPr>
          <w:lang w:val="es-419"/>
        </w:rPr>
        <w:t xml:space="preserve"> </w:t>
      </w:r>
      <w:r w:rsidRPr="00E70E49">
        <w:rPr>
          <w:lang w:val="es-419"/>
        </w:rPr>
        <w:t>a</w:t>
      </w:r>
      <w:r w:rsidR="002A6192" w:rsidRPr="00E70E49">
        <w:rPr>
          <w:lang w:val="es-419"/>
        </w:rPr>
        <w:t xml:space="preserve"> fin de</w:t>
      </w:r>
      <w:r w:rsidRPr="00E70E49">
        <w:rPr>
          <w:lang w:val="es-419"/>
        </w:rPr>
        <w:t xml:space="preserve"> apoyar la evaluación del riesgo de organismos vivos modificados, en colaboración con iniciativas y asociaciones pertinentes, según proceda, garantizando una representación equitativa de todas las Partes que son países en desarrollo;</w:t>
      </w:r>
    </w:p>
    <w:p w14:paraId="32C573AD" w14:textId="3706A6C2" w:rsidR="00EB55FB" w:rsidRPr="00934CD8" w:rsidRDefault="00EB55FB" w:rsidP="00EB55FB">
      <w:pPr>
        <w:tabs>
          <w:tab w:val="clear" w:pos="567"/>
          <w:tab w:val="left" w:pos="2835"/>
          <w:tab w:val="left" w:pos="3402"/>
        </w:tabs>
        <w:spacing w:after="120"/>
        <w:ind w:left="1134" w:firstLine="567"/>
        <w:rPr>
          <w:spacing w:val="-2"/>
          <w:lang w:val="es-419"/>
        </w:rPr>
      </w:pPr>
      <w:r w:rsidRPr="00E70E49">
        <w:rPr>
          <w:lang w:val="es-419"/>
        </w:rPr>
        <w:t>e)</w:t>
      </w:r>
      <w:r w:rsidRPr="00E70E49">
        <w:rPr>
          <w:lang w:val="es-419"/>
        </w:rPr>
        <w:tab/>
        <w:t>Siga recopilando experiencias y evaluaciones sobre la aplicabilidad y utilidad de los materiales de orientación voluntari</w:t>
      </w:r>
      <w:r w:rsidR="00432212">
        <w:rPr>
          <w:lang w:val="es-419"/>
        </w:rPr>
        <w:t>a</w:t>
      </w:r>
      <w:r w:rsidRPr="00E70E49">
        <w:rPr>
          <w:lang w:val="es-419"/>
        </w:rPr>
        <w:t xml:space="preserve"> </w:t>
      </w:r>
      <w:r w:rsidR="00432212" w:rsidRPr="00E70E49">
        <w:rPr>
          <w:lang w:val="es-419"/>
        </w:rPr>
        <w:t xml:space="preserve">adicionales </w:t>
      </w:r>
      <w:r w:rsidRPr="00E70E49">
        <w:rPr>
          <w:lang w:val="es-419"/>
        </w:rPr>
        <w:t>para apoyar evaluaci</w:t>
      </w:r>
      <w:r w:rsidR="008F5F06">
        <w:rPr>
          <w:lang w:val="es-419"/>
        </w:rPr>
        <w:t>o</w:t>
      </w:r>
      <w:r w:rsidRPr="00E70E49">
        <w:rPr>
          <w:lang w:val="es-419"/>
        </w:rPr>
        <w:t>n</w:t>
      </w:r>
      <w:r w:rsidR="008F5F06">
        <w:rPr>
          <w:lang w:val="es-419"/>
        </w:rPr>
        <w:t>es</w:t>
      </w:r>
      <w:r w:rsidRPr="00E70E49">
        <w:rPr>
          <w:lang w:val="es-419"/>
        </w:rPr>
        <w:t xml:space="preserve"> del riesgo caso por caso de organismos vivos modificados que contengan impulsores genéticos modificados</w:t>
      </w:r>
      <w:r w:rsidRPr="00E70E49">
        <w:rPr>
          <w:vertAlign w:val="superscript"/>
          <w:lang w:val="es-419"/>
        </w:rPr>
        <w:footnoteReference w:id="9"/>
      </w:r>
      <w:r w:rsidRPr="00E70E49">
        <w:rPr>
          <w:lang w:val="es-419"/>
        </w:rPr>
        <w:t xml:space="preserve"> </w:t>
      </w:r>
      <w:r w:rsidRPr="00934CD8">
        <w:rPr>
          <w:spacing w:val="-2"/>
          <w:lang w:val="es-419"/>
        </w:rPr>
        <w:t xml:space="preserve">y las publique </w:t>
      </w:r>
      <w:r w:rsidR="00934CD8" w:rsidRPr="00934CD8">
        <w:rPr>
          <w:spacing w:val="-2"/>
          <w:lang w:val="es-419"/>
        </w:rPr>
        <w:t xml:space="preserve">en </w:t>
      </w:r>
      <w:r w:rsidRPr="00934CD8">
        <w:rPr>
          <w:spacing w:val="-2"/>
          <w:lang w:val="es-419"/>
        </w:rPr>
        <w:t>el Centro de Intercambio de Información sobre Seguridad de la Biotecnología;</w:t>
      </w:r>
    </w:p>
    <w:p w14:paraId="5BF38764" w14:textId="51AFD1F4" w:rsidR="00EB55FB" w:rsidRPr="00E70E49" w:rsidRDefault="00EB55FB" w:rsidP="00BC7D0F">
      <w:pPr>
        <w:tabs>
          <w:tab w:val="clear" w:pos="567"/>
          <w:tab w:val="left" w:pos="2835"/>
          <w:tab w:val="left" w:pos="3402"/>
        </w:tabs>
        <w:spacing w:after="120"/>
        <w:ind w:left="1134" w:firstLine="567"/>
        <w:rPr>
          <w:lang w:val="es-419"/>
        </w:rPr>
      </w:pPr>
      <w:r w:rsidRPr="00E70E49">
        <w:rPr>
          <w:lang w:val="es-419"/>
        </w:rPr>
        <w:t>[13.</w:t>
      </w:r>
      <w:r w:rsidRPr="00E70E49">
        <w:rPr>
          <w:i/>
          <w:lang w:val="es-419"/>
        </w:rPr>
        <w:tab/>
        <w:t>Pide</w:t>
      </w:r>
      <w:r w:rsidRPr="00E70E49">
        <w:rPr>
          <w:lang w:val="es-419"/>
        </w:rPr>
        <w:t xml:space="preserve"> al Órgano Subsidiario de Asesoramiento Científico, Técnico y Tecnológico que, en una reunión que se celebre con anterioridad a la 13ª reunión de la Conferencia de las Partes que actúa como reunión de las Partes en el Protocolo de Cartagena, examine las conclusiones </w:t>
      </w:r>
      <w:r w:rsidR="002A6192" w:rsidRPr="00E70E49">
        <w:rPr>
          <w:lang w:val="es-419"/>
        </w:rPr>
        <w:t xml:space="preserve">de las reuniones </w:t>
      </w:r>
      <w:r w:rsidRPr="00E70E49">
        <w:rPr>
          <w:lang w:val="es-419"/>
        </w:rPr>
        <w:t xml:space="preserve">del Grupo Especial de Expertos Técnicos sobre Evaluación del Riesgo y </w:t>
      </w:r>
      <w:r w:rsidR="002A6192" w:rsidRPr="00E70E49">
        <w:rPr>
          <w:lang w:val="es-419"/>
        </w:rPr>
        <w:t xml:space="preserve">que </w:t>
      </w:r>
      <w:r w:rsidRPr="00E70E49">
        <w:rPr>
          <w:lang w:val="es-419"/>
        </w:rPr>
        <w:t>formule recomendaciones para consideración de la Conferencia de las Partes que actúa como reunión de las Partes en el Protocolo en su 13ª reunión.]</w:t>
      </w:r>
    </w:p>
    <w:p w14:paraId="1F678009" w14:textId="60A78ED7" w:rsidR="00094710" w:rsidRPr="00E70E49" w:rsidRDefault="00094710" w:rsidP="00684AF3">
      <w:pPr>
        <w:keepNext/>
        <w:keepLines/>
        <w:tabs>
          <w:tab w:val="clear" w:pos="567"/>
          <w:tab w:val="clear" w:pos="1134"/>
          <w:tab w:val="clear" w:pos="1701"/>
          <w:tab w:val="clear" w:pos="2268"/>
          <w:tab w:val="left" w:pos="2835"/>
          <w:tab w:val="left" w:pos="3402"/>
        </w:tabs>
        <w:spacing w:before="240" w:after="120"/>
        <w:ind w:left="1138"/>
        <w:jc w:val="left"/>
        <w:rPr>
          <w:rFonts w:ascii="Times New Roman Bold" w:hAnsi="Times New Roman Bold" w:cs="Times New Roman Bold" w:hint="eastAsia"/>
          <w:bCs/>
          <w:sz w:val="24"/>
          <w:lang w:val="es-419"/>
        </w:rPr>
      </w:pPr>
      <w:r w:rsidRPr="00E70E49">
        <w:rPr>
          <w:rFonts w:ascii="Times New Roman Bold" w:hAnsi="Times New Roman Bold"/>
          <w:sz w:val="24"/>
          <w:lang w:val="es-419"/>
        </w:rPr>
        <w:t>[</w:t>
      </w:r>
    </w:p>
    <w:p w14:paraId="4EDEFD3F" w14:textId="1CE5A6B6" w:rsidR="00EB55FB" w:rsidRPr="00E70E49" w:rsidRDefault="00EB55FB" w:rsidP="00684AF3">
      <w:pPr>
        <w:pStyle w:val="CBDDesicionAnnex"/>
        <w:keepNext w:val="0"/>
        <w:keepLines w:val="0"/>
        <w:ind w:left="1138"/>
        <w:rPr>
          <w:rFonts w:hint="eastAsia"/>
          <w:lang w:val="es-419"/>
        </w:rPr>
      </w:pPr>
      <w:r w:rsidRPr="00E70E49">
        <w:rPr>
          <w:lang w:val="es-419"/>
        </w:rPr>
        <w:t>Anexo</w:t>
      </w:r>
      <w:r w:rsidR="00684AF3">
        <w:rPr>
          <w:lang w:val="es-419"/>
        </w:rPr>
        <w:br/>
      </w:r>
      <w:r w:rsidRPr="00E70E49">
        <w:rPr>
          <w:lang w:val="es-419"/>
        </w:rPr>
        <w:t>Mandato del Grupo Especial de Expertos Técnicos sobre Evaluación del Riesgo</w:t>
      </w:r>
    </w:p>
    <w:p w14:paraId="5BA62F01" w14:textId="77777777" w:rsidR="00EB55FB" w:rsidRPr="00E70E49" w:rsidRDefault="00EB55FB" w:rsidP="00BC7D0F">
      <w:pPr>
        <w:numPr>
          <w:ilvl w:val="0"/>
          <w:numId w:val="15"/>
        </w:numPr>
        <w:tabs>
          <w:tab w:val="clear" w:pos="567"/>
          <w:tab w:val="left" w:pos="2835"/>
          <w:tab w:val="left" w:pos="3402"/>
          <w:tab w:val="left" w:pos="3969"/>
        </w:tabs>
        <w:spacing w:before="120" w:after="120"/>
        <w:ind w:left="1134"/>
        <w:rPr>
          <w:lang w:val="es-419"/>
        </w:rPr>
      </w:pPr>
      <w:r w:rsidRPr="00E70E49">
        <w:rPr>
          <w:lang w:val="es-419"/>
        </w:rPr>
        <w:t>El Grupo Especial de Expertos Técnicos sobre Evaluación del Riesgo:</w:t>
      </w:r>
    </w:p>
    <w:p w14:paraId="11662065" w14:textId="205C2097" w:rsidR="00EB55FB" w:rsidRPr="00E70E49" w:rsidRDefault="00EB55FB" w:rsidP="0011161A">
      <w:pPr>
        <w:widowControl w:val="0"/>
        <w:numPr>
          <w:ilvl w:val="1"/>
          <w:numId w:val="32"/>
        </w:numPr>
        <w:tabs>
          <w:tab w:val="clear" w:pos="567"/>
          <w:tab w:val="left" w:pos="2835"/>
          <w:tab w:val="left" w:pos="3402"/>
          <w:tab w:val="left" w:pos="3969"/>
        </w:tabs>
        <w:spacing w:before="120" w:after="120"/>
        <w:ind w:left="1138" w:firstLine="562"/>
        <w:rPr>
          <w:lang w:val="es-419"/>
        </w:rPr>
      </w:pPr>
      <w:r w:rsidRPr="00E70E49">
        <w:rPr>
          <w:lang w:val="es-419"/>
        </w:rPr>
        <w:t xml:space="preserve">Estará </w:t>
      </w:r>
      <w:r w:rsidR="0044556C" w:rsidRPr="00E70E49">
        <w:rPr>
          <w:lang w:val="es-419"/>
        </w:rPr>
        <w:t>conformado</w:t>
      </w:r>
      <w:r w:rsidRPr="00E70E49">
        <w:rPr>
          <w:lang w:val="es-419"/>
        </w:rPr>
        <w:t xml:space="preserve"> por expertos</w:t>
      </w:r>
      <w:r w:rsidR="0044556C" w:rsidRPr="00E70E49">
        <w:rPr>
          <w:lang w:val="es-419"/>
        </w:rPr>
        <w:t xml:space="preserve"> con conocimientos científicos y técnicos específicos pertinentes para el presente mandato</w:t>
      </w:r>
      <w:r w:rsidRPr="00E70E49">
        <w:rPr>
          <w:lang w:val="es-419"/>
        </w:rPr>
        <w:t xml:space="preserve">, seleccionados con arreglo a la sección H del </w:t>
      </w:r>
      <w:r w:rsidRPr="00E70E49">
        <w:rPr>
          <w:i/>
          <w:iCs/>
          <w:lang w:val="es-419"/>
        </w:rPr>
        <w:t>modus operandi</w:t>
      </w:r>
      <w:r w:rsidRPr="00E70E49">
        <w:rPr>
          <w:lang w:val="es-419"/>
        </w:rPr>
        <w:t xml:space="preserve"> refundido del Órgano Subsidiario de Asesoramiento Científico, Técnico y </w:t>
      </w:r>
      <w:r w:rsidRPr="00E70E49">
        <w:rPr>
          <w:lang w:val="es-419"/>
        </w:rPr>
        <w:lastRenderedPageBreak/>
        <w:t>Tecnológico</w:t>
      </w:r>
      <w:r w:rsidRPr="00E70E49">
        <w:rPr>
          <w:vertAlign w:val="superscript"/>
          <w:lang w:val="es-419"/>
        </w:rPr>
        <w:footnoteReference w:id="10"/>
      </w:r>
      <w:r w:rsidRPr="00E70E49">
        <w:rPr>
          <w:lang w:val="es-419"/>
        </w:rPr>
        <w:t xml:space="preserve">, e incluirá expertos procedentes del sector académico, organizaciones internacionales pertinentes y pueblos indígenas y comunidades locales, </w:t>
      </w:r>
      <w:r w:rsidR="0044556C" w:rsidRPr="00E70E49">
        <w:rPr>
          <w:lang w:val="es-419"/>
        </w:rPr>
        <w:t xml:space="preserve">mujeres y la juventud, </w:t>
      </w:r>
      <w:r w:rsidRPr="00E70E49">
        <w:rPr>
          <w:lang w:val="es-419"/>
        </w:rPr>
        <w:t xml:space="preserve">conforme a la decisión </w:t>
      </w:r>
      <w:hyperlink r:id="rId20" w:history="1">
        <w:r w:rsidRPr="00E70E49">
          <w:rPr>
            <w:rStyle w:val="Hyperlink"/>
            <w:lang w:val="es-419"/>
          </w:rPr>
          <w:t>14/33</w:t>
        </w:r>
      </w:hyperlink>
      <w:r w:rsidRPr="00E70E49">
        <w:rPr>
          <w:lang w:val="es-419"/>
        </w:rPr>
        <w:t xml:space="preserve">, de 29 de noviembre de 2018, sobre el procedimiento para evitar o tratar conflictos de intereses en los grupos de expertos, en su versión modificada por decisión </w:t>
      </w:r>
      <w:hyperlink r:id="rId21" w:history="1">
        <w:r w:rsidRPr="00E70E49">
          <w:rPr>
            <w:rStyle w:val="Hyperlink"/>
            <w:lang w:val="es-419"/>
          </w:rPr>
          <w:t>CP-11/6</w:t>
        </w:r>
      </w:hyperlink>
      <w:r w:rsidRPr="00E70E49">
        <w:rPr>
          <w:lang w:val="es-419"/>
        </w:rPr>
        <w:t>, de 1 de noviembre de 2024;</w:t>
      </w:r>
    </w:p>
    <w:p w14:paraId="15F56CCE" w14:textId="65843124" w:rsidR="00EB55FB" w:rsidRPr="00E70E49" w:rsidRDefault="00EB55FB" w:rsidP="002A6192">
      <w:pPr>
        <w:numPr>
          <w:ilvl w:val="1"/>
          <w:numId w:val="32"/>
        </w:numPr>
        <w:tabs>
          <w:tab w:val="clear" w:pos="567"/>
          <w:tab w:val="left" w:pos="2835"/>
          <w:tab w:val="left" w:pos="3402"/>
          <w:tab w:val="left" w:pos="3969"/>
        </w:tabs>
        <w:spacing w:before="120" w:after="120"/>
        <w:ind w:left="1138" w:firstLine="562"/>
        <w:rPr>
          <w:lang w:val="es-419"/>
        </w:rPr>
      </w:pPr>
      <w:r w:rsidRPr="00E70E49">
        <w:rPr>
          <w:lang w:val="es-419"/>
        </w:rPr>
        <w:t xml:space="preserve">Con sujeción a la disponibilidad de fondos, </w:t>
      </w:r>
      <w:r w:rsidR="0044556C" w:rsidRPr="00E70E49">
        <w:rPr>
          <w:lang w:val="es-419"/>
        </w:rPr>
        <w:t xml:space="preserve">celebrará </w:t>
      </w:r>
      <w:r w:rsidRPr="00E70E49">
        <w:rPr>
          <w:lang w:val="es-419"/>
        </w:rPr>
        <w:t>por lo menos dos reuniones, una de ellas presencial, con anterioridad a la 13ª reunión de la Conferencia de las Partes que actúa como reunión de las Partes en el Protocolo de Cartagena sobre Seguridad de la Biotecnología</w:t>
      </w:r>
      <w:r w:rsidRPr="00E70E49">
        <w:rPr>
          <w:vertAlign w:val="superscript"/>
          <w:lang w:val="es-419"/>
        </w:rPr>
        <w:footnoteReference w:id="11"/>
      </w:r>
      <w:r w:rsidRPr="00E70E49">
        <w:rPr>
          <w:lang w:val="es-419"/>
        </w:rPr>
        <w:t xml:space="preserve"> y realizará las tareas que sean necesarias entre sus dos reuniones con el apoyo de medios de comunicación y participación en línea;</w:t>
      </w:r>
    </w:p>
    <w:p w14:paraId="035BD176" w14:textId="5A02B80F" w:rsidR="00EB55FB" w:rsidRPr="00E70E49" w:rsidRDefault="00EB55FB" w:rsidP="002A6192">
      <w:pPr>
        <w:numPr>
          <w:ilvl w:val="1"/>
          <w:numId w:val="32"/>
        </w:numPr>
        <w:tabs>
          <w:tab w:val="clear" w:pos="567"/>
          <w:tab w:val="left" w:pos="2835"/>
          <w:tab w:val="left" w:pos="3402"/>
          <w:tab w:val="left" w:pos="3969"/>
        </w:tabs>
        <w:spacing w:before="120" w:after="120"/>
        <w:ind w:left="1138" w:firstLine="562"/>
        <w:rPr>
          <w:lang w:val="es-419"/>
        </w:rPr>
      </w:pPr>
      <w:r w:rsidRPr="00E70E49">
        <w:rPr>
          <w:lang w:val="es-419"/>
        </w:rPr>
        <w:t xml:space="preserve">Elaborará proyectos de materiales de orientación voluntaria </w:t>
      </w:r>
      <w:r w:rsidR="00432212" w:rsidRPr="00E70E49">
        <w:rPr>
          <w:lang w:val="es-419"/>
        </w:rPr>
        <w:t xml:space="preserve">adicionales </w:t>
      </w:r>
      <w:r w:rsidRPr="00E70E49">
        <w:rPr>
          <w:lang w:val="es-419"/>
        </w:rPr>
        <w:t>para microorganismos vivos modificados y peces vivos modificados, de conformidad con el anexo</w:t>
      </w:r>
      <w:r w:rsidR="0044556C" w:rsidRPr="00E70E49">
        <w:rPr>
          <w:lang w:val="es-419"/>
        </w:rPr>
        <w:t> </w:t>
      </w:r>
      <w:r w:rsidRPr="00E70E49">
        <w:rPr>
          <w:lang w:val="es-419"/>
        </w:rPr>
        <w:t xml:space="preserve">III del Protocolo de Cartagena, teniendo en cuenta los enfoques </w:t>
      </w:r>
      <w:r w:rsidR="0090651F">
        <w:rPr>
          <w:lang w:val="es-419"/>
        </w:rPr>
        <w:t>par</w:t>
      </w:r>
      <w:r w:rsidRPr="00E70E49">
        <w:rPr>
          <w:lang w:val="es-419"/>
        </w:rPr>
        <w:t xml:space="preserve">a la evaluación del riesgo establecidos en los materiales de orientación voluntaria </w:t>
      </w:r>
      <w:r w:rsidR="00432212" w:rsidRPr="00E70E49">
        <w:rPr>
          <w:lang w:val="es-419"/>
        </w:rPr>
        <w:t xml:space="preserve">adicionales </w:t>
      </w:r>
      <w:r w:rsidRPr="00E70E49">
        <w:rPr>
          <w:lang w:val="es-419"/>
        </w:rPr>
        <w:t>para apoyar evaluaciones del riesgo caso por caso de organismos vivos modificados que contengan impulsores genéticos modificados</w:t>
      </w:r>
      <w:r w:rsidRPr="00E70E49">
        <w:rPr>
          <w:vertAlign w:val="superscript"/>
          <w:lang w:val="es-419"/>
        </w:rPr>
        <w:footnoteReference w:id="12"/>
      </w:r>
      <w:r w:rsidRPr="00E70E49">
        <w:rPr>
          <w:lang w:val="es-419"/>
        </w:rPr>
        <w:t xml:space="preserve"> y evitando la duplicación </w:t>
      </w:r>
      <w:r w:rsidR="00810841" w:rsidRPr="00E70E49">
        <w:rPr>
          <w:lang w:val="es-419"/>
        </w:rPr>
        <w:t>de</w:t>
      </w:r>
      <w:r w:rsidR="0044556C" w:rsidRPr="00E70E49">
        <w:rPr>
          <w:lang w:val="es-419"/>
        </w:rPr>
        <w:t xml:space="preserve"> </w:t>
      </w:r>
      <w:r w:rsidRPr="00E70E49">
        <w:rPr>
          <w:lang w:val="es-419"/>
        </w:rPr>
        <w:t>materiales de orientación existentes, para que sean considerados por el Órgano Subsidiario en una reunión celebrada con anterioridad a la 13ª</w:t>
      </w:r>
      <w:r w:rsidR="0044556C" w:rsidRPr="00E70E49">
        <w:rPr>
          <w:lang w:val="es-419"/>
        </w:rPr>
        <w:t> </w:t>
      </w:r>
      <w:r w:rsidRPr="00E70E49">
        <w:rPr>
          <w:lang w:val="es-419"/>
        </w:rPr>
        <w:t>reunión de la Conferencia de las Partes que actúa como reunión de las Partes en el Protocolo;</w:t>
      </w:r>
    </w:p>
    <w:p w14:paraId="747F5F4D" w14:textId="3B235B3D" w:rsidR="00EB55FB" w:rsidRPr="00E70E49" w:rsidRDefault="00977FF4" w:rsidP="002A6192">
      <w:pPr>
        <w:numPr>
          <w:ilvl w:val="1"/>
          <w:numId w:val="32"/>
        </w:numPr>
        <w:tabs>
          <w:tab w:val="clear" w:pos="567"/>
          <w:tab w:val="left" w:pos="2835"/>
          <w:tab w:val="left" w:pos="3402"/>
          <w:tab w:val="left" w:pos="3969"/>
        </w:tabs>
        <w:spacing w:before="120" w:after="120"/>
        <w:ind w:left="1138" w:firstLine="562"/>
        <w:rPr>
          <w:lang w:val="es-419"/>
        </w:rPr>
      </w:pPr>
      <w:r w:rsidRPr="00E70E49">
        <w:rPr>
          <w:lang w:val="es-419"/>
        </w:rPr>
        <w:t>[Elaborará proyectos de notas técnicas</w:t>
      </w:r>
      <w:r w:rsidR="00EB55FB" w:rsidRPr="00E70E49">
        <w:rPr>
          <w:vertAlign w:val="superscript"/>
          <w:lang w:val="es-419"/>
        </w:rPr>
        <w:footnoteReference w:id="13"/>
      </w:r>
      <w:r w:rsidRPr="00E70E49">
        <w:rPr>
          <w:lang w:val="es-419"/>
        </w:rPr>
        <w:t xml:space="preserve"> de uso voluntario para los temas de operacionalización de objetivos de protección traduciéndolos a puntos finales de evaluación y </w:t>
      </w:r>
      <w:r w:rsidR="004A7D1C" w:rsidRPr="00E70E49">
        <w:rPr>
          <w:lang w:val="es-419"/>
        </w:rPr>
        <w:t xml:space="preserve">medición pertinentes y </w:t>
      </w:r>
      <w:r w:rsidRPr="00E70E49">
        <w:rPr>
          <w:lang w:val="es-419"/>
        </w:rPr>
        <w:t>uso de organismos vivos modificados en centros de origen y en sistemas agrícolas tradicionales]</w:t>
      </w:r>
      <w:r w:rsidR="00EB55FB" w:rsidRPr="00E70E49">
        <w:rPr>
          <w:vertAlign w:val="superscript"/>
          <w:lang w:val="es-419"/>
        </w:rPr>
        <w:footnoteReference w:id="14"/>
      </w:r>
      <w:r w:rsidRPr="00E70E49">
        <w:rPr>
          <w:lang w:val="es-419"/>
        </w:rPr>
        <w:t xml:space="preserve">,[Elaborará orientaciones </w:t>
      </w:r>
      <w:r w:rsidR="0044556C" w:rsidRPr="00E70E49">
        <w:rPr>
          <w:lang w:val="es-419"/>
        </w:rPr>
        <w:t>com</w:t>
      </w:r>
      <w:r w:rsidRPr="00E70E49">
        <w:rPr>
          <w:lang w:val="es-419"/>
        </w:rPr>
        <w:t xml:space="preserve">plementarias concisas de uso voluntario que proporcionen información </w:t>
      </w:r>
      <w:r w:rsidR="004D58D3" w:rsidRPr="00E70E49">
        <w:rPr>
          <w:lang w:val="es-419"/>
        </w:rPr>
        <w:t xml:space="preserve">específica, </w:t>
      </w:r>
      <w:r w:rsidRPr="00E70E49">
        <w:rPr>
          <w:lang w:val="es-419"/>
        </w:rPr>
        <w:t xml:space="preserve">clara y </w:t>
      </w:r>
      <w:r w:rsidR="004D58D3" w:rsidRPr="00E70E49">
        <w:rPr>
          <w:lang w:val="es-419"/>
        </w:rPr>
        <w:t>enfoc</w:t>
      </w:r>
      <w:r w:rsidRPr="00E70E49">
        <w:rPr>
          <w:lang w:val="es-419"/>
        </w:rPr>
        <w:t>ada sobre [alga vivas modificadas,]</w:t>
      </w:r>
      <w:r w:rsidR="004D58D3" w:rsidRPr="00E70E49">
        <w:rPr>
          <w:lang w:val="es-419"/>
        </w:rPr>
        <w:t>[peces vivos modificados,]</w:t>
      </w:r>
      <w:r w:rsidRPr="00E70E49">
        <w:rPr>
          <w:lang w:val="es-419"/>
        </w:rPr>
        <w:t xml:space="preserve">[microorganismos vivos modificados,] [organismos vivos modificados que expresan técnicas de edición del genoma para </w:t>
      </w:r>
      <w:r w:rsidR="008F5F06">
        <w:rPr>
          <w:lang w:val="es-419"/>
        </w:rPr>
        <w:t>el</w:t>
      </w:r>
      <w:r w:rsidRPr="00E70E49">
        <w:rPr>
          <w:lang w:val="es-419"/>
        </w:rPr>
        <w:t xml:space="preserve"> control de plagas y patógenos,] [efectos a largo plazo y acumulativos de las construcciones genéticas y los organismos vivos modificados,] [operacionalización de objetivos de protección traduciéndolos a puntos</w:t>
      </w:r>
      <w:r w:rsidR="004A7D1C" w:rsidRPr="00E70E49">
        <w:rPr>
          <w:lang w:val="es-419"/>
        </w:rPr>
        <w:t xml:space="preserve"> finales de evaluación y medición pertinentes</w:t>
      </w:r>
      <w:r w:rsidRPr="00E70E49">
        <w:rPr>
          <w:lang w:val="es-419"/>
        </w:rPr>
        <w:t xml:space="preserve">,] [uso de organismos vivos modificados en centros de origen y en sistemas agrícolas tradicionales]] de conformidad con el anexo III del Protocolo de Cartagena y evitando la duplicación </w:t>
      </w:r>
      <w:r w:rsidR="00810841" w:rsidRPr="00E70E49">
        <w:rPr>
          <w:lang w:val="es-419"/>
        </w:rPr>
        <w:t>de</w:t>
      </w:r>
      <w:r w:rsidR="004D58D3" w:rsidRPr="00E70E49">
        <w:rPr>
          <w:lang w:val="es-419"/>
        </w:rPr>
        <w:t xml:space="preserve"> </w:t>
      </w:r>
      <w:r w:rsidRPr="00E70E49">
        <w:rPr>
          <w:lang w:val="es-419"/>
        </w:rPr>
        <w:t>materiales de orientación existentes, para consideración del Órgano Subsidiario en una reunión celebrada con anterioridad a</w:t>
      </w:r>
      <w:r w:rsidR="004D58D3" w:rsidRPr="00E70E49">
        <w:rPr>
          <w:lang w:val="es-419"/>
        </w:rPr>
        <w:t xml:space="preserve"> la 13ª reunión de</w:t>
      </w:r>
      <w:r w:rsidRPr="00E70E49">
        <w:rPr>
          <w:lang w:val="es-419"/>
        </w:rPr>
        <w:t xml:space="preserve"> la Conferencia de las Partes que actúa como reunión de las Partes en el Protocolo. [Las orientaciones podrían incluir </w:t>
      </w:r>
      <w:r w:rsidR="004D58D3" w:rsidRPr="00E70E49">
        <w:rPr>
          <w:lang w:val="es-419"/>
        </w:rPr>
        <w:t xml:space="preserve">puntos o </w:t>
      </w:r>
      <w:r w:rsidRPr="00E70E49">
        <w:rPr>
          <w:lang w:val="es-419"/>
        </w:rPr>
        <w:t>elementos</w:t>
      </w:r>
      <w:r w:rsidR="004D58D3" w:rsidRPr="00E70E49">
        <w:rPr>
          <w:lang w:val="es-419"/>
        </w:rPr>
        <w:t xml:space="preserve"> </w:t>
      </w:r>
      <w:r w:rsidRPr="00E70E49">
        <w:rPr>
          <w:lang w:val="es-419"/>
        </w:rPr>
        <w:t xml:space="preserve">de procedimiento o prácticos </w:t>
      </w:r>
      <w:r w:rsidR="004D58D3" w:rsidRPr="00E70E49">
        <w:rPr>
          <w:lang w:val="es-419"/>
        </w:rPr>
        <w:t>que h</w:t>
      </w:r>
      <w:r w:rsidRPr="00E70E49">
        <w:rPr>
          <w:lang w:val="es-419"/>
        </w:rPr>
        <w:t>a</w:t>
      </w:r>
      <w:r w:rsidR="004D58D3" w:rsidRPr="00E70E49">
        <w:rPr>
          <w:lang w:val="es-419"/>
        </w:rPr>
        <w:t>n de</w:t>
      </w:r>
      <w:r w:rsidRPr="00E70E49">
        <w:rPr>
          <w:lang w:val="es-419"/>
        </w:rPr>
        <w:t xml:space="preserve"> tener</w:t>
      </w:r>
      <w:r w:rsidR="004D58D3" w:rsidRPr="00E70E49">
        <w:rPr>
          <w:lang w:val="es-419"/>
        </w:rPr>
        <w:t>se</w:t>
      </w:r>
      <w:r w:rsidRPr="00E70E49">
        <w:rPr>
          <w:lang w:val="es-419"/>
        </w:rPr>
        <w:t xml:space="preserve"> en cuenta en las evaluaciones del riesgo.]</w:t>
      </w:r>
    </w:p>
    <w:p w14:paraId="5577F918" w14:textId="4F09EA62" w:rsidR="00EB55FB" w:rsidRPr="00E70E49" w:rsidRDefault="00EB55FB" w:rsidP="00BC7D0F">
      <w:pPr>
        <w:numPr>
          <w:ilvl w:val="0"/>
          <w:numId w:val="15"/>
        </w:numPr>
        <w:tabs>
          <w:tab w:val="clear" w:pos="567"/>
          <w:tab w:val="left" w:pos="2835"/>
          <w:tab w:val="left" w:pos="3402"/>
          <w:tab w:val="left" w:pos="3969"/>
        </w:tabs>
        <w:spacing w:before="120" w:after="120"/>
        <w:ind w:left="1134"/>
        <w:rPr>
          <w:lang w:val="es-419"/>
        </w:rPr>
      </w:pPr>
      <w:r w:rsidRPr="00E70E49">
        <w:rPr>
          <w:lang w:val="es-419"/>
        </w:rPr>
        <w:t xml:space="preserve">Para realizar su labor, el Grupo de Expertos considerará la información presentada con arreglo al párrafo 5 de la presente decisión, las discusiones mantenidas en el Foro en Línea de Composición Abierta sobre Evaluación del Riesgo y Gestión del Riesgo, la síntesis de información preparada por la Secretaría con arreglo al párrafo 12 c) de la presente decisión, la síntesis de presentaciones de información sobre evaluación del riesgo y las discusiones </w:t>
      </w:r>
      <w:r w:rsidR="004D58D3" w:rsidRPr="00E70E49">
        <w:rPr>
          <w:lang w:val="es-419"/>
        </w:rPr>
        <w:lastRenderedPageBreak/>
        <w:t>manteni</w:t>
      </w:r>
      <w:r w:rsidRPr="00E70E49">
        <w:rPr>
          <w:lang w:val="es-419"/>
        </w:rPr>
        <w:t>das en el Foro en Línea</w:t>
      </w:r>
      <w:r w:rsidRPr="00E70E49">
        <w:rPr>
          <w:vertAlign w:val="superscript"/>
          <w:lang w:val="es-419"/>
        </w:rPr>
        <w:footnoteReference w:id="15"/>
      </w:r>
      <w:r w:rsidRPr="00E70E49">
        <w:rPr>
          <w:lang w:val="es-419"/>
        </w:rPr>
        <w:t xml:space="preserve"> y la lista de referencias bibliográficas aportadas en las presentaciones de las Partes y </w:t>
      </w:r>
      <w:r w:rsidR="004D58D3" w:rsidRPr="00E70E49">
        <w:rPr>
          <w:lang w:val="es-419"/>
        </w:rPr>
        <w:t>dura</w:t>
      </w:r>
      <w:r w:rsidRPr="00E70E49">
        <w:rPr>
          <w:lang w:val="es-419"/>
        </w:rPr>
        <w:t>n</w:t>
      </w:r>
      <w:r w:rsidR="004D58D3" w:rsidRPr="00E70E49">
        <w:rPr>
          <w:lang w:val="es-419"/>
        </w:rPr>
        <w:t>te</w:t>
      </w:r>
      <w:r w:rsidRPr="00E70E49">
        <w:rPr>
          <w:lang w:val="es-419"/>
        </w:rPr>
        <w:t xml:space="preserve"> las discusiones </w:t>
      </w:r>
      <w:r w:rsidR="004A7D1C" w:rsidRPr="00E70E49">
        <w:rPr>
          <w:lang w:val="es-419"/>
        </w:rPr>
        <w:t xml:space="preserve">mantenidas en </w:t>
      </w:r>
      <w:r w:rsidRPr="00E70E49">
        <w:rPr>
          <w:lang w:val="es-419"/>
        </w:rPr>
        <w:t>el Foro en Línea</w:t>
      </w:r>
      <w:r w:rsidRPr="00E70E49">
        <w:rPr>
          <w:vertAlign w:val="superscript"/>
          <w:lang w:val="es-419"/>
        </w:rPr>
        <w:footnoteReference w:id="16"/>
      </w:r>
      <w:r w:rsidRPr="00E70E49">
        <w:rPr>
          <w:lang w:val="es-419"/>
        </w:rPr>
        <w:t xml:space="preserve">. </w:t>
      </w:r>
    </w:p>
    <w:p w14:paraId="769BEBC0" w14:textId="2DFEEBA0" w:rsidR="00EB55FB" w:rsidRPr="00E70E49" w:rsidRDefault="00EB55FB" w:rsidP="00BC7D0F">
      <w:pPr>
        <w:numPr>
          <w:ilvl w:val="0"/>
          <w:numId w:val="15"/>
        </w:numPr>
        <w:tabs>
          <w:tab w:val="clear" w:pos="567"/>
          <w:tab w:val="left" w:pos="2835"/>
          <w:tab w:val="left" w:pos="3402"/>
          <w:tab w:val="left" w:pos="3969"/>
        </w:tabs>
        <w:spacing w:before="120" w:after="120"/>
        <w:ind w:left="1134"/>
        <w:rPr>
          <w:lang w:val="es-419"/>
        </w:rPr>
      </w:pPr>
      <w:r w:rsidRPr="00E70E49">
        <w:rPr>
          <w:lang w:val="es-419"/>
        </w:rPr>
        <w:t>Para realizar su labor, el Grupo de Expertos considerará también información producida por otros organismos internacionales, regionales y nacionales, a fin de evitar la duplicación de materiales existentes.</w:t>
      </w:r>
    </w:p>
    <w:p w14:paraId="3E282B4B" w14:textId="72495048" w:rsidR="00352721" w:rsidRPr="00E70E49" w:rsidRDefault="00352721" w:rsidP="00352721">
      <w:pPr>
        <w:tabs>
          <w:tab w:val="clear" w:pos="567"/>
          <w:tab w:val="left" w:pos="2835"/>
          <w:tab w:val="left" w:pos="3402"/>
          <w:tab w:val="left" w:pos="3969"/>
        </w:tabs>
        <w:spacing w:before="120" w:after="120"/>
        <w:ind w:left="1134"/>
        <w:rPr>
          <w:lang w:val="es-419"/>
        </w:rPr>
      </w:pPr>
      <w:r w:rsidRPr="00E70E49">
        <w:rPr>
          <w:lang w:val="es-419"/>
        </w:rPr>
        <w:t>]</w:t>
      </w:r>
    </w:p>
    <w:p w14:paraId="44050B3A" w14:textId="7C096EB4" w:rsidR="001065E9" w:rsidRPr="00E70E49" w:rsidRDefault="00EB55FB" w:rsidP="001D654A">
      <w:pPr>
        <w:jc w:val="center"/>
        <w:rPr>
          <w:lang w:val="es-419"/>
        </w:rPr>
      </w:pPr>
      <w:r w:rsidRPr="00E70E49">
        <w:rPr>
          <w:lang w:val="es-419"/>
        </w:rPr>
        <w:t>__________</w:t>
      </w:r>
    </w:p>
    <w:sectPr w:rsidR="001065E9" w:rsidRPr="00E70E49" w:rsidSect="00BC7D0F">
      <w:headerReference w:type="even" r:id="rId22"/>
      <w:headerReference w:type="default" r:id="rId23"/>
      <w:footerReference w:type="even" r:id="rId24"/>
      <w:footerReference w:type="default" r:id="rId25"/>
      <w:footnotePr>
        <w:numRestart w:val="eachSect"/>
      </w:footnotePr>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0CC9F" w14:textId="77777777" w:rsidR="00926A4B" w:rsidRDefault="00926A4B" w:rsidP="00840E56">
      <w:r>
        <w:separator/>
      </w:r>
    </w:p>
  </w:endnote>
  <w:endnote w:type="continuationSeparator" w:id="0">
    <w:p w14:paraId="2AD6B083" w14:textId="77777777" w:rsidR="00926A4B" w:rsidRDefault="00926A4B" w:rsidP="00840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altName w:val="Times New Roman"/>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708784"/>
      <w:docPartObj>
        <w:docPartGallery w:val="Page Numbers (Top of Page)"/>
        <w:docPartUnique/>
      </w:docPartObj>
    </w:sdtPr>
    <w:sdtEndPr/>
    <w:sdtContent>
      <w:p w14:paraId="73BA6EA0" w14:textId="752B1C87" w:rsidR="00D4364D" w:rsidRDefault="004D2538">
        <w:pPr>
          <w:pStyle w:val="Footer"/>
        </w:pPr>
        <w:r w:rsidRPr="002A5512">
          <w:fldChar w:fldCharType="begin"/>
        </w:r>
        <w:r w:rsidRPr="002A5512">
          <w:instrText xml:space="preserve"> PAGE </w:instrText>
        </w:r>
        <w:r w:rsidRPr="002A5512">
          <w:fldChar w:fldCharType="separate"/>
        </w:r>
        <w:r w:rsidR="00F97C21">
          <w:rPr>
            <w:noProof/>
          </w:rPr>
          <w:t>4</w:t>
        </w:r>
        <w:r w:rsidRPr="002A5512">
          <w:fldChar w:fldCharType="end"/>
        </w:r>
        <w:r>
          <w:t>/</w:t>
        </w:r>
        <w:r w:rsidR="00926A4B">
          <w:fldChar w:fldCharType="begin"/>
        </w:r>
        <w:r w:rsidR="00926A4B">
          <w:instrText xml:space="preserve"> NUMPAGES  </w:instrText>
        </w:r>
        <w:r w:rsidR="00926A4B">
          <w:fldChar w:fldCharType="separate"/>
        </w:r>
        <w:r w:rsidR="00F97C21">
          <w:rPr>
            <w:noProof/>
          </w:rPr>
          <w:t>5</w:t>
        </w:r>
        <w:r w:rsidR="00926A4B">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3556901"/>
      <w:docPartObj>
        <w:docPartGallery w:val="Page Numbers (Top of Page)"/>
        <w:docPartUnique/>
      </w:docPartObj>
    </w:sdtPr>
    <w:sdtEndPr/>
    <w:sdtContent>
      <w:p w14:paraId="06BEFDC1" w14:textId="162F11CF" w:rsidR="00D4364D" w:rsidRDefault="004D2538" w:rsidP="00B1090B">
        <w:pPr>
          <w:pStyle w:val="Footer"/>
          <w:jc w:val="right"/>
        </w:pPr>
        <w:r w:rsidRPr="002A5512">
          <w:fldChar w:fldCharType="begin"/>
        </w:r>
        <w:r w:rsidRPr="002A5512">
          <w:instrText xml:space="preserve"> PAGE </w:instrText>
        </w:r>
        <w:r w:rsidRPr="002A5512">
          <w:fldChar w:fldCharType="separate"/>
        </w:r>
        <w:r w:rsidR="00F97C21">
          <w:rPr>
            <w:noProof/>
          </w:rPr>
          <w:t>5</w:t>
        </w:r>
        <w:r w:rsidRPr="002A5512">
          <w:fldChar w:fldCharType="end"/>
        </w:r>
        <w:r>
          <w:t>/</w:t>
        </w:r>
        <w:r w:rsidR="00926A4B">
          <w:fldChar w:fldCharType="begin"/>
        </w:r>
        <w:r w:rsidR="00926A4B">
          <w:instrText xml:space="preserve"> NUMPAGES  </w:instrText>
        </w:r>
        <w:r w:rsidR="00926A4B">
          <w:fldChar w:fldCharType="separate"/>
        </w:r>
        <w:r w:rsidR="00F97C21">
          <w:rPr>
            <w:noProof/>
          </w:rPr>
          <w:t>5</w:t>
        </w:r>
        <w:r w:rsidR="00926A4B">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AF22A" w14:textId="77777777" w:rsidR="00926A4B" w:rsidRDefault="00926A4B" w:rsidP="00840E56">
      <w:r>
        <w:separator/>
      </w:r>
    </w:p>
  </w:footnote>
  <w:footnote w:type="continuationSeparator" w:id="0">
    <w:p w14:paraId="7100029B" w14:textId="77777777" w:rsidR="00926A4B" w:rsidRDefault="00926A4B" w:rsidP="00840E56">
      <w:r>
        <w:continuationSeparator/>
      </w:r>
    </w:p>
  </w:footnote>
  <w:footnote w:id="1">
    <w:p w14:paraId="14BC4747" w14:textId="46DCD9E3" w:rsidR="00F13E8F" w:rsidRPr="00F13E8F" w:rsidRDefault="00F13E8F">
      <w:pPr>
        <w:pStyle w:val="FootnoteText"/>
      </w:pPr>
      <w:r>
        <w:rPr>
          <w:rStyle w:val="FootnoteReference"/>
        </w:rPr>
        <w:footnoteRef/>
      </w:r>
      <w:r>
        <w:t xml:space="preserve"> Naciones Unidas, </w:t>
      </w:r>
      <w:r>
        <w:rPr>
          <w:i/>
        </w:rPr>
        <w:t>Treaty Series</w:t>
      </w:r>
      <w:r>
        <w:t>, vol. 2226, núm. 30619.</w:t>
      </w:r>
    </w:p>
  </w:footnote>
  <w:footnote w:id="2">
    <w:p w14:paraId="3E4A192E" w14:textId="4B32AAC3" w:rsidR="00EB55FB" w:rsidRDefault="00EB55FB" w:rsidP="00EB55FB">
      <w:pPr>
        <w:pStyle w:val="FootnoteText"/>
      </w:pPr>
      <w:r>
        <w:rPr>
          <w:rStyle w:val="FootnoteReference"/>
        </w:rPr>
        <w:footnoteRef/>
      </w:r>
      <w:r>
        <w:t xml:space="preserve"> Véase </w:t>
      </w:r>
      <w:hyperlink r:id="rId1" w:history="1">
        <w:r>
          <w:rPr>
            <w:rStyle w:val="Hyperlink"/>
          </w:rPr>
          <w:t>CBD/CP/RA/AHTEG/2025/1/3</w:t>
        </w:r>
      </w:hyperlink>
      <w:r>
        <w:t>.</w:t>
      </w:r>
    </w:p>
  </w:footnote>
  <w:footnote w:id="3">
    <w:p w14:paraId="3BB4C47D" w14:textId="36713896" w:rsidR="00EB55FB" w:rsidRDefault="00EB55FB" w:rsidP="00EB55FB">
      <w:pPr>
        <w:pStyle w:val="FootnoteText"/>
      </w:pPr>
      <w:r>
        <w:rPr>
          <w:rStyle w:val="FootnoteReference"/>
        </w:rPr>
        <w:footnoteRef/>
      </w:r>
      <w:r>
        <w:t xml:space="preserve"> Véase el documento </w:t>
      </w:r>
      <w:hyperlink r:id="rId2" w:history="1">
        <w:r>
          <w:rPr>
            <w:rStyle w:val="Hyperlink"/>
          </w:rPr>
          <w:t>CBD/SBSTTA/27/6</w:t>
        </w:r>
      </w:hyperlink>
      <w:r>
        <w:t>, anexo.</w:t>
      </w:r>
    </w:p>
  </w:footnote>
  <w:footnote w:id="4">
    <w:p w14:paraId="136CF64A" w14:textId="77777777" w:rsidR="00423A19" w:rsidRPr="00F13E8F" w:rsidRDefault="00423A19" w:rsidP="00423A19">
      <w:pPr>
        <w:pStyle w:val="FootnoteText"/>
      </w:pPr>
      <w:r>
        <w:rPr>
          <w:rStyle w:val="FootnoteReference"/>
        </w:rPr>
        <w:footnoteRef/>
      </w:r>
      <w:r>
        <w:t xml:space="preserve"> Naciones Unidas, </w:t>
      </w:r>
      <w:r>
        <w:rPr>
          <w:i/>
        </w:rPr>
        <w:t>Treaty Series</w:t>
      </w:r>
      <w:r>
        <w:t>, vol. 2226, núm. 30619.</w:t>
      </w:r>
    </w:p>
  </w:footnote>
  <w:footnote w:id="5">
    <w:p w14:paraId="28478C9A" w14:textId="3D64F22A" w:rsidR="00EB55FB" w:rsidRDefault="00EB55FB" w:rsidP="00EB55FB">
      <w:pPr>
        <w:pStyle w:val="FootnoteText"/>
      </w:pPr>
      <w:r>
        <w:rPr>
          <w:rStyle w:val="FootnoteReference"/>
        </w:rPr>
        <w:footnoteRef/>
      </w:r>
      <w:r w:rsidR="00934CD8">
        <w:t> </w:t>
      </w:r>
      <w:r>
        <w:t>[Algas vivas modificadas,] [peces vivos modificados,] [microorganismos vivos modificados,] [organismos vivos modificados que expresan técnicas de edición del genoma para el control de plagas o patógenos,] [efectos a largo plazo y acumulativos de las construcciones genéticas y los organismos vivos modificados,] [operacionalización de objetivos de protección traduciéndolos a puntos finales de evaluación y medición pertinentes,] [uso de organismos vivos modificados en centros de origen y en sistemas agrícolas tradicionales].</w:t>
      </w:r>
    </w:p>
  </w:footnote>
  <w:footnote w:id="6">
    <w:p w14:paraId="4422F246" w14:textId="7ED55ADB" w:rsidR="00A04F66" w:rsidRDefault="00A04F66" w:rsidP="00A04F66">
      <w:pPr>
        <w:pStyle w:val="FootnoteText"/>
      </w:pPr>
      <w:r>
        <w:rPr>
          <w:rStyle w:val="FootnoteReference"/>
        </w:rPr>
        <w:footnoteRef/>
      </w:r>
      <w:r>
        <w:t xml:space="preserve"> Véase </w:t>
      </w:r>
      <w:hyperlink r:id="rId3" w:history="1">
        <w:r>
          <w:rPr>
            <w:rStyle w:val="Hyperlink"/>
          </w:rPr>
          <w:t>CBD/CP/RA/AHTEG/2025/1/3</w:t>
        </w:r>
      </w:hyperlink>
      <w:r>
        <w:t>.</w:t>
      </w:r>
    </w:p>
  </w:footnote>
  <w:footnote w:id="7">
    <w:p w14:paraId="6D695474" w14:textId="5A0B80C3" w:rsidR="00CC638A" w:rsidRDefault="00CC638A" w:rsidP="00CC638A">
      <w:pPr>
        <w:pStyle w:val="FootnoteText"/>
      </w:pPr>
      <w:r>
        <w:rPr>
          <w:rStyle w:val="FootnoteReference"/>
        </w:rPr>
        <w:footnoteRef/>
      </w:r>
      <w:r>
        <w:t xml:space="preserve"> Véase </w:t>
      </w:r>
      <w:hyperlink r:id="rId4" w:tgtFrame="_blank" w:tooltip="https://www.cbd.int/tsc/tscm/subregionalcentres" w:history="1">
        <w:r>
          <w:rPr>
            <w:rStyle w:val="Hyperlink"/>
          </w:rPr>
          <w:t>www.cbd.int/tsc/tscm/subregionalcentres</w:t>
        </w:r>
      </w:hyperlink>
      <w:r>
        <w:t>.</w:t>
      </w:r>
    </w:p>
  </w:footnote>
  <w:footnote w:id="8">
    <w:p w14:paraId="793F456D" w14:textId="6CBE37F2" w:rsidR="00EB55FB" w:rsidRDefault="00EB55FB" w:rsidP="00EB55FB">
      <w:pPr>
        <w:pStyle w:val="FootnoteText"/>
      </w:pPr>
      <w:r>
        <w:rPr>
          <w:rStyle w:val="FootnoteReference"/>
        </w:rPr>
        <w:footnoteRef/>
      </w:r>
      <w:r>
        <w:t xml:space="preserve"> Brindada </w:t>
      </w:r>
      <w:r w:rsidR="002A6192">
        <w:t>en</w:t>
      </w:r>
      <w:r>
        <w:t xml:space="preserve"> respuesta a la pregunta 68 del quinto informe nacional presentado en virtud del Protocolo de Cartagena.</w:t>
      </w:r>
    </w:p>
  </w:footnote>
  <w:footnote w:id="9">
    <w:p w14:paraId="0B575ABD" w14:textId="61066C8E" w:rsidR="00EB55FB" w:rsidRDefault="00EB55FB" w:rsidP="00EB55FB">
      <w:pPr>
        <w:pStyle w:val="FootnoteText"/>
      </w:pPr>
      <w:r>
        <w:rPr>
          <w:rStyle w:val="FootnoteReference"/>
        </w:rPr>
        <w:footnoteRef/>
      </w:r>
      <w:r>
        <w:t xml:space="preserve"> Véase </w:t>
      </w:r>
      <w:hyperlink r:id="rId5" w:history="1">
        <w:r>
          <w:rPr>
            <w:rStyle w:val="Hyperlink"/>
          </w:rPr>
          <w:t>CBD/CP/MOP/11/9</w:t>
        </w:r>
      </w:hyperlink>
      <w:r>
        <w:t>.</w:t>
      </w:r>
    </w:p>
  </w:footnote>
  <w:footnote w:id="10">
    <w:p w14:paraId="3140CD1E" w14:textId="6BA54C39" w:rsidR="00EB55FB" w:rsidRDefault="00EB55FB" w:rsidP="00EB55FB">
      <w:pPr>
        <w:pStyle w:val="FootnoteText"/>
      </w:pPr>
      <w:r>
        <w:rPr>
          <w:rStyle w:val="FootnoteReference"/>
        </w:rPr>
        <w:footnoteRef/>
      </w:r>
      <w:r>
        <w:t xml:space="preserve"> Decisión </w:t>
      </w:r>
      <w:hyperlink r:id="rId6" w:history="1">
        <w:r>
          <w:rPr>
            <w:rStyle w:val="Hyperlink"/>
          </w:rPr>
          <w:t>VIII/10</w:t>
        </w:r>
      </w:hyperlink>
      <w:r>
        <w:t>, anexo III.</w:t>
      </w:r>
    </w:p>
  </w:footnote>
  <w:footnote w:id="11">
    <w:p w14:paraId="1E09C42E" w14:textId="77777777" w:rsidR="00EB55FB" w:rsidRDefault="00EB55FB" w:rsidP="00EB55FB">
      <w:pPr>
        <w:pStyle w:val="FootnoteText"/>
      </w:pPr>
      <w:r>
        <w:rPr>
          <w:rStyle w:val="FootnoteReference"/>
        </w:rPr>
        <w:footnoteRef/>
      </w:r>
      <w:r>
        <w:t xml:space="preserve"> Naciones Unidas, </w:t>
      </w:r>
      <w:r>
        <w:rPr>
          <w:i/>
        </w:rPr>
        <w:t>Treaty Series</w:t>
      </w:r>
      <w:r>
        <w:t>, vol. 2226, núm. 30619.</w:t>
      </w:r>
    </w:p>
  </w:footnote>
  <w:footnote w:id="12">
    <w:p w14:paraId="77B7C8BD" w14:textId="3F6A0830" w:rsidR="00EB55FB" w:rsidRDefault="00EB55FB" w:rsidP="00EB55FB">
      <w:pPr>
        <w:pStyle w:val="FootnoteText"/>
      </w:pPr>
      <w:r>
        <w:rPr>
          <w:rStyle w:val="FootnoteReference"/>
        </w:rPr>
        <w:footnoteRef/>
      </w:r>
      <w:r>
        <w:t xml:space="preserve"> Véase </w:t>
      </w:r>
      <w:hyperlink r:id="rId7" w:history="1">
        <w:r>
          <w:rPr>
            <w:rStyle w:val="Hyperlink"/>
          </w:rPr>
          <w:t>CBD/CP/MOP/11/9</w:t>
        </w:r>
      </w:hyperlink>
      <w:r>
        <w:t>.</w:t>
      </w:r>
    </w:p>
  </w:footnote>
  <w:footnote w:id="13">
    <w:p w14:paraId="609CE50F" w14:textId="76CC75E7" w:rsidR="00EB55FB" w:rsidRDefault="00EB55FB" w:rsidP="00EB55FB">
      <w:pPr>
        <w:pStyle w:val="FootnoteText"/>
      </w:pPr>
      <w:r>
        <w:rPr>
          <w:rStyle w:val="FootnoteReference"/>
        </w:rPr>
        <w:footnoteRef/>
      </w:r>
      <w:r>
        <w:t xml:space="preserve"> Una nota técnica podría ser un documento conciso que brinda información práctica sobre </w:t>
      </w:r>
      <w:r w:rsidR="0090651F">
        <w:t>una cuestión o tema específico</w:t>
      </w:r>
      <w:r>
        <w:t xml:space="preserve">. Complementa los materiales de orientación existentes y podría incluir </w:t>
      </w:r>
      <w:r w:rsidR="004D58D3">
        <w:t xml:space="preserve">puntos o </w:t>
      </w:r>
      <w:r>
        <w:t xml:space="preserve">elementos de procedimiento </w:t>
      </w:r>
      <w:r w:rsidR="004D58D3">
        <w:t>que h</w:t>
      </w:r>
      <w:r>
        <w:t>a</w:t>
      </w:r>
      <w:r w:rsidR="004D58D3">
        <w:t>n de</w:t>
      </w:r>
      <w:r>
        <w:t xml:space="preserve"> tener</w:t>
      </w:r>
      <w:r w:rsidR="004D58D3">
        <w:t>se</w:t>
      </w:r>
      <w:r>
        <w:t xml:space="preserve"> en cuenta al abordar un tema o contexto específico.</w:t>
      </w:r>
    </w:p>
  </w:footnote>
  <w:footnote w:id="14">
    <w:p w14:paraId="7E0C4796" w14:textId="5F8ED501" w:rsidR="00EB55FB" w:rsidRDefault="00EB55FB" w:rsidP="00EB55FB">
      <w:pPr>
        <w:pStyle w:val="FootnoteText"/>
      </w:pPr>
      <w:r>
        <w:rPr>
          <w:rStyle w:val="FootnoteReference"/>
        </w:rPr>
        <w:footnoteRef/>
      </w:r>
      <w:r>
        <w:t xml:space="preserve"> La nota técnica sobre el uso de organismos vivos modificados en centros de origen y en sistemas agrícolas tradicionales debería guardar conformidad con las Directrices voluntarias Akwé: Kon para la realización de evaluaciones sobre el impacto cultural, ambiental y social de proyectos de desarrollo que hayan de realizarse en sitios sagrados o en tierras o aguas ocupadas o utilizadas tradicionalmente por comunidades indígenas y locales, o que puedan afectar esos lugares.</w:t>
      </w:r>
    </w:p>
  </w:footnote>
  <w:footnote w:id="15">
    <w:p w14:paraId="38234F36" w14:textId="61C8FF6A" w:rsidR="00EB55FB" w:rsidRDefault="00EB55FB" w:rsidP="00EB55FB">
      <w:pPr>
        <w:pStyle w:val="FootnoteText"/>
      </w:pPr>
      <w:r>
        <w:rPr>
          <w:rStyle w:val="FootnoteReference"/>
        </w:rPr>
        <w:footnoteRef/>
      </w:r>
      <w:r>
        <w:t xml:space="preserve"> </w:t>
      </w:r>
      <w:hyperlink r:id="rId8" w:history="1">
        <w:r>
          <w:rPr>
            <w:rStyle w:val="Hyperlink"/>
          </w:rPr>
          <w:t>CBD/CP/RA/AHTEG/2025/1/INF/1</w:t>
        </w:r>
      </w:hyperlink>
      <w:r>
        <w:t>.</w:t>
      </w:r>
    </w:p>
  </w:footnote>
  <w:footnote w:id="16">
    <w:p w14:paraId="3DA29F10" w14:textId="76FB6783" w:rsidR="00EB55FB" w:rsidRDefault="00EB55FB" w:rsidP="00EB55FB">
      <w:pPr>
        <w:pStyle w:val="FootnoteText"/>
      </w:pPr>
      <w:r>
        <w:rPr>
          <w:rStyle w:val="FootnoteReference"/>
        </w:rPr>
        <w:footnoteRef/>
      </w:r>
      <w:r>
        <w:t xml:space="preserve"> </w:t>
      </w:r>
      <w:hyperlink r:id="rId9" w:history="1">
        <w:r>
          <w:rPr>
            <w:rStyle w:val="Hyperlink"/>
          </w:rPr>
          <w:t>CBD/CP/RA/AHTEG/2025/1/INF/2</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C677D" w14:textId="44187873" w:rsidR="00D4364D" w:rsidRPr="00B1090B" w:rsidRDefault="00D4364D" w:rsidP="00776D82">
    <w:pPr>
      <w:pStyle w:val="Header"/>
      <w:spacing w:after="240"/>
    </w:pPr>
    <w:r>
      <w:t>CBD/</w:t>
    </w:r>
    <w:r w:rsidR="00E70E49" w:rsidRPr="00B1090B">
      <w:t>SBSTTA</w:t>
    </w:r>
    <w:r w:rsidR="00E70E49" w:rsidRPr="00D16F38">
      <w:t>/</w:t>
    </w:r>
    <w:r w:rsidR="00E70E49">
      <w:t>REC/</w:t>
    </w:r>
    <w:r w:rsidR="00E70E49" w:rsidRPr="00612CDF">
      <w:t>27/</w:t>
    </w:r>
    <w:r w:rsidR="00E70E49">
      <w:t>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D83F4" w14:textId="0319F6B6" w:rsidR="00D4364D" w:rsidRPr="00B1090B" w:rsidRDefault="00BD1DFA" w:rsidP="00776D82">
    <w:pPr>
      <w:pStyle w:val="Header"/>
      <w:spacing w:after="240"/>
      <w:jc w:val="right"/>
    </w:pPr>
    <w:r>
      <w:t>CBD/</w:t>
    </w:r>
    <w:r w:rsidR="00E70E49" w:rsidRPr="00B1090B">
      <w:t>SBSTTA</w:t>
    </w:r>
    <w:r w:rsidR="00E70E49" w:rsidRPr="00D16F38">
      <w:t>/</w:t>
    </w:r>
    <w:r w:rsidR="00E70E49">
      <w:t>REC/</w:t>
    </w:r>
    <w:r w:rsidR="00E70E49" w:rsidRPr="00612CDF">
      <w:t>27/</w:t>
    </w:r>
    <w:r w:rsidR="00E70E49">
      <w:t>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9EC92B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4EC5F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929B3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40AAE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8628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34C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342F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206D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C63D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0F2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627F2C"/>
    <w:multiLevelType w:val="hybridMultilevel"/>
    <w:tmpl w:val="44061504"/>
    <w:lvl w:ilvl="0" w:tplc="9D4C0668">
      <w:start w:val="1"/>
      <w:numFmt w:val="lowerLetter"/>
      <w:lvlText w:val="%1)"/>
      <w:lvlJc w:val="left"/>
      <w:pPr>
        <w:ind w:left="1020" w:hanging="360"/>
      </w:pPr>
    </w:lvl>
    <w:lvl w:ilvl="1" w:tplc="0AC2154E">
      <w:start w:val="1"/>
      <w:numFmt w:val="lowerLetter"/>
      <w:lvlText w:val="%2)"/>
      <w:lvlJc w:val="left"/>
      <w:pPr>
        <w:ind w:left="1020" w:hanging="360"/>
      </w:pPr>
    </w:lvl>
    <w:lvl w:ilvl="2" w:tplc="CAB2A274">
      <w:start w:val="1"/>
      <w:numFmt w:val="lowerLetter"/>
      <w:lvlText w:val="%3)"/>
      <w:lvlJc w:val="left"/>
      <w:pPr>
        <w:ind w:left="1020" w:hanging="360"/>
      </w:pPr>
    </w:lvl>
    <w:lvl w:ilvl="3" w:tplc="AFC811FC">
      <w:start w:val="1"/>
      <w:numFmt w:val="lowerLetter"/>
      <w:lvlText w:val="%4)"/>
      <w:lvlJc w:val="left"/>
      <w:pPr>
        <w:ind w:left="1020" w:hanging="360"/>
      </w:pPr>
    </w:lvl>
    <w:lvl w:ilvl="4" w:tplc="61904424">
      <w:start w:val="1"/>
      <w:numFmt w:val="lowerLetter"/>
      <w:lvlText w:val="%5)"/>
      <w:lvlJc w:val="left"/>
      <w:pPr>
        <w:ind w:left="1020" w:hanging="360"/>
      </w:pPr>
    </w:lvl>
    <w:lvl w:ilvl="5" w:tplc="93886AF4">
      <w:start w:val="1"/>
      <w:numFmt w:val="lowerLetter"/>
      <w:lvlText w:val="%6)"/>
      <w:lvlJc w:val="left"/>
      <w:pPr>
        <w:ind w:left="1020" w:hanging="360"/>
      </w:pPr>
    </w:lvl>
    <w:lvl w:ilvl="6" w:tplc="741AA6D6">
      <w:start w:val="1"/>
      <w:numFmt w:val="lowerLetter"/>
      <w:lvlText w:val="%7)"/>
      <w:lvlJc w:val="left"/>
      <w:pPr>
        <w:ind w:left="1020" w:hanging="360"/>
      </w:pPr>
    </w:lvl>
    <w:lvl w:ilvl="7" w:tplc="DA22024C">
      <w:start w:val="1"/>
      <w:numFmt w:val="lowerLetter"/>
      <w:lvlText w:val="%8)"/>
      <w:lvlJc w:val="left"/>
      <w:pPr>
        <w:ind w:left="1020" w:hanging="360"/>
      </w:pPr>
    </w:lvl>
    <w:lvl w:ilvl="8" w:tplc="71C6207C">
      <w:start w:val="1"/>
      <w:numFmt w:val="lowerLetter"/>
      <w:lvlText w:val="%9)"/>
      <w:lvlJc w:val="left"/>
      <w:pPr>
        <w:ind w:left="1020" w:hanging="360"/>
      </w:pPr>
    </w:lvl>
  </w:abstractNum>
  <w:abstractNum w:abstractNumId="11" w15:restartNumberingAfterBreak="0">
    <w:nsid w:val="19E646BE"/>
    <w:multiLevelType w:val="hybridMultilevel"/>
    <w:tmpl w:val="5C4A16AE"/>
    <w:lvl w:ilvl="0" w:tplc="9042D268">
      <w:start w:val="1"/>
      <w:numFmt w:val="lowerLetter"/>
      <w:lvlText w:val="%1)"/>
      <w:lvlJc w:val="left"/>
      <w:pPr>
        <w:ind w:left="1020" w:hanging="360"/>
      </w:pPr>
    </w:lvl>
    <w:lvl w:ilvl="1" w:tplc="8AB0081E">
      <w:start w:val="1"/>
      <w:numFmt w:val="lowerLetter"/>
      <w:lvlText w:val="%2)"/>
      <w:lvlJc w:val="left"/>
      <w:pPr>
        <w:ind w:left="1020" w:hanging="360"/>
      </w:pPr>
    </w:lvl>
    <w:lvl w:ilvl="2" w:tplc="A32C404E">
      <w:start w:val="1"/>
      <w:numFmt w:val="lowerLetter"/>
      <w:lvlText w:val="%3)"/>
      <w:lvlJc w:val="left"/>
      <w:pPr>
        <w:ind w:left="1020" w:hanging="360"/>
      </w:pPr>
    </w:lvl>
    <w:lvl w:ilvl="3" w:tplc="7C4E49A4">
      <w:start w:val="1"/>
      <w:numFmt w:val="lowerLetter"/>
      <w:lvlText w:val="%4)"/>
      <w:lvlJc w:val="left"/>
      <w:pPr>
        <w:ind w:left="1020" w:hanging="360"/>
      </w:pPr>
    </w:lvl>
    <w:lvl w:ilvl="4" w:tplc="6A6C1B6E">
      <w:start w:val="1"/>
      <w:numFmt w:val="lowerLetter"/>
      <w:lvlText w:val="%5)"/>
      <w:lvlJc w:val="left"/>
      <w:pPr>
        <w:ind w:left="1020" w:hanging="360"/>
      </w:pPr>
    </w:lvl>
    <w:lvl w:ilvl="5" w:tplc="9894F3DC">
      <w:start w:val="1"/>
      <w:numFmt w:val="lowerLetter"/>
      <w:lvlText w:val="%6)"/>
      <w:lvlJc w:val="left"/>
      <w:pPr>
        <w:ind w:left="1020" w:hanging="360"/>
      </w:pPr>
    </w:lvl>
    <w:lvl w:ilvl="6" w:tplc="C2B094CA">
      <w:start w:val="1"/>
      <w:numFmt w:val="lowerLetter"/>
      <w:lvlText w:val="%7)"/>
      <w:lvlJc w:val="left"/>
      <w:pPr>
        <w:ind w:left="1020" w:hanging="360"/>
      </w:pPr>
    </w:lvl>
    <w:lvl w:ilvl="7" w:tplc="8326F04E">
      <w:start w:val="1"/>
      <w:numFmt w:val="lowerLetter"/>
      <w:lvlText w:val="%8)"/>
      <w:lvlJc w:val="left"/>
      <w:pPr>
        <w:ind w:left="1020" w:hanging="360"/>
      </w:pPr>
    </w:lvl>
    <w:lvl w:ilvl="8" w:tplc="7D5806C2">
      <w:start w:val="1"/>
      <w:numFmt w:val="lowerLetter"/>
      <w:lvlText w:val="%9)"/>
      <w:lvlJc w:val="left"/>
      <w:pPr>
        <w:ind w:left="1020" w:hanging="360"/>
      </w:pPr>
    </w:lvl>
  </w:abstractNum>
  <w:abstractNum w:abstractNumId="12" w15:restartNumberingAfterBreak="0">
    <w:nsid w:val="1B375478"/>
    <w:multiLevelType w:val="hybridMultilevel"/>
    <w:tmpl w:val="95463B96"/>
    <w:lvl w:ilvl="0" w:tplc="64E65416">
      <w:start w:val="1"/>
      <w:numFmt w:val="lowerLetter"/>
      <w:lvlText w:val="%1)"/>
      <w:lvlJc w:val="left"/>
      <w:pPr>
        <w:ind w:left="1020" w:hanging="360"/>
      </w:pPr>
    </w:lvl>
    <w:lvl w:ilvl="1" w:tplc="6276C692">
      <w:start w:val="1"/>
      <w:numFmt w:val="lowerLetter"/>
      <w:lvlText w:val="%2)"/>
      <w:lvlJc w:val="left"/>
      <w:pPr>
        <w:ind w:left="1020" w:hanging="360"/>
      </w:pPr>
    </w:lvl>
    <w:lvl w:ilvl="2" w:tplc="566AAFC8">
      <w:start w:val="1"/>
      <w:numFmt w:val="lowerLetter"/>
      <w:lvlText w:val="%3)"/>
      <w:lvlJc w:val="left"/>
      <w:pPr>
        <w:ind w:left="1020" w:hanging="360"/>
      </w:pPr>
    </w:lvl>
    <w:lvl w:ilvl="3" w:tplc="279AA9B0">
      <w:start w:val="1"/>
      <w:numFmt w:val="lowerLetter"/>
      <w:lvlText w:val="%4)"/>
      <w:lvlJc w:val="left"/>
      <w:pPr>
        <w:ind w:left="1020" w:hanging="360"/>
      </w:pPr>
    </w:lvl>
    <w:lvl w:ilvl="4" w:tplc="62E20612">
      <w:start w:val="1"/>
      <w:numFmt w:val="lowerLetter"/>
      <w:lvlText w:val="%5)"/>
      <w:lvlJc w:val="left"/>
      <w:pPr>
        <w:ind w:left="1020" w:hanging="360"/>
      </w:pPr>
    </w:lvl>
    <w:lvl w:ilvl="5" w:tplc="39A85F8A">
      <w:start w:val="1"/>
      <w:numFmt w:val="lowerLetter"/>
      <w:lvlText w:val="%6)"/>
      <w:lvlJc w:val="left"/>
      <w:pPr>
        <w:ind w:left="1020" w:hanging="360"/>
      </w:pPr>
    </w:lvl>
    <w:lvl w:ilvl="6" w:tplc="94EA6764">
      <w:start w:val="1"/>
      <w:numFmt w:val="lowerLetter"/>
      <w:lvlText w:val="%7)"/>
      <w:lvlJc w:val="left"/>
      <w:pPr>
        <w:ind w:left="1020" w:hanging="360"/>
      </w:pPr>
    </w:lvl>
    <w:lvl w:ilvl="7" w:tplc="C51C5A34">
      <w:start w:val="1"/>
      <w:numFmt w:val="lowerLetter"/>
      <w:lvlText w:val="%8)"/>
      <w:lvlJc w:val="left"/>
      <w:pPr>
        <w:ind w:left="1020" w:hanging="360"/>
      </w:pPr>
    </w:lvl>
    <w:lvl w:ilvl="8" w:tplc="EAC41884">
      <w:start w:val="1"/>
      <w:numFmt w:val="lowerLetter"/>
      <w:lvlText w:val="%9)"/>
      <w:lvlJc w:val="left"/>
      <w:pPr>
        <w:ind w:left="1020" w:hanging="360"/>
      </w:pPr>
    </w:lvl>
  </w:abstractNum>
  <w:abstractNum w:abstractNumId="13" w15:restartNumberingAfterBreak="0">
    <w:nsid w:val="1F913E6C"/>
    <w:multiLevelType w:val="hybridMultilevel"/>
    <w:tmpl w:val="0A1E7B06"/>
    <w:lvl w:ilvl="0" w:tplc="1B4EBEE4">
      <w:start w:val="1"/>
      <w:numFmt w:val="lowerLetter"/>
      <w:lvlText w:val="%1)"/>
      <w:lvlJc w:val="left"/>
      <w:pPr>
        <w:ind w:left="1020" w:hanging="360"/>
      </w:pPr>
    </w:lvl>
    <w:lvl w:ilvl="1" w:tplc="B5F4D4E6">
      <w:start w:val="1"/>
      <w:numFmt w:val="lowerLetter"/>
      <w:lvlText w:val="%2)"/>
      <w:lvlJc w:val="left"/>
      <w:pPr>
        <w:ind w:left="1020" w:hanging="360"/>
      </w:pPr>
    </w:lvl>
    <w:lvl w:ilvl="2" w:tplc="0C86F490">
      <w:start w:val="1"/>
      <w:numFmt w:val="lowerLetter"/>
      <w:lvlText w:val="%3)"/>
      <w:lvlJc w:val="left"/>
      <w:pPr>
        <w:ind w:left="1020" w:hanging="360"/>
      </w:pPr>
    </w:lvl>
    <w:lvl w:ilvl="3" w:tplc="D30633AE">
      <w:start w:val="1"/>
      <w:numFmt w:val="lowerLetter"/>
      <w:lvlText w:val="%4)"/>
      <w:lvlJc w:val="left"/>
      <w:pPr>
        <w:ind w:left="1020" w:hanging="360"/>
      </w:pPr>
    </w:lvl>
    <w:lvl w:ilvl="4" w:tplc="1A7EC734">
      <w:start w:val="1"/>
      <w:numFmt w:val="lowerLetter"/>
      <w:lvlText w:val="%5)"/>
      <w:lvlJc w:val="left"/>
      <w:pPr>
        <w:ind w:left="1020" w:hanging="360"/>
      </w:pPr>
    </w:lvl>
    <w:lvl w:ilvl="5" w:tplc="AE64A890">
      <w:start w:val="1"/>
      <w:numFmt w:val="lowerLetter"/>
      <w:lvlText w:val="%6)"/>
      <w:lvlJc w:val="left"/>
      <w:pPr>
        <w:ind w:left="1020" w:hanging="360"/>
      </w:pPr>
    </w:lvl>
    <w:lvl w:ilvl="6" w:tplc="3C980510">
      <w:start w:val="1"/>
      <w:numFmt w:val="lowerLetter"/>
      <w:lvlText w:val="%7)"/>
      <w:lvlJc w:val="left"/>
      <w:pPr>
        <w:ind w:left="1020" w:hanging="360"/>
      </w:pPr>
    </w:lvl>
    <w:lvl w:ilvl="7" w:tplc="77C65160">
      <w:start w:val="1"/>
      <w:numFmt w:val="lowerLetter"/>
      <w:lvlText w:val="%8)"/>
      <w:lvlJc w:val="left"/>
      <w:pPr>
        <w:ind w:left="1020" w:hanging="360"/>
      </w:pPr>
    </w:lvl>
    <w:lvl w:ilvl="8" w:tplc="4D1462E2">
      <w:start w:val="1"/>
      <w:numFmt w:val="lowerLetter"/>
      <w:lvlText w:val="%9)"/>
      <w:lvlJc w:val="left"/>
      <w:pPr>
        <w:ind w:left="1020" w:hanging="360"/>
      </w:pPr>
    </w:lvl>
  </w:abstractNum>
  <w:abstractNum w:abstractNumId="14" w15:restartNumberingAfterBreak="0">
    <w:nsid w:val="22A668E1"/>
    <w:multiLevelType w:val="hybridMultilevel"/>
    <w:tmpl w:val="7BD87418"/>
    <w:lvl w:ilvl="0" w:tplc="4C884B82">
      <w:start w:val="1"/>
      <w:numFmt w:val="lowerLetter"/>
      <w:lvlText w:val="%1)"/>
      <w:lvlJc w:val="left"/>
      <w:pPr>
        <w:ind w:left="1020" w:hanging="360"/>
      </w:pPr>
    </w:lvl>
    <w:lvl w:ilvl="1" w:tplc="144A9E1E">
      <w:start w:val="1"/>
      <w:numFmt w:val="lowerLetter"/>
      <w:lvlText w:val="%2)"/>
      <w:lvlJc w:val="left"/>
      <w:pPr>
        <w:ind w:left="1020" w:hanging="360"/>
      </w:pPr>
    </w:lvl>
    <w:lvl w:ilvl="2" w:tplc="7F905340">
      <w:start w:val="1"/>
      <w:numFmt w:val="lowerLetter"/>
      <w:lvlText w:val="%3)"/>
      <w:lvlJc w:val="left"/>
      <w:pPr>
        <w:ind w:left="1020" w:hanging="360"/>
      </w:pPr>
    </w:lvl>
    <w:lvl w:ilvl="3" w:tplc="32822752">
      <w:start w:val="1"/>
      <w:numFmt w:val="lowerLetter"/>
      <w:lvlText w:val="%4)"/>
      <w:lvlJc w:val="left"/>
      <w:pPr>
        <w:ind w:left="1020" w:hanging="360"/>
      </w:pPr>
    </w:lvl>
    <w:lvl w:ilvl="4" w:tplc="01EE78E4">
      <w:start w:val="1"/>
      <w:numFmt w:val="lowerLetter"/>
      <w:lvlText w:val="%5)"/>
      <w:lvlJc w:val="left"/>
      <w:pPr>
        <w:ind w:left="1020" w:hanging="360"/>
      </w:pPr>
    </w:lvl>
    <w:lvl w:ilvl="5" w:tplc="42EA5D1E">
      <w:start w:val="1"/>
      <w:numFmt w:val="lowerLetter"/>
      <w:lvlText w:val="%6)"/>
      <w:lvlJc w:val="left"/>
      <w:pPr>
        <w:ind w:left="1020" w:hanging="360"/>
      </w:pPr>
    </w:lvl>
    <w:lvl w:ilvl="6" w:tplc="AC2CA0D8">
      <w:start w:val="1"/>
      <w:numFmt w:val="lowerLetter"/>
      <w:lvlText w:val="%7)"/>
      <w:lvlJc w:val="left"/>
      <w:pPr>
        <w:ind w:left="1020" w:hanging="360"/>
      </w:pPr>
    </w:lvl>
    <w:lvl w:ilvl="7" w:tplc="F9E6B282">
      <w:start w:val="1"/>
      <w:numFmt w:val="lowerLetter"/>
      <w:lvlText w:val="%8)"/>
      <w:lvlJc w:val="left"/>
      <w:pPr>
        <w:ind w:left="1020" w:hanging="360"/>
      </w:pPr>
    </w:lvl>
    <w:lvl w:ilvl="8" w:tplc="CFE2931A">
      <w:start w:val="1"/>
      <w:numFmt w:val="lowerLetter"/>
      <w:lvlText w:val="%9)"/>
      <w:lvlJc w:val="left"/>
      <w:pPr>
        <w:ind w:left="1020" w:hanging="360"/>
      </w:pPr>
    </w:lvl>
  </w:abstractNum>
  <w:abstractNum w:abstractNumId="15" w15:restartNumberingAfterBreak="0">
    <w:nsid w:val="260015C2"/>
    <w:multiLevelType w:val="hybridMultilevel"/>
    <w:tmpl w:val="B8E25D00"/>
    <w:lvl w:ilvl="0" w:tplc="5B8C8226">
      <w:start w:val="1"/>
      <w:numFmt w:val="lowerLetter"/>
      <w:lvlText w:val="%1)"/>
      <w:lvlJc w:val="left"/>
      <w:pPr>
        <w:ind w:left="1020" w:hanging="360"/>
      </w:pPr>
    </w:lvl>
    <w:lvl w:ilvl="1" w:tplc="855A3CD4">
      <w:start w:val="1"/>
      <w:numFmt w:val="lowerLetter"/>
      <w:lvlText w:val="%2)"/>
      <w:lvlJc w:val="left"/>
      <w:pPr>
        <w:ind w:left="1020" w:hanging="360"/>
      </w:pPr>
    </w:lvl>
    <w:lvl w:ilvl="2" w:tplc="017657CC">
      <w:start w:val="1"/>
      <w:numFmt w:val="lowerLetter"/>
      <w:lvlText w:val="%3)"/>
      <w:lvlJc w:val="left"/>
      <w:pPr>
        <w:ind w:left="1020" w:hanging="360"/>
      </w:pPr>
    </w:lvl>
    <w:lvl w:ilvl="3" w:tplc="9DCC39D8">
      <w:start w:val="1"/>
      <w:numFmt w:val="lowerLetter"/>
      <w:lvlText w:val="%4)"/>
      <w:lvlJc w:val="left"/>
      <w:pPr>
        <w:ind w:left="1020" w:hanging="360"/>
      </w:pPr>
    </w:lvl>
    <w:lvl w:ilvl="4" w:tplc="A4DE5138">
      <w:start w:val="1"/>
      <w:numFmt w:val="lowerLetter"/>
      <w:lvlText w:val="%5)"/>
      <w:lvlJc w:val="left"/>
      <w:pPr>
        <w:ind w:left="1020" w:hanging="360"/>
      </w:pPr>
    </w:lvl>
    <w:lvl w:ilvl="5" w:tplc="2EACD60A">
      <w:start w:val="1"/>
      <w:numFmt w:val="lowerLetter"/>
      <w:lvlText w:val="%6)"/>
      <w:lvlJc w:val="left"/>
      <w:pPr>
        <w:ind w:left="1020" w:hanging="360"/>
      </w:pPr>
    </w:lvl>
    <w:lvl w:ilvl="6" w:tplc="F782D27E">
      <w:start w:val="1"/>
      <w:numFmt w:val="lowerLetter"/>
      <w:lvlText w:val="%7)"/>
      <w:lvlJc w:val="left"/>
      <w:pPr>
        <w:ind w:left="1020" w:hanging="360"/>
      </w:pPr>
    </w:lvl>
    <w:lvl w:ilvl="7" w:tplc="A148E482">
      <w:start w:val="1"/>
      <w:numFmt w:val="lowerLetter"/>
      <w:lvlText w:val="%8)"/>
      <w:lvlJc w:val="left"/>
      <w:pPr>
        <w:ind w:left="1020" w:hanging="360"/>
      </w:pPr>
    </w:lvl>
    <w:lvl w:ilvl="8" w:tplc="0102EF48">
      <w:start w:val="1"/>
      <w:numFmt w:val="lowerLetter"/>
      <w:lvlText w:val="%9)"/>
      <w:lvlJc w:val="left"/>
      <w:pPr>
        <w:ind w:left="1020" w:hanging="360"/>
      </w:pPr>
    </w:lvl>
  </w:abstractNum>
  <w:abstractNum w:abstractNumId="16" w15:restartNumberingAfterBreak="0">
    <w:nsid w:val="2C9C0942"/>
    <w:multiLevelType w:val="multilevel"/>
    <w:tmpl w:val="96583E16"/>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7"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8" w15:restartNumberingAfterBreak="0">
    <w:nsid w:val="512D76FF"/>
    <w:multiLevelType w:val="hybridMultilevel"/>
    <w:tmpl w:val="E276765A"/>
    <w:lvl w:ilvl="0" w:tplc="E37227BC">
      <w:start w:val="1"/>
      <w:numFmt w:val="lowerLetter"/>
      <w:lvlText w:val="%1)"/>
      <w:lvlJc w:val="left"/>
      <w:pPr>
        <w:ind w:left="720" w:hanging="360"/>
      </w:pPr>
    </w:lvl>
    <w:lvl w:ilvl="1" w:tplc="DC845A50">
      <w:start w:val="1"/>
      <w:numFmt w:val="lowerLetter"/>
      <w:lvlText w:val="%2)"/>
      <w:lvlJc w:val="left"/>
      <w:pPr>
        <w:ind w:left="720" w:hanging="360"/>
      </w:pPr>
    </w:lvl>
    <w:lvl w:ilvl="2" w:tplc="06622052">
      <w:start w:val="1"/>
      <w:numFmt w:val="lowerLetter"/>
      <w:lvlText w:val="%3)"/>
      <w:lvlJc w:val="left"/>
      <w:pPr>
        <w:ind w:left="720" w:hanging="360"/>
      </w:pPr>
    </w:lvl>
    <w:lvl w:ilvl="3" w:tplc="3E56F176">
      <w:start w:val="1"/>
      <w:numFmt w:val="lowerLetter"/>
      <w:lvlText w:val="%4)"/>
      <w:lvlJc w:val="left"/>
      <w:pPr>
        <w:ind w:left="720" w:hanging="360"/>
      </w:pPr>
    </w:lvl>
    <w:lvl w:ilvl="4" w:tplc="DD7EC152">
      <w:start w:val="1"/>
      <w:numFmt w:val="lowerLetter"/>
      <w:lvlText w:val="%5)"/>
      <w:lvlJc w:val="left"/>
      <w:pPr>
        <w:ind w:left="720" w:hanging="360"/>
      </w:pPr>
    </w:lvl>
    <w:lvl w:ilvl="5" w:tplc="F894F98C">
      <w:start w:val="1"/>
      <w:numFmt w:val="lowerLetter"/>
      <w:lvlText w:val="%6)"/>
      <w:lvlJc w:val="left"/>
      <w:pPr>
        <w:ind w:left="720" w:hanging="360"/>
      </w:pPr>
    </w:lvl>
    <w:lvl w:ilvl="6" w:tplc="1962254E">
      <w:start w:val="1"/>
      <w:numFmt w:val="lowerLetter"/>
      <w:lvlText w:val="%7)"/>
      <w:lvlJc w:val="left"/>
      <w:pPr>
        <w:ind w:left="720" w:hanging="360"/>
      </w:pPr>
    </w:lvl>
    <w:lvl w:ilvl="7" w:tplc="6E72A0DA">
      <w:start w:val="1"/>
      <w:numFmt w:val="lowerLetter"/>
      <w:lvlText w:val="%8)"/>
      <w:lvlJc w:val="left"/>
      <w:pPr>
        <w:ind w:left="720" w:hanging="360"/>
      </w:pPr>
    </w:lvl>
    <w:lvl w:ilvl="8" w:tplc="50D804A8">
      <w:start w:val="1"/>
      <w:numFmt w:val="lowerLetter"/>
      <w:lvlText w:val="%9)"/>
      <w:lvlJc w:val="left"/>
      <w:pPr>
        <w:ind w:left="720" w:hanging="360"/>
      </w:pPr>
    </w:lvl>
  </w:abstractNum>
  <w:abstractNum w:abstractNumId="19" w15:restartNumberingAfterBreak="0">
    <w:nsid w:val="59A43683"/>
    <w:multiLevelType w:val="hybridMultilevel"/>
    <w:tmpl w:val="FF5E62CC"/>
    <w:lvl w:ilvl="0" w:tplc="A740AF2C">
      <w:start w:val="1"/>
      <w:numFmt w:val="lowerLetter"/>
      <w:lvlText w:val="%1)"/>
      <w:lvlJc w:val="left"/>
      <w:pPr>
        <w:ind w:left="1020" w:hanging="360"/>
      </w:pPr>
    </w:lvl>
    <w:lvl w:ilvl="1" w:tplc="9B50B1A2">
      <w:start w:val="1"/>
      <w:numFmt w:val="lowerLetter"/>
      <w:lvlText w:val="%2)"/>
      <w:lvlJc w:val="left"/>
      <w:pPr>
        <w:ind w:left="1020" w:hanging="360"/>
      </w:pPr>
    </w:lvl>
    <w:lvl w:ilvl="2" w:tplc="3956E804">
      <w:start w:val="1"/>
      <w:numFmt w:val="lowerLetter"/>
      <w:lvlText w:val="%3)"/>
      <w:lvlJc w:val="left"/>
      <w:pPr>
        <w:ind w:left="1020" w:hanging="360"/>
      </w:pPr>
    </w:lvl>
    <w:lvl w:ilvl="3" w:tplc="65CE2E08">
      <w:start w:val="1"/>
      <w:numFmt w:val="lowerLetter"/>
      <w:lvlText w:val="%4)"/>
      <w:lvlJc w:val="left"/>
      <w:pPr>
        <w:ind w:left="1020" w:hanging="360"/>
      </w:pPr>
    </w:lvl>
    <w:lvl w:ilvl="4" w:tplc="6812DB6A">
      <w:start w:val="1"/>
      <w:numFmt w:val="lowerLetter"/>
      <w:lvlText w:val="%5)"/>
      <w:lvlJc w:val="left"/>
      <w:pPr>
        <w:ind w:left="1020" w:hanging="360"/>
      </w:pPr>
    </w:lvl>
    <w:lvl w:ilvl="5" w:tplc="1C042EF2">
      <w:start w:val="1"/>
      <w:numFmt w:val="lowerLetter"/>
      <w:lvlText w:val="%6)"/>
      <w:lvlJc w:val="left"/>
      <w:pPr>
        <w:ind w:left="1020" w:hanging="360"/>
      </w:pPr>
    </w:lvl>
    <w:lvl w:ilvl="6" w:tplc="435C830E">
      <w:start w:val="1"/>
      <w:numFmt w:val="lowerLetter"/>
      <w:lvlText w:val="%7)"/>
      <w:lvlJc w:val="left"/>
      <w:pPr>
        <w:ind w:left="1020" w:hanging="360"/>
      </w:pPr>
    </w:lvl>
    <w:lvl w:ilvl="7" w:tplc="19B6E044">
      <w:start w:val="1"/>
      <w:numFmt w:val="lowerLetter"/>
      <w:lvlText w:val="%8)"/>
      <w:lvlJc w:val="left"/>
      <w:pPr>
        <w:ind w:left="1020" w:hanging="360"/>
      </w:pPr>
    </w:lvl>
    <w:lvl w:ilvl="8" w:tplc="28465284">
      <w:start w:val="1"/>
      <w:numFmt w:val="lowerLetter"/>
      <w:lvlText w:val="%9)"/>
      <w:lvlJc w:val="left"/>
      <w:pPr>
        <w:ind w:left="1020" w:hanging="360"/>
      </w:pPr>
    </w:lvl>
  </w:abstractNum>
  <w:abstractNum w:abstractNumId="20" w15:restartNumberingAfterBreak="0">
    <w:nsid w:val="59D6337E"/>
    <w:multiLevelType w:val="hybridMultilevel"/>
    <w:tmpl w:val="6900B7E0"/>
    <w:lvl w:ilvl="0" w:tplc="C0EA4FEC">
      <w:start w:val="1"/>
      <w:numFmt w:val="lowerLetter"/>
      <w:lvlText w:val="%1)"/>
      <w:lvlJc w:val="left"/>
      <w:pPr>
        <w:ind w:left="1020" w:hanging="360"/>
      </w:pPr>
    </w:lvl>
    <w:lvl w:ilvl="1" w:tplc="90FED33A">
      <w:start w:val="1"/>
      <w:numFmt w:val="lowerLetter"/>
      <w:lvlText w:val="%2)"/>
      <w:lvlJc w:val="left"/>
      <w:pPr>
        <w:ind w:left="1020" w:hanging="360"/>
      </w:pPr>
    </w:lvl>
    <w:lvl w:ilvl="2" w:tplc="F57403A4">
      <w:start w:val="1"/>
      <w:numFmt w:val="lowerLetter"/>
      <w:lvlText w:val="%3)"/>
      <w:lvlJc w:val="left"/>
      <w:pPr>
        <w:ind w:left="1020" w:hanging="360"/>
      </w:pPr>
    </w:lvl>
    <w:lvl w:ilvl="3" w:tplc="0BBCA97A">
      <w:start w:val="1"/>
      <w:numFmt w:val="lowerLetter"/>
      <w:lvlText w:val="%4)"/>
      <w:lvlJc w:val="left"/>
      <w:pPr>
        <w:ind w:left="1020" w:hanging="360"/>
      </w:pPr>
    </w:lvl>
    <w:lvl w:ilvl="4" w:tplc="58E2649E">
      <w:start w:val="1"/>
      <w:numFmt w:val="lowerLetter"/>
      <w:lvlText w:val="%5)"/>
      <w:lvlJc w:val="left"/>
      <w:pPr>
        <w:ind w:left="1020" w:hanging="360"/>
      </w:pPr>
    </w:lvl>
    <w:lvl w:ilvl="5" w:tplc="74DC8364">
      <w:start w:val="1"/>
      <w:numFmt w:val="lowerLetter"/>
      <w:lvlText w:val="%6)"/>
      <w:lvlJc w:val="left"/>
      <w:pPr>
        <w:ind w:left="1020" w:hanging="360"/>
      </w:pPr>
    </w:lvl>
    <w:lvl w:ilvl="6" w:tplc="FC1080DA">
      <w:start w:val="1"/>
      <w:numFmt w:val="lowerLetter"/>
      <w:lvlText w:val="%7)"/>
      <w:lvlJc w:val="left"/>
      <w:pPr>
        <w:ind w:left="1020" w:hanging="360"/>
      </w:pPr>
    </w:lvl>
    <w:lvl w:ilvl="7" w:tplc="C5E6BAE0">
      <w:start w:val="1"/>
      <w:numFmt w:val="lowerLetter"/>
      <w:lvlText w:val="%8)"/>
      <w:lvlJc w:val="left"/>
      <w:pPr>
        <w:ind w:left="1020" w:hanging="360"/>
      </w:pPr>
    </w:lvl>
    <w:lvl w:ilvl="8" w:tplc="DA1AC20E">
      <w:start w:val="1"/>
      <w:numFmt w:val="lowerLetter"/>
      <w:lvlText w:val="%9)"/>
      <w:lvlJc w:val="left"/>
      <w:pPr>
        <w:ind w:left="1020" w:hanging="360"/>
      </w:pPr>
    </w:lvl>
  </w:abstractNum>
  <w:abstractNum w:abstractNumId="21" w15:restartNumberingAfterBreak="0">
    <w:nsid w:val="5D943BEE"/>
    <w:multiLevelType w:val="multilevel"/>
    <w:tmpl w:val="222A08B4"/>
    <w:numStyleLink w:val="ListCBD"/>
  </w:abstractNum>
  <w:abstractNum w:abstractNumId="22" w15:restartNumberingAfterBreak="0">
    <w:nsid w:val="632E2256"/>
    <w:multiLevelType w:val="hybridMultilevel"/>
    <w:tmpl w:val="E63E7C2C"/>
    <w:lvl w:ilvl="0" w:tplc="315C18BE">
      <w:start w:val="1"/>
      <w:numFmt w:val="lowerLetter"/>
      <w:lvlText w:val="%1)"/>
      <w:lvlJc w:val="left"/>
      <w:pPr>
        <w:ind w:left="1020" w:hanging="360"/>
      </w:pPr>
    </w:lvl>
    <w:lvl w:ilvl="1" w:tplc="91AABA7E">
      <w:start w:val="1"/>
      <w:numFmt w:val="lowerLetter"/>
      <w:lvlText w:val="%2)"/>
      <w:lvlJc w:val="left"/>
      <w:pPr>
        <w:ind w:left="1020" w:hanging="360"/>
      </w:pPr>
    </w:lvl>
    <w:lvl w:ilvl="2" w:tplc="F3AC9220">
      <w:start w:val="1"/>
      <w:numFmt w:val="lowerLetter"/>
      <w:lvlText w:val="%3)"/>
      <w:lvlJc w:val="left"/>
      <w:pPr>
        <w:ind w:left="1020" w:hanging="360"/>
      </w:pPr>
    </w:lvl>
    <w:lvl w:ilvl="3" w:tplc="72DA83D6">
      <w:start w:val="1"/>
      <w:numFmt w:val="lowerLetter"/>
      <w:lvlText w:val="%4)"/>
      <w:lvlJc w:val="left"/>
      <w:pPr>
        <w:ind w:left="1020" w:hanging="360"/>
      </w:pPr>
    </w:lvl>
    <w:lvl w:ilvl="4" w:tplc="3B1C2E48">
      <w:start w:val="1"/>
      <w:numFmt w:val="lowerLetter"/>
      <w:lvlText w:val="%5)"/>
      <w:lvlJc w:val="left"/>
      <w:pPr>
        <w:ind w:left="1020" w:hanging="360"/>
      </w:pPr>
    </w:lvl>
    <w:lvl w:ilvl="5" w:tplc="D50227D0">
      <w:start w:val="1"/>
      <w:numFmt w:val="lowerLetter"/>
      <w:lvlText w:val="%6)"/>
      <w:lvlJc w:val="left"/>
      <w:pPr>
        <w:ind w:left="1020" w:hanging="360"/>
      </w:pPr>
    </w:lvl>
    <w:lvl w:ilvl="6" w:tplc="DE6EBACE">
      <w:start w:val="1"/>
      <w:numFmt w:val="lowerLetter"/>
      <w:lvlText w:val="%7)"/>
      <w:lvlJc w:val="left"/>
      <w:pPr>
        <w:ind w:left="1020" w:hanging="360"/>
      </w:pPr>
    </w:lvl>
    <w:lvl w:ilvl="7" w:tplc="10641670">
      <w:start w:val="1"/>
      <w:numFmt w:val="lowerLetter"/>
      <w:lvlText w:val="%8)"/>
      <w:lvlJc w:val="left"/>
      <w:pPr>
        <w:ind w:left="1020" w:hanging="360"/>
      </w:pPr>
    </w:lvl>
    <w:lvl w:ilvl="8" w:tplc="30CC751C">
      <w:start w:val="1"/>
      <w:numFmt w:val="lowerLetter"/>
      <w:lvlText w:val="%9)"/>
      <w:lvlJc w:val="left"/>
      <w:pPr>
        <w:ind w:left="1020" w:hanging="360"/>
      </w:pPr>
    </w:lvl>
  </w:abstractNum>
  <w:abstractNum w:abstractNumId="2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abstractNumId w:val="24"/>
  </w:num>
  <w:num w:numId="2">
    <w:abstractNumId w:val="9"/>
  </w:num>
  <w:num w:numId="3">
    <w:abstractNumId w:val="7"/>
  </w:num>
  <w:num w:numId="4">
    <w:abstractNumId w:val="6"/>
  </w:num>
  <w:num w:numId="5">
    <w:abstractNumId w:val="5"/>
  </w:num>
  <w:num w:numId="6">
    <w:abstractNumId w:val="4"/>
  </w:num>
  <w:num w:numId="7">
    <w:abstractNumId w:val="17"/>
  </w:num>
  <w:num w:numId="8">
    <w:abstractNumId w:val="23"/>
  </w:num>
  <w:num w:numId="9">
    <w:abstractNumId w:val="21"/>
  </w:num>
  <w:num w:numId="10">
    <w:abstractNumId w:val="8"/>
  </w:num>
  <w:num w:numId="11">
    <w:abstractNumId w:val="3"/>
  </w:num>
  <w:num w:numId="12">
    <w:abstractNumId w:val="2"/>
  </w:num>
  <w:num w:numId="13">
    <w:abstractNumId w:val="1"/>
  </w:num>
  <w:num w:numId="14">
    <w:abstractNumId w:val="0"/>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0"/>
  </w:num>
  <w:num w:numId="24">
    <w:abstractNumId w:val="20"/>
  </w:num>
  <w:num w:numId="25">
    <w:abstractNumId w:val="18"/>
  </w:num>
  <w:num w:numId="26">
    <w:abstractNumId w:val="19"/>
  </w:num>
  <w:num w:numId="27">
    <w:abstractNumId w:val="15"/>
  </w:num>
  <w:num w:numId="28">
    <w:abstractNumId w:val="14"/>
  </w:num>
  <w:num w:numId="29">
    <w:abstractNumId w:val="12"/>
  </w:num>
  <w:num w:numId="30">
    <w:abstractNumId w:val="22"/>
  </w:num>
  <w:num w:numId="31">
    <w:abstractNumId w:val="13"/>
  </w:num>
  <w:num w:numId="32">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attachedTemplate r:id="rId1"/>
  <w:defaultTabStop w:val="720"/>
  <w:evenAndOddHeaders/>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90E"/>
    <w:rsid w:val="00002498"/>
    <w:rsid w:val="0000573F"/>
    <w:rsid w:val="000103AE"/>
    <w:rsid w:val="00012983"/>
    <w:rsid w:val="0001310A"/>
    <w:rsid w:val="000137EF"/>
    <w:rsid w:val="00013CB4"/>
    <w:rsid w:val="000141B5"/>
    <w:rsid w:val="000159AF"/>
    <w:rsid w:val="00016290"/>
    <w:rsid w:val="000229E8"/>
    <w:rsid w:val="00022C56"/>
    <w:rsid w:val="0002546E"/>
    <w:rsid w:val="00034322"/>
    <w:rsid w:val="00034F9D"/>
    <w:rsid w:val="000354D3"/>
    <w:rsid w:val="00035B6F"/>
    <w:rsid w:val="0003698C"/>
    <w:rsid w:val="00036F7B"/>
    <w:rsid w:val="000379A7"/>
    <w:rsid w:val="00040502"/>
    <w:rsid w:val="0004077A"/>
    <w:rsid w:val="00041805"/>
    <w:rsid w:val="00043FC2"/>
    <w:rsid w:val="0004590B"/>
    <w:rsid w:val="0004786A"/>
    <w:rsid w:val="000511B1"/>
    <w:rsid w:val="00052655"/>
    <w:rsid w:val="000526ED"/>
    <w:rsid w:val="00057B13"/>
    <w:rsid w:val="00064C69"/>
    <w:rsid w:val="00071536"/>
    <w:rsid w:val="0007248D"/>
    <w:rsid w:val="000754E8"/>
    <w:rsid w:val="00076148"/>
    <w:rsid w:val="00076176"/>
    <w:rsid w:val="00083EBE"/>
    <w:rsid w:val="0008497C"/>
    <w:rsid w:val="00087290"/>
    <w:rsid w:val="00087CFB"/>
    <w:rsid w:val="0009288C"/>
    <w:rsid w:val="00092E88"/>
    <w:rsid w:val="000941BB"/>
    <w:rsid w:val="0009421D"/>
    <w:rsid w:val="0009460A"/>
    <w:rsid w:val="00094710"/>
    <w:rsid w:val="000962BE"/>
    <w:rsid w:val="00096DE1"/>
    <w:rsid w:val="00097729"/>
    <w:rsid w:val="000A0283"/>
    <w:rsid w:val="000A08C9"/>
    <w:rsid w:val="000A16D9"/>
    <w:rsid w:val="000A2C33"/>
    <w:rsid w:val="000A33DF"/>
    <w:rsid w:val="000A421A"/>
    <w:rsid w:val="000A439C"/>
    <w:rsid w:val="000A70C5"/>
    <w:rsid w:val="000A728D"/>
    <w:rsid w:val="000A7D4B"/>
    <w:rsid w:val="000B4502"/>
    <w:rsid w:val="000B6BCB"/>
    <w:rsid w:val="000B7E6E"/>
    <w:rsid w:val="000C078C"/>
    <w:rsid w:val="000C21C0"/>
    <w:rsid w:val="000C282D"/>
    <w:rsid w:val="000C4D63"/>
    <w:rsid w:val="000C51EC"/>
    <w:rsid w:val="000C56DA"/>
    <w:rsid w:val="000D3987"/>
    <w:rsid w:val="000D3D12"/>
    <w:rsid w:val="000D5C27"/>
    <w:rsid w:val="000D63BD"/>
    <w:rsid w:val="000D68B6"/>
    <w:rsid w:val="000E031D"/>
    <w:rsid w:val="000E061B"/>
    <w:rsid w:val="000E0C14"/>
    <w:rsid w:val="000E1726"/>
    <w:rsid w:val="000E1E82"/>
    <w:rsid w:val="000E5A18"/>
    <w:rsid w:val="000E5ED6"/>
    <w:rsid w:val="000E7FB7"/>
    <w:rsid w:val="000F1311"/>
    <w:rsid w:val="000F1F8D"/>
    <w:rsid w:val="000F344B"/>
    <w:rsid w:val="000F6A80"/>
    <w:rsid w:val="0010015F"/>
    <w:rsid w:val="0010086D"/>
    <w:rsid w:val="0010227B"/>
    <w:rsid w:val="001031DF"/>
    <w:rsid w:val="0010384C"/>
    <w:rsid w:val="0010468E"/>
    <w:rsid w:val="0010521A"/>
    <w:rsid w:val="001065E9"/>
    <w:rsid w:val="0010798F"/>
    <w:rsid w:val="0011161A"/>
    <w:rsid w:val="00113663"/>
    <w:rsid w:val="00115AC6"/>
    <w:rsid w:val="00115CAF"/>
    <w:rsid w:val="001166FC"/>
    <w:rsid w:val="001219A4"/>
    <w:rsid w:val="001225EF"/>
    <w:rsid w:val="00124DA2"/>
    <w:rsid w:val="00125061"/>
    <w:rsid w:val="00126657"/>
    <w:rsid w:val="00132B3A"/>
    <w:rsid w:val="00134A08"/>
    <w:rsid w:val="00135272"/>
    <w:rsid w:val="0013541F"/>
    <w:rsid w:val="00144168"/>
    <w:rsid w:val="00144B5D"/>
    <w:rsid w:val="00145C23"/>
    <w:rsid w:val="00151361"/>
    <w:rsid w:val="001516A6"/>
    <w:rsid w:val="00151C46"/>
    <w:rsid w:val="00152105"/>
    <w:rsid w:val="0015276B"/>
    <w:rsid w:val="00152A63"/>
    <w:rsid w:val="001535BC"/>
    <w:rsid w:val="00153D6B"/>
    <w:rsid w:val="0015763D"/>
    <w:rsid w:val="001606EC"/>
    <w:rsid w:val="0016191D"/>
    <w:rsid w:val="00162A48"/>
    <w:rsid w:val="00163BC0"/>
    <w:rsid w:val="001706DC"/>
    <w:rsid w:val="00170BF6"/>
    <w:rsid w:val="001718C4"/>
    <w:rsid w:val="00174200"/>
    <w:rsid w:val="0017755E"/>
    <w:rsid w:val="0018284E"/>
    <w:rsid w:val="0018471B"/>
    <w:rsid w:val="00185BEF"/>
    <w:rsid w:val="001909A8"/>
    <w:rsid w:val="00191C46"/>
    <w:rsid w:val="00192518"/>
    <w:rsid w:val="00192CE3"/>
    <w:rsid w:val="001947F0"/>
    <w:rsid w:val="00195681"/>
    <w:rsid w:val="001959D2"/>
    <w:rsid w:val="00195BEA"/>
    <w:rsid w:val="00197AFB"/>
    <w:rsid w:val="001A173C"/>
    <w:rsid w:val="001A2394"/>
    <w:rsid w:val="001A278D"/>
    <w:rsid w:val="001A2F36"/>
    <w:rsid w:val="001A3E6C"/>
    <w:rsid w:val="001A5A37"/>
    <w:rsid w:val="001A62CD"/>
    <w:rsid w:val="001A7305"/>
    <w:rsid w:val="001A79FF"/>
    <w:rsid w:val="001B04F1"/>
    <w:rsid w:val="001B1FB6"/>
    <w:rsid w:val="001B28FC"/>
    <w:rsid w:val="001B4DAA"/>
    <w:rsid w:val="001B6473"/>
    <w:rsid w:val="001C14AF"/>
    <w:rsid w:val="001C5FC2"/>
    <w:rsid w:val="001C6299"/>
    <w:rsid w:val="001C696F"/>
    <w:rsid w:val="001C76C4"/>
    <w:rsid w:val="001C7A27"/>
    <w:rsid w:val="001C7C0D"/>
    <w:rsid w:val="001C7C6F"/>
    <w:rsid w:val="001D190A"/>
    <w:rsid w:val="001D2583"/>
    <w:rsid w:val="001D3004"/>
    <w:rsid w:val="001D3583"/>
    <w:rsid w:val="001D4B19"/>
    <w:rsid w:val="001D4F4D"/>
    <w:rsid w:val="001D654A"/>
    <w:rsid w:val="001E56F3"/>
    <w:rsid w:val="001E57A9"/>
    <w:rsid w:val="001E5F87"/>
    <w:rsid w:val="001E67F0"/>
    <w:rsid w:val="001E74B7"/>
    <w:rsid w:val="001F0557"/>
    <w:rsid w:val="001F09CD"/>
    <w:rsid w:val="001F0F1B"/>
    <w:rsid w:val="001F1D42"/>
    <w:rsid w:val="001F35B7"/>
    <w:rsid w:val="001F46D3"/>
    <w:rsid w:val="001F5684"/>
    <w:rsid w:val="001F58C1"/>
    <w:rsid w:val="001F6571"/>
    <w:rsid w:val="001F69ED"/>
    <w:rsid w:val="001F6C32"/>
    <w:rsid w:val="001F7BFC"/>
    <w:rsid w:val="001F7D99"/>
    <w:rsid w:val="0020012C"/>
    <w:rsid w:val="00200861"/>
    <w:rsid w:val="00200F9B"/>
    <w:rsid w:val="00202136"/>
    <w:rsid w:val="0020443C"/>
    <w:rsid w:val="002070FA"/>
    <w:rsid w:val="00213786"/>
    <w:rsid w:val="00213CAF"/>
    <w:rsid w:val="00215830"/>
    <w:rsid w:val="002161CD"/>
    <w:rsid w:val="002225CF"/>
    <w:rsid w:val="00222A48"/>
    <w:rsid w:val="00222D0D"/>
    <w:rsid w:val="00222FD3"/>
    <w:rsid w:val="00224675"/>
    <w:rsid w:val="002266C1"/>
    <w:rsid w:val="002307DE"/>
    <w:rsid w:val="00231CA4"/>
    <w:rsid w:val="002348D6"/>
    <w:rsid w:val="00234C42"/>
    <w:rsid w:val="00236891"/>
    <w:rsid w:val="00243E31"/>
    <w:rsid w:val="00245BB4"/>
    <w:rsid w:val="002463BF"/>
    <w:rsid w:val="0024662B"/>
    <w:rsid w:val="0025038F"/>
    <w:rsid w:val="00250F28"/>
    <w:rsid w:val="002511E7"/>
    <w:rsid w:val="002515B5"/>
    <w:rsid w:val="00252161"/>
    <w:rsid w:val="00252A3C"/>
    <w:rsid w:val="002537BA"/>
    <w:rsid w:val="00254722"/>
    <w:rsid w:val="002551D9"/>
    <w:rsid w:val="00255808"/>
    <w:rsid w:val="00260C29"/>
    <w:rsid w:val="00260CAC"/>
    <w:rsid w:val="00260F7B"/>
    <w:rsid w:val="00270806"/>
    <w:rsid w:val="00271208"/>
    <w:rsid w:val="002712C7"/>
    <w:rsid w:val="002730E3"/>
    <w:rsid w:val="0027582B"/>
    <w:rsid w:val="00275FDD"/>
    <w:rsid w:val="002775C7"/>
    <w:rsid w:val="002812FA"/>
    <w:rsid w:val="00281DE4"/>
    <w:rsid w:val="00282EAA"/>
    <w:rsid w:val="002834EC"/>
    <w:rsid w:val="002835F3"/>
    <w:rsid w:val="00283E3D"/>
    <w:rsid w:val="00285460"/>
    <w:rsid w:val="00285D70"/>
    <w:rsid w:val="0028632E"/>
    <w:rsid w:val="002909C4"/>
    <w:rsid w:val="00290F43"/>
    <w:rsid w:val="0029167D"/>
    <w:rsid w:val="002918F7"/>
    <w:rsid w:val="00292AEA"/>
    <w:rsid w:val="002932E0"/>
    <w:rsid w:val="00294C7A"/>
    <w:rsid w:val="002952DF"/>
    <w:rsid w:val="002955FE"/>
    <w:rsid w:val="00297E2E"/>
    <w:rsid w:val="00297FD8"/>
    <w:rsid w:val="002A305B"/>
    <w:rsid w:val="002A442C"/>
    <w:rsid w:val="002A5C4F"/>
    <w:rsid w:val="002A6192"/>
    <w:rsid w:val="002B1DBE"/>
    <w:rsid w:val="002B4DCA"/>
    <w:rsid w:val="002C00DA"/>
    <w:rsid w:val="002C1C52"/>
    <w:rsid w:val="002C1DAC"/>
    <w:rsid w:val="002C2886"/>
    <w:rsid w:val="002C39D6"/>
    <w:rsid w:val="002C7379"/>
    <w:rsid w:val="002D4DA9"/>
    <w:rsid w:val="002D7F4F"/>
    <w:rsid w:val="002E008D"/>
    <w:rsid w:val="002E019B"/>
    <w:rsid w:val="002E1C90"/>
    <w:rsid w:val="002E53DB"/>
    <w:rsid w:val="002F37DD"/>
    <w:rsid w:val="002F37E6"/>
    <w:rsid w:val="002F3E82"/>
    <w:rsid w:val="002F3FE2"/>
    <w:rsid w:val="002F426C"/>
    <w:rsid w:val="002F42EA"/>
    <w:rsid w:val="002F4353"/>
    <w:rsid w:val="002F6523"/>
    <w:rsid w:val="003015A5"/>
    <w:rsid w:val="0030420E"/>
    <w:rsid w:val="00304819"/>
    <w:rsid w:val="0030611F"/>
    <w:rsid w:val="00306326"/>
    <w:rsid w:val="0030715C"/>
    <w:rsid w:val="00307DDC"/>
    <w:rsid w:val="00310BE6"/>
    <w:rsid w:val="00310CEB"/>
    <w:rsid w:val="00312001"/>
    <w:rsid w:val="00313708"/>
    <w:rsid w:val="00315143"/>
    <w:rsid w:val="00315A20"/>
    <w:rsid w:val="003179C8"/>
    <w:rsid w:val="003203C8"/>
    <w:rsid w:val="003204F8"/>
    <w:rsid w:val="003213F6"/>
    <w:rsid w:val="00321FAF"/>
    <w:rsid w:val="00322476"/>
    <w:rsid w:val="00322835"/>
    <w:rsid w:val="003249F9"/>
    <w:rsid w:val="00326058"/>
    <w:rsid w:val="003266C6"/>
    <w:rsid w:val="0032763C"/>
    <w:rsid w:val="0033208A"/>
    <w:rsid w:val="00332263"/>
    <w:rsid w:val="00332CE0"/>
    <w:rsid w:val="00333EC2"/>
    <w:rsid w:val="00336581"/>
    <w:rsid w:val="00340CC8"/>
    <w:rsid w:val="003430A5"/>
    <w:rsid w:val="003434AB"/>
    <w:rsid w:val="0034450D"/>
    <w:rsid w:val="003458C5"/>
    <w:rsid w:val="003461CD"/>
    <w:rsid w:val="00346EDF"/>
    <w:rsid w:val="0034733E"/>
    <w:rsid w:val="00347A2A"/>
    <w:rsid w:val="00352721"/>
    <w:rsid w:val="003547F2"/>
    <w:rsid w:val="0035483B"/>
    <w:rsid w:val="0037227B"/>
    <w:rsid w:val="00376457"/>
    <w:rsid w:val="00377ED6"/>
    <w:rsid w:val="00381B24"/>
    <w:rsid w:val="00384B0F"/>
    <w:rsid w:val="003907D7"/>
    <w:rsid w:val="00391508"/>
    <w:rsid w:val="00395894"/>
    <w:rsid w:val="00397173"/>
    <w:rsid w:val="00397D26"/>
    <w:rsid w:val="003A2546"/>
    <w:rsid w:val="003A3301"/>
    <w:rsid w:val="003B0497"/>
    <w:rsid w:val="003B0AE2"/>
    <w:rsid w:val="003B142B"/>
    <w:rsid w:val="003B142D"/>
    <w:rsid w:val="003B2D99"/>
    <w:rsid w:val="003B3B5F"/>
    <w:rsid w:val="003B42D8"/>
    <w:rsid w:val="003B494D"/>
    <w:rsid w:val="003B6D22"/>
    <w:rsid w:val="003C302C"/>
    <w:rsid w:val="003C43FD"/>
    <w:rsid w:val="003C49C5"/>
    <w:rsid w:val="003C5B44"/>
    <w:rsid w:val="003C75CF"/>
    <w:rsid w:val="003D172C"/>
    <w:rsid w:val="003D1D86"/>
    <w:rsid w:val="003D48F6"/>
    <w:rsid w:val="003D53C6"/>
    <w:rsid w:val="003D7EAF"/>
    <w:rsid w:val="003E0F05"/>
    <w:rsid w:val="003E6ED0"/>
    <w:rsid w:val="003F1699"/>
    <w:rsid w:val="003F1841"/>
    <w:rsid w:val="003F2784"/>
    <w:rsid w:val="003F2CFA"/>
    <w:rsid w:val="003F3A67"/>
    <w:rsid w:val="003F618D"/>
    <w:rsid w:val="0040017E"/>
    <w:rsid w:val="00400F35"/>
    <w:rsid w:val="00404BA4"/>
    <w:rsid w:val="00405778"/>
    <w:rsid w:val="00406965"/>
    <w:rsid w:val="004071D7"/>
    <w:rsid w:val="0041089E"/>
    <w:rsid w:val="004110E6"/>
    <w:rsid w:val="00411E3E"/>
    <w:rsid w:val="004122EB"/>
    <w:rsid w:val="004136E4"/>
    <w:rsid w:val="00414833"/>
    <w:rsid w:val="00417640"/>
    <w:rsid w:val="00420087"/>
    <w:rsid w:val="004210A7"/>
    <w:rsid w:val="00421336"/>
    <w:rsid w:val="004213EC"/>
    <w:rsid w:val="0042188A"/>
    <w:rsid w:val="00421B3D"/>
    <w:rsid w:val="00421E81"/>
    <w:rsid w:val="00423575"/>
    <w:rsid w:val="00423A19"/>
    <w:rsid w:val="0042417F"/>
    <w:rsid w:val="00430D15"/>
    <w:rsid w:val="00432212"/>
    <w:rsid w:val="0043650F"/>
    <w:rsid w:val="004409C5"/>
    <w:rsid w:val="00440FFA"/>
    <w:rsid w:val="00441045"/>
    <w:rsid w:val="00441CCC"/>
    <w:rsid w:val="00442061"/>
    <w:rsid w:val="004430FB"/>
    <w:rsid w:val="00443A83"/>
    <w:rsid w:val="0044556C"/>
    <w:rsid w:val="00446696"/>
    <w:rsid w:val="00446F37"/>
    <w:rsid w:val="00447373"/>
    <w:rsid w:val="00447D16"/>
    <w:rsid w:val="00453477"/>
    <w:rsid w:val="004536F2"/>
    <w:rsid w:val="00454BD0"/>
    <w:rsid w:val="00460163"/>
    <w:rsid w:val="0046056A"/>
    <w:rsid w:val="0046134F"/>
    <w:rsid w:val="00463AF6"/>
    <w:rsid w:val="004668C9"/>
    <w:rsid w:val="00467A86"/>
    <w:rsid w:val="00472262"/>
    <w:rsid w:val="0047363A"/>
    <w:rsid w:val="00475157"/>
    <w:rsid w:val="004755AB"/>
    <w:rsid w:val="00475B68"/>
    <w:rsid w:val="00475D81"/>
    <w:rsid w:val="0047663B"/>
    <w:rsid w:val="00481F9B"/>
    <w:rsid w:val="0048358C"/>
    <w:rsid w:val="0048565A"/>
    <w:rsid w:val="004859B6"/>
    <w:rsid w:val="00487986"/>
    <w:rsid w:val="00491137"/>
    <w:rsid w:val="00493822"/>
    <w:rsid w:val="004A1974"/>
    <w:rsid w:val="004A2929"/>
    <w:rsid w:val="004A7D1C"/>
    <w:rsid w:val="004A7D50"/>
    <w:rsid w:val="004B1B36"/>
    <w:rsid w:val="004B1ED4"/>
    <w:rsid w:val="004B2DBC"/>
    <w:rsid w:val="004B367E"/>
    <w:rsid w:val="004B66B7"/>
    <w:rsid w:val="004C0EB6"/>
    <w:rsid w:val="004C1B5D"/>
    <w:rsid w:val="004C2983"/>
    <w:rsid w:val="004C6992"/>
    <w:rsid w:val="004C6D33"/>
    <w:rsid w:val="004C70DA"/>
    <w:rsid w:val="004D2538"/>
    <w:rsid w:val="004D2879"/>
    <w:rsid w:val="004D2C4B"/>
    <w:rsid w:val="004D3345"/>
    <w:rsid w:val="004D58D3"/>
    <w:rsid w:val="004D6023"/>
    <w:rsid w:val="004E00FA"/>
    <w:rsid w:val="004E18FE"/>
    <w:rsid w:val="004E1C4C"/>
    <w:rsid w:val="004E3CC6"/>
    <w:rsid w:val="004E5048"/>
    <w:rsid w:val="004E5239"/>
    <w:rsid w:val="004F15F0"/>
    <w:rsid w:val="004F2436"/>
    <w:rsid w:val="004F2C89"/>
    <w:rsid w:val="004F3BE6"/>
    <w:rsid w:val="004F3CE8"/>
    <w:rsid w:val="004F4E8B"/>
    <w:rsid w:val="004F6230"/>
    <w:rsid w:val="004F6865"/>
    <w:rsid w:val="004F6EC8"/>
    <w:rsid w:val="004F7381"/>
    <w:rsid w:val="00500176"/>
    <w:rsid w:val="005012FC"/>
    <w:rsid w:val="005038FF"/>
    <w:rsid w:val="00504552"/>
    <w:rsid w:val="00506765"/>
    <w:rsid w:val="005104D9"/>
    <w:rsid w:val="005130F4"/>
    <w:rsid w:val="00513ABC"/>
    <w:rsid w:val="00514CC9"/>
    <w:rsid w:val="0051798B"/>
    <w:rsid w:val="005210A7"/>
    <w:rsid w:val="00522E43"/>
    <w:rsid w:val="00523FFE"/>
    <w:rsid w:val="005242D2"/>
    <w:rsid w:val="005245CB"/>
    <w:rsid w:val="0052564E"/>
    <w:rsid w:val="00526BF0"/>
    <w:rsid w:val="005312C7"/>
    <w:rsid w:val="0053602A"/>
    <w:rsid w:val="0053612D"/>
    <w:rsid w:val="005436E4"/>
    <w:rsid w:val="00545616"/>
    <w:rsid w:val="00545A76"/>
    <w:rsid w:val="00545F94"/>
    <w:rsid w:val="005542F5"/>
    <w:rsid w:val="00554B82"/>
    <w:rsid w:val="00556126"/>
    <w:rsid w:val="00556D88"/>
    <w:rsid w:val="00557022"/>
    <w:rsid w:val="00557355"/>
    <w:rsid w:val="005577FA"/>
    <w:rsid w:val="00560F36"/>
    <w:rsid w:val="00561234"/>
    <w:rsid w:val="005614FA"/>
    <w:rsid w:val="00561922"/>
    <w:rsid w:val="00563E58"/>
    <w:rsid w:val="0056429B"/>
    <w:rsid w:val="00565A5C"/>
    <w:rsid w:val="00565A8E"/>
    <w:rsid w:val="0056728C"/>
    <w:rsid w:val="00567DAD"/>
    <w:rsid w:val="00571200"/>
    <w:rsid w:val="00571D87"/>
    <w:rsid w:val="005738C4"/>
    <w:rsid w:val="00573922"/>
    <w:rsid w:val="00573F8D"/>
    <w:rsid w:val="00575B7A"/>
    <w:rsid w:val="005835CE"/>
    <w:rsid w:val="005868BA"/>
    <w:rsid w:val="0058723D"/>
    <w:rsid w:val="005916F0"/>
    <w:rsid w:val="00593A11"/>
    <w:rsid w:val="00593D65"/>
    <w:rsid w:val="00595A05"/>
    <w:rsid w:val="00597C2A"/>
    <w:rsid w:val="005A1601"/>
    <w:rsid w:val="005A3E35"/>
    <w:rsid w:val="005A5BB0"/>
    <w:rsid w:val="005A675C"/>
    <w:rsid w:val="005A68E6"/>
    <w:rsid w:val="005B5500"/>
    <w:rsid w:val="005C1972"/>
    <w:rsid w:val="005D31FD"/>
    <w:rsid w:val="005D40D2"/>
    <w:rsid w:val="005D4438"/>
    <w:rsid w:val="005D6672"/>
    <w:rsid w:val="005D6B48"/>
    <w:rsid w:val="005E25E1"/>
    <w:rsid w:val="005E2DC5"/>
    <w:rsid w:val="005E35CC"/>
    <w:rsid w:val="005E48A4"/>
    <w:rsid w:val="005E5C0C"/>
    <w:rsid w:val="005E683E"/>
    <w:rsid w:val="005E7653"/>
    <w:rsid w:val="005F461E"/>
    <w:rsid w:val="005F7C15"/>
    <w:rsid w:val="006004DB"/>
    <w:rsid w:val="00601AEF"/>
    <w:rsid w:val="006040FF"/>
    <w:rsid w:val="00606F6E"/>
    <w:rsid w:val="006071E1"/>
    <w:rsid w:val="0061025B"/>
    <w:rsid w:val="00612577"/>
    <w:rsid w:val="00612CDF"/>
    <w:rsid w:val="00613670"/>
    <w:rsid w:val="00613E5D"/>
    <w:rsid w:val="00616192"/>
    <w:rsid w:val="00620E36"/>
    <w:rsid w:val="0062113E"/>
    <w:rsid w:val="00621A34"/>
    <w:rsid w:val="00621BA6"/>
    <w:rsid w:val="00622153"/>
    <w:rsid w:val="006235F3"/>
    <w:rsid w:val="00624C1A"/>
    <w:rsid w:val="00624CAC"/>
    <w:rsid w:val="00624F08"/>
    <w:rsid w:val="006265EB"/>
    <w:rsid w:val="00632BAF"/>
    <w:rsid w:val="00640A09"/>
    <w:rsid w:val="00640E50"/>
    <w:rsid w:val="00641C36"/>
    <w:rsid w:val="0064461A"/>
    <w:rsid w:val="006476CB"/>
    <w:rsid w:val="00647760"/>
    <w:rsid w:val="006500F3"/>
    <w:rsid w:val="006502A4"/>
    <w:rsid w:val="0065185B"/>
    <w:rsid w:val="00651F2E"/>
    <w:rsid w:val="006542D7"/>
    <w:rsid w:val="006543ED"/>
    <w:rsid w:val="00654465"/>
    <w:rsid w:val="00654C46"/>
    <w:rsid w:val="00655438"/>
    <w:rsid w:val="006604AE"/>
    <w:rsid w:val="00661F8D"/>
    <w:rsid w:val="0066322C"/>
    <w:rsid w:val="00663FA4"/>
    <w:rsid w:val="00664670"/>
    <w:rsid w:val="0066793E"/>
    <w:rsid w:val="006703DD"/>
    <w:rsid w:val="006706BC"/>
    <w:rsid w:val="006711C6"/>
    <w:rsid w:val="00671D4E"/>
    <w:rsid w:val="00673560"/>
    <w:rsid w:val="00673DA8"/>
    <w:rsid w:val="00677035"/>
    <w:rsid w:val="00680458"/>
    <w:rsid w:val="00681E5D"/>
    <w:rsid w:val="006836EE"/>
    <w:rsid w:val="00684AF3"/>
    <w:rsid w:val="00685E03"/>
    <w:rsid w:val="00686F7A"/>
    <w:rsid w:val="0069090E"/>
    <w:rsid w:val="00690F42"/>
    <w:rsid w:val="0069235F"/>
    <w:rsid w:val="006939BB"/>
    <w:rsid w:val="00694870"/>
    <w:rsid w:val="00694998"/>
    <w:rsid w:val="00694E2E"/>
    <w:rsid w:val="00695133"/>
    <w:rsid w:val="0069593C"/>
    <w:rsid w:val="00695A0B"/>
    <w:rsid w:val="006976E9"/>
    <w:rsid w:val="006A1BC9"/>
    <w:rsid w:val="006A1E2A"/>
    <w:rsid w:val="006A38D1"/>
    <w:rsid w:val="006A599C"/>
    <w:rsid w:val="006A6B23"/>
    <w:rsid w:val="006A6B89"/>
    <w:rsid w:val="006A7087"/>
    <w:rsid w:val="006A780E"/>
    <w:rsid w:val="006B0AED"/>
    <w:rsid w:val="006B1066"/>
    <w:rsid w:val="006B2FEF"/>
    <w:rsid w:val="006B57DE"/>
    <w:rsid w:val="006B58B6"/>
    <w:rsid w:val="006B6809"/>
    <w:rsid w:val="006B6D3E"/>
    <w:rsid w:val="006B7533"/>
    <w:rsid w:val="006C2405"/>
    <w:rsid w:val="006C2C47"/>
    <w:rsid w:val="006C4378"/>
    <w:rsid w:val="006C4469"/>
    <w:rsid w:val="006C48EF"/>
    <w:rsid w:val="006C4F90"/>
    <w:rsid w:val="006C51B8"/>
    <w:rsid w:val="006D0E0F"/>
    <w:rsid w:val="006D2CE0"/>
    <w:rsid w:val="006D677A"/>
    <w:rsid w:val="006D776C"/>
    <w:rsid w:val="006D7B26"/>
    <w:rsid w:val="006E0355"/>
    <w:rsid w:val="006E0E42"/>
    <w:rsid w:val="006E2885"/>
    <w:rsid w:val="006E2942"/>
    <w:rsid w:val="006E7B58"/>
    <w:rsid w:val="006F2894"/>
    <w:rsid w:val="006F2983"/>
    <w:rsid w:val="006F2B9F"/>
    <w:rsid w:val="006F2E95"/>
    <w:rsid w:val="006F3998"/>
    <w:rsid w:val="006F3BFB"/>
    <w:rsid w:val="006F4251"/>
    <w:rsid w:val="00701427"/>
    <w:rsid w:val="00701524"/>
    <w:rsid w:val="00701DF5"/>
    <w:rsid w:val="00703E23"/>
    <w:rsid w:val="007067DC"/>
    <w:rsid w:val="00707855"/>
    <w:rsid w:val="00707DDB"/>
    <w:rsid w:val="00711EA9"/>
    <w:rsid w:val="007127F3"/>
    <w:rsid w:val="00712B64"/>
    <w:rsid w:val="00713791"/>
    <w:rsid w:val="007161A1"/>
    <w:rsid w:val="0072090E"/>
    <w:rsid w:val="007221D4"/>
    <w:rsid w:val="00722819"/>
    <w:rsid w:val="00723FAF"/>
    <w:rsid w:val="00724F5F"/>
    <w:rsid w:val="00724FB4"/>
    <w:rsid w:val="007405C9"/>
    <w:rsid w:val="007449F1"/>
    <w:rsid w:val="00744DC8"/>
    <w:rsid w:val="00745543"/>
    <w:rsid w:val="00746139"/>
    <w:rsid w:val="0075019A"/>
    <w:rsid w:val="0075188C"/>
    <w:rsid w:val="00753011"/>
    <w:rsid w:val="00754D6B"/>
    <w:rsid w:val="00756429"/>
    <w:rsid w:val="007578EE"/>
    <w:rsid w:val="00757F90"/>
    <w:rsid w:val="0076010A"/>
    <w:rsid w:val="0076059B"/>
    <w:rsid w:val="00760AD0"/>
    <w:rsid w:val="00761616"/>
    <w:rsid w:val="00761F36"/>
    <w:rsid w:val="00766E66"/>
    <w:rsid w:val="00770199"/>
    <w:rsid w:val="00771125"/>
    <w:rsid w:val="00771C8F"/>
    <w:rsid w:val="0077455C"/>
    <w:rsid w:val="00776110"/>
    <w:rsid w:val="0077676B"/>
    <w:rsid w:val="00776D82"/>
    <w:rsid w:val="0078111A"/>
    <w:rsid w:val="00781A33"/>
    <w:rsid w:val="007831DF"/>
    <w:rsid w:val="00790813"/>
    <w:rsid w:val="00790B1B"/>
    <w:rsid w:val="00794202"/>
    <w:rsid w:val="007942FF"/>
    <w:rsid w:val="00796688"/>
    <w:rsid w:val="00796841"/>
    <w:rsid w:val="007974EF"/>
    <w:rsid w:val="007A05C3"/>
    <w:rsid w:val="007A1C71"/>
    <w:rsid w:val="007A24CF"/>
    <w:rsid w:val="007A2C68"/>
    <w:rsid w:val="007A45DA"/>
    <w:rsid w:val="007A6312"/>
    <w:rsid w:val="007A797B"/>
    <w:rsid w:val="007A7AB8"/>
    <w:rsid w:val="007B0654"/>
    <w:rsid w:val="007B0C3E"/>
    <w:rsid w:val="007B266D"/>
    <w:rsid w:val="007B2840"/>
    <w:rsid w:val="007B3ACB"/>
    <w:rsid w:val="007B4542"/>
    <w:rsid w:val="007B4710"/>
    <w:rsid w:val="007B6462"/>
    <w:rsid w:val="007B673B"/>
    <w:rsid w:val="007B75D5"/>
    <w:rsid w:val="007C042B"/>
    <w:rsid w:val="007C06BA"/>
    <w:rsid w:val="007C2248"/>
    <w:rsid w:val="007C2D1F"/>
    <w:rsid w:val="007C59A3"/>
    <w:rsid w:val="007C59F0"/>
    <w:rsid w:val="007C5F39"/>
    <w:rsid w:val="007C5FC5"/>
    <w:rsid w:val="007C6F4F"/>
    <w:rsid w:val="007D0C77"/>
    <w:rsid w:val="007D46C4"/>
    <w:rsid w:val="007D514E"/>
    <w:rsid w:val="007D54F4"/>
    <w:rsid w:val="007D5784"/>
    <w:rsid w:val="007D636C"/>
    <w:rsid w:val="007E03C0"/>
    <w:rsid w:val="007E2144"/>
    <w:rsid w:val="007E35B1"/>
    <w:rsid w:val="007E7041"/>
    <w:rsid w:val="007E7139"/>
    <w:rsid w:val="007F26AD"/>
    <w:rsid w:val="007F2C3F"/>
    <w:rsid w:val="007F3794"/>
    <w:rsid w:val="007F40D8"/>
    <w:rsid w:val="007F5C27"/>
    <w:rsid w:val="007F624C"/>
    <w:rsid w:val="007F6344"/>
    <w:rsid w:val="00800555"/>
    <w:rsid w:val="0080057A"/>
    <w:rsid w:val="0080295A"/>
    <w:rsid w:val="00803996"/>
    <w:rsid w:val="0080499D"/>
    <w:rsid w:val="008067B3"/>
    <w:rsid w:val="0080721F"/>
    <w:rsid w:val="00810841"/>
    <w:rsid w:val="00812247"/>
    <w:rsid w:val="00812F03"/>
    <w:rsid w:val="008144E2"/>
    <w:rsid w:val="00816042"/>
    <w:rsid w:val="00816E4F"/>
    <w:rsid w:val="00820999"/>
    <w:rsid w:val="008209F9"/>
    <w:rsid w:val="00820E2A"/>
    <w:rsid w:val="00821AED"/>
    <w:rsid w:val="0082338E"/>
    <w:rsid w:val="0082441F"/>
    <w:rsid w:val="0082641A"/>
    <w:rsid w:val="0082650A"/>
    <w:rsid w:val="00827A64"/>
    <w:rsid w:val="0083011B"/>
    <w:rsid w:val="0083411F"/>
    <w:rsid w:val="008360B4"/>
    <w:rsid w:val="00840E56"/>
    <w:rsid w:val="008416B6"/>
    <w:rsid w:val="00842DBE"/>
    <w:rsid w:val="00842FE2"/>
    <w:rsid w:val="0084375A"/>
    <w:rsid w:val="0084445A"/>
    <w:rsid w:val="00845A0D"/>
    <w:rsid w:val="00846AC4"/>
    <w:rsid w:val="00851BBC"/>
    <w:rsid w:val="00851DD6"/>
    <w:rsid w:val="00852250"/>
    <w:rsid w:val="008553C5"/>
    <w:rsid w:val="008558B8"/>
    <w:rsid w:val="0085660F"/>
    <w:rsid w:val="00856973"/>
    <w:rsid w:val="00857D67"/>
    <w:rsid w:val="0086165E"/>
    <w:rsid w:val="00863CA6"/>
    <w:rsid w:val="00864AFA"/>
    <w:rsid w:val="00864FB1"/>
    <w:rsid w:val="00864FE1"/>
    <w:rsid w:val="0086574D"/>
    <w:rsid w:val="00872A95"/>
    <w:rsid w:val="00872F1E"/>
    <w:rsid w:val="00873C0B"/>
    <w:rsid w:val="00873E81"/>
    <w:rsid w:val="008750DD"/>
    <w:rsid w:val="0087688E"/>
    <w:rsid w:val="00880D3B"/>
    <w:rsid w:val="00882942"/>
    <w:rsid w:val="00884E3D"/>
    <w:rsid w:val="00885740"/>
    <w:rsid w:val="00886089"/>
    <w:rsid w:val="00887925"/>
    <w:rsid w:val="008918DD"/>
    <w:rsid w:val="008927A8"/>
    <w:rsid w:val="00892F3F"/>
    <w:rsid w:val="0089338E"/>
    <w:rsid w:val="00893BC5"/>
    <w:rsid w:val="00894A1D"/>
    <w:rsid w:val="00897F54"/>
    <w:rsid w:val="008A0346"/>
    <w:rsid w:val="008A06CB"/>
    <w:rsid w:val="008A0782"/>
    <w:rsid w:val="008A27AF"/>
    <w:rsid w:val="008A29FB"/>
    <w:rsid w:val="008A32A5"/>
    <w:rsid w:val="008A37D9"/>
    <w:rsid w:val="008A392E"/>
    <w:rsid w:val="008A39AC"/>
    <w:rsid w:val="008A6A0D"/>
    <w:rsid w:val="008A7F1B"/>
    <w:rsid w:val="008A7FF7"/>
    <w:rsid w:val="008B1ABE"/>
    <w:rsid w:val="008B22C4"/>
    <w:rsid w:val="008B2BE3"/>
    <w:rsid w:val="008B30ED"/>
    <w:rsid w:val="008B4E15"/>
    <w:rsid w:val="008B4F73"/>
    <w:rsid w:val="008C0E69"/>
    <w:rsid w:val="008C4AD2"/>
    <w:rsid w:val="008C57C9"/>
    <w:rsid w:val="008C738E"/>
    <w:rsid w:val="008D28EC"/>
    <w:rsid w:val="008D601F"/>
    <w:rsid w:val="008D690E"/>
    <w:rsid w:val="008D6F24"/>
    <w:rsid w:val="008E00F7"/>
    <w:rsid w:val="008E6CA4"/>
    <w:rsid w:val="008E6EA7"/>
    <w:rsid w:val="008F0670"/>
    <w:rsid w:val="008F0BBF"/>
    <w:rsid w:val="008F1F72"/>
    <w:rsid w:val="008F38CC"/>
    <w:rsid w:val="008F4CD4"/>
    <w:rsid w:val="008F51F4"/>
    <w:rsid w:val="008F5F06"/>
    <w:rsid w:val="009032B6"/>
    <w:rsid w:val="0090651F"/>
    <w:rsid w:val="00906A94"/>
    <w:rsid w:val="00910D63"/>
    <w:rsid w:val="00910F48"/>
    <w:rsid w:val="00913FFC"/>
    <w:rsid w:val="0091555D"/>
    <w:rsid w:val="0091620B"/>
    <w:rsid w:val="0091757F"/>
    <w:rsid w:val="009218AA"/>
    <w:rsid w:val="009243E2"/>
    <w:rsid w:val="00924638"/>
    <w:rsid w:val="0092515A"/>
    <w:rsid w:val="00926A4B"/>
    <w:rsid w:val="00930C3D"/>
    <w:rsid w:val="009310B6"/>
    <w:rsid w:val="009312AB"/>
    <w:rsid w:val="009313F0"/>
    <w:rsid w:val="00932F3F"/>
    <w:rsid w:val="0093408C"/>
    <w:rsid w:val="00934CD8"/>
    <w:rsid w:val="00935464"/>
    <w:rsid w:val="00940B5D"/>
    <w:rsid w:val="00943530"/>
    <w:rsid w:val="00944D05"/>
    <w:rsid w:val="00945490"/>
    <w:rsid w:val="009460CD"/>
    <w:rsid w:val="00947BE2"/>
    <w:rsid w:val="0095011F"/>
    <w:rsid w:val="009523DF"/>
    <w:rsid w:val="00952893"/>
    <w:rsid w:val="00955D9F"/>
    <w:rsid w:val="00955E81"/>
    <w:rsid w:val="00956384"/>
    <w:rsid w:val="009611BD"/>
    <w:rsid w:val="00961F9A"/>
    <w:rsid w:val="00962316"/>
    <w:rsid w:val="0096266B"/>
    <w:rsid w:val="00962822"/>
    <w:rsid w:val="00963351"/>
    <w:rsid w:val="00964DA2"/>
    <w:rsid w:val="0096772C"/>
    <w:rsid w:val="009702C0"/>
    <w:rsid w:val="009737EC"/>
    <w:rsid w:val="00974894"/>
    <w:rsid w:val="00977FF4"/>
    <w:rsid w:val="00980FFC"/>
    <w:rsid w:val="0098214E"/>
    <w:rsid w:val="009830B0"/>
    <w:rsid w:val="0098669D"/>
    <w:rsid w:val="00990149"/>
    <w:rsid w:val="00991E7C"/>
    <w:rsid w:val="00993606"/>
    <w:rsid w:val="00993AEF"/>
    <w:rsid w:val="00994447"/>
    <w:rsid w:val="00994CC1"/>
    <w:rsid w:val="00995F95"/>
    <w:rsid w:val="0099661A"/>
    <w:rsid w:val="0099699B"/>
    <w:rsid w:val="0099781D"/>
    <w:rsid w:val="009A1664"/>
    <w:rsid w:val="009A1727"/>
    <w:rsid w:val="009A18A5"/>
    <w:rsid w:val="009A388B"/>
    <w:rsid w:val="009A51DA"/>
    <w:rsid w:val="009A5DF9"/>
    <w:rsid w:val="009A7AC5"/>
    <w:rsid w:val="009B0400"/>
    <w:rsid w:val="009B21CE"/>
    <w:rsid w:val="009B7CC5"/>
    <w:rsid w:val="009C04CA"/>
    <w:rsid w:val="009C0BBB"/>
    <w:rsid w:val="009C2ED6"/>
    <w:rsid w:val="009C3FC2"/>
    <w:rsid w:val="009C4D93"/>
    <w:rsid w:val="009C788C"/>
    <w:rsid w:val="009D09FE"/>
    <w:rsid w:val="009D2F02"/>
    <w:rsid w:val="009D4E83"/>
    <w:rsid w:val="009D511C"/>
    <w:rsid w:val="009E01E6"/>
    <w:rsid w:val="009E0819"/>
    <w:rsid w:val="009E0C0A"/>
    <w:rsid w:val="009E1A1C"/>
    <w:rsid w:val="009E1DEC"/>
    <w:rsid w:val="009E2849"/>
    <w:rsid w:val="009E2FB8"/>
    <w:rsid w:val="009E38B9"/>
    <w:rsid w:val="009E500F"/>
    <w:rsid w:val="009E68FA"/>
    <w:rsid w:val="009F1285"/>
    <w:rsid w:val="009F1EFA"/>
    <w:rsid w:val="009F2CFB"/>
    <w:rsid w:val="009F306E"/>
    <w:rsid w:val="009F35A0"/>
    <w:rsid w:val="009F457C"/>
    <w:rsid w:val="009F457E"/>
    <w:rsid w:val="009F67EB"/>
    <w:rsid w:val="00A00399"/>
    <w:rsid w:val="00A00B7E"/>
    <w:rsid w:val="00A00D13"/>
    <w:rsid w:val="00A01493"/>
    <w:rsid w:val="00A01CE4"/>
    <w:rsid w:val="00A02B6B"/>
    <w:rsid w:val="00A04665"/>
    <w:rsid w:val="00A04F66"/>
    <w:rsid w:val="00A06991"/>
    <w:rsid w:val="00A07975"/>
    <w:rsid w:val="00A07CA6"/>
    <w:rsid w:val="00A07FB5"/>
    <w:rsid w:val="00A11275"/>
    <w:rsid w:val="00A11F1C"/>
    <w:rsid w:val="00A16178"/>
    <w:rsid w:val="00A17C07"/>
    <w:rsid w:val="00A17DC3"/>
    <w:rsid w:val="00A2135A"/>
    <w:rsid w:val="00A3159A"/>
    <w:rsid w:val="00A33B0F"/>
    <w:rsid w:val="00A4031B"/>
    <w:rsid w:val="00A439FF"/>
    <w:rsid w:val="00A44B4C"/>
    <w:rsid w:val="00A45CCA"/>
    <w:rsid w:val="00A46180"/>
    <w:rsid w:val="00A47E29"/>
    <w:rsid w:val="00A501C5"/>
    <w:rsid w:val="00A51D09"/>
    <w:rsid w:val="00A5452B"/>
    <w:rsid w:val="00A5460B"/>
    <w:rsid w:val="00A54DAD"/>
    <w:rsid w:val="00A55B3B"/>
    <w:rsid w:val="00A567E8"/>
    <w:rsid w:val="00A56B08"/>
    <w:rsid w:val="00A57192"/>
    <w:rsid w:val="00A60DED"/>
    <w:rsid w:val="00A60E5C"/>
    <w:rsid w:val="00A64A0B"/>
    <w:rsid w:val="00A65102"/>
    <w:rsid w:val="00A657C3"/>
    <w:rsid w:val="00A663BA"/>
    <w:rsid w:val="00A66EB0"/>
    <w:rsid w:val="00A73121"/>
    <w:rsid w:val="00A75975"/>
    <w:rsid w:val="00A767E2"/>
    <w:rsid w:val="00A8095C"/>
    <w:rsid w:val="00A80E56"/>
    <w:rsid w:val="00A815DB"/>
    <w:rsid w:val="00A816F3"/>
    <w:rsid w:val="00A81F10"/>
    <w:rsid w:val="00A81FC8"/>
    <w:rsid w:val="00A8234D"/>
    <w:rsid w:val="00A851CA"/>
    <w:rsid w:val="00A91AC5"/>
    <w:rsid w:val="00A93C05"/>
    <w:rsid w:val="00A9443B"/>
    <w:rsid w:val="00A94763"/>
    <w:rsid w:val="00A94EDB"/>
    <w:rsid w:val="00A95D05"/>
    <w:rsid w:val="00AA07A9"/>
    <w:rsid w:val="00AA32CF"/>
    <w:rsid w:val="00AA4DC4"/>
    <w:rsid w:val="00AA5188"/>
    <w:rsid w:val="00AA5912"/>
    <w:rsid w:val="00AA69D3"/>
    <w:rsid w:val="00AA7E2C"/>
    <w:rsid w:val="00AA7FE3"/>
    <w:rsid w:val="00AB03D2"/>
    <w:rsid w:val="00AB2C17"/>
    <w:rsid w:val="00AB6111"/>
    <w:rsid w:val="00AC51E4"/>
    <w:rsid w:val="00AD2D18"/>
    <w:rsid w:val="00AD3628"/>
    <w:rsid w:val="00AD5028"/>
    <w:rsid w:val="00AD5A54"/>
    <w:rsid w:val="00AE0AE9"/>
    <w:rsid w:val="00AE2428"/>
    <w:rsid w:val="00AE2506"/>
    <w:rsid w:val="00AE4AC7"/>
    <w:rsid w:val="00AE4E48"/>
    <w:rsid w:val="00AE53D6"/>
    <w:rsid w:val="00AE59E0"/>
    <w:rsid w:val="00AE6549"/>
    <w:rsid w:val="00AE6DC2"/>
    <w:rsid w:val="00AE7893"/>
    <w:rsid w:val="00AF2FFC"/>
    <w:rsid w:val="00AF351A"/>
    <w:rsid w:val="00AF7805"/>
    <w:rsid w:val="00B01C8D"/>
    <w:rsid w:val="00B026F1"/>
    <w:rsid w:val="00B07669"/>
    <w:rsid w:val="00B07898"/>
    <w:rsid w:val="00B1090B"/>
    <w:rsid w:val="00B122A4"/>
    <w:rsid w:val="00B157DB"/>
    <w:rsid w:val="00B157E2"/>
    <w:rsid w:val="00B15E2C"/>
    <w:rsid w:val="00B21AFD"/>
    <w:rsid w:val="00B21EB2"/>
    <w:rsid w:val="00B23221"/>
    <w:rsid w:val="00B24345"/>
    <w:rsid w:val="00B260C1"/>
    <w:rsid w:val="00B30432"/>
    <w:rsid w:val="00B30DAB"/>
    <w:rsid w:val="00B315B1"/>
    <w:rsid w:val="00B35CE8"/>
    <w:rsid w:val="00B37DE4"/>
    <w:rsid w:val="00B37DFF"/>
    <w:rsid w:val="00B41936"/>
    <w:rsid w:val="00B4387F"/>
    <w:rsid w:val="00B45575"/>
    <w:rsid w:val="00B4784C"/>
    <w:rsid w:val="00B509D1"/>
    <w:rsid w:val="00B50CBE"/>
    <w:rsid w:val="00B539C2"/>
    <w:rsid w:val="00B60DDE"/>
    <w:rsid w:val="00B63E25"/>
    <w:rsid w:val="00B64AA9"/>
    <w:rsid w:val="00B65404"/>
    <w:rsid w:val="00B66032"/>
    <w:rsid w:val="00B66BDF"/>
    <w:rsid w:val="00B7645B"/>
    <w:rsid w:val="00B77868"/>
    <w:rsid w:val="00B8040F"/>
    <w:rsid w:val="00B83D0B"/>
    <w:rsid w:val="00B83F9F"/>
    <w:rsid w:val="00B8468E"/>
    <w:rsid w:val="00B87D6D"/>
    <w:rsid w:val="00B91499"/>
    <w:rsid w:val="00B919AE"/>
    <w:rsid w:val="00B91F36"/>
    <w:rsid w:val="00B9239F"/>
    <w:rsid w:val="00B9416F"/>
    <w:rsid w:val="00BA04B8"/>
    <w:rsid w:val="00BA3617"/>
    <w:rsid w:val="00BA4049"/>
    <w:rsid w:val="00BA47FA"/>
    <w:rsid w:val="00BA629D"/>
    <w:rsid w:val="00BB0C15"/>
    <w:rsid w:val="00BB2B1D"/>
    <w:rsid w:val="00BB2CFE"/>
    <w:rsid w:val="00BB394D"/>
    <w:rsid w:val="00BB56E1"/>
    <w:rsid w:val="00BB6296"/>
    <w:rsid w:val="00BB6D0D"/>
    <w:rsid w:val="00BB7CC5"/>
    <w:rsid w:val="00BC1756"/>
    <w:rsid w:val="00BC1E3D"/>
    <w:rsid w:val="00BC2C6D"/>
    <w:rsid w:val="00BC4767"/>
    <w:rsid w:val="00BC7D0F"/>
    <w:rsid w:val="00BD0B6D"/>
    <w:rsid w:val="00BD12CC"/>
    <w:rsid w:val="00BD1D60"/>
    <w:rsid w:val="00BD1DFA"/>
    <w:rsid w:val="00BD3B1B"/>
    <w:rsid w:val="00BD4B4C"/>
    <w:rsid w:val="00BD5C8C"/>
    <w:rsid w:val="00BE059F"/>
    <w:rsid w:val="00BE0A01"/>
    <w:rsid w:val="00BE1458"/>
    <w:rsid w:val="00BE53AE"/>
    <w:rsid w:val="00BE5904"/>
    <w:rsid w:val="00BE5B5C"/>
    <w:rsid w:val="00BF3815"/>
    <w:rsid w:val="00BF3CEB"/>
    <w:rsid w:val="00BF5923"/>
    <w:rsid w:val="00BF65BE"/>
    <w:rsid w:val="00BF67C1"/>
    <w:rsid w:val="00C002E3"/>
    <w:rsid w:val="00C0115D"/>
    <w:rsid w:val="00C0212B"/>
    <w:rsid w:val="00C05DCB"/>
    <w:rsid w:val="00C06AF9"/>
    <w:rsid w:val="00C06DC2"/>
    <w:rsid w:val="00C10975"/>
    <w:rsid w:val="00C117E9"/>
    <w:rsid w:val="00C119A9"/>
    <w:rsid w:val="00C12402"/>
    <w:rsid w:val="00C13905"/>
    <w:rsid w:val="00C14918"/>
    <w:rsid w:val="00C1650B"/>
    <w:rsid w:val="00C174F3"/>
    <w:rsid w:val="00C202D3"/>
    <w:rsid w:val="00C221F8"/>
    <w:rsid w:val="00C239C5"/>
    <w:rsid w:val="00C25887"/>
    <w:rsid w:val="00C25CD4"/>
    <w:rsid w:val="00C27A95"/>
    <w:rsid w:val="00C3393E"/>
    <w:rsid w:val="00C342FD"/>
    <w:rsid w:val="00C364A7"/>
    <w:rsid w:val="00C37A35"/>
    <w:rsid w:val="00C37B75"/>
    <w:rsid w:val="00C410DD"/>
    <w:rsid w:val="00C41D5B"/>
    <w:rsid w:val="00C43053"/>
    <w:rsid w:val="00C44CEC"/>
    <w:rsid w:val="00C51807"/>
    <w:rsid w:val="00C56C2D"/>
    <w:rsid w:val="00C56F80"/>
    <w:rsid w:val="00C57734"/>
    <w:rsid w:val="00C57D38"/>
    <w:rsid w:val="00C60457"/>
    <w:rsid w:val="00C60909"/>
    <w:rsid w:val="00C616C2"/>
    <w:rsid w:val="00C620B9"/>
    <w:rsid w:val="00C67FE4"/>
    <w:rsid w:val="00C71EB2"/>
    <w:rsid w:val="00C727EA"/>
    <w:rsid w:val="00C73217"/>
    <w:rsid w:val="00C738C8"/>
    <w:rsid w:val="00C746CD"/>
    <w:rsid w:val="00C74DE3"/>
    <w:rsid w:val="00C7503B"/>
    <w:rsid w:val="00C76BE3"/>
    <w:rsid w:val="00C81690"/>
    <w:rsid w:val="00C81E1D"/>
    <w:rsid w:val="00C83AEA"/>
    <w:rsid w:val="00C84457"/>
    <w:rsid w:val="00C8559D"/>
    <w:rsid w:val="00C9008F"/>
    <w:rsid w:val="00C91AD3"/>
    <w:rsid w:val="00C91CA4"/>
    <w:rsid w:val="00C91F44"/>
    <w:rsid w:val="00C93169"/>
    <w:rsid w:val="00C9550A"/>
    <w:rsid w:val="00CA1D75"/>
    <w:rsid w:val="00CA1DF9"/>
    <w:rsid w:val="00CA60C0"/>
    <w:rsid w:val="00CB1001"/>
    <w:rsid w:val="00CB14CC"/>
    <w:rsid w:val="00CB3458"/>
    <w:rsid w:val="00CB3FB7"/>
    <w:rsid w:val="00CB687D"/>
    <w:rsid w:val="00CC03FD"/>
    <w:rsid w:val="00CC0ADF"/>
    <w:rsid w:val="00CC265F"/>
    <w:rsid w:val="00CC44EE"/>
    <w:rsid w:val="00CC5101"/>
    <w:rsid w:val="00CC5AFE"/>
    <w:rsid w:val="00CC5D46"/>
    <w:rsid w:val="00CC638A"/>
    <w:rsid w:val="00CC7365"/>
    <w:rsid w:val="00CC7786"/>
    <w:rsid w:val="00CD1F92"/>
    <w:rsid w:val="00CD27D7"/>
    <w:rsid w:val="00CD3193"/>
    <w:rsid w:val="00CD68A9"/>
    <w:rsid w:val="00CD6AB7"/>
    <w:rsid w:val="00CD705C"/>
    <w:rsid w:val="00CE19D2"/>
    <w:rsid w:val="00CE25CA"/>
    <w:rsid w:val="00CE5FD4"/>
    <w:rsid w:val="00CE79F1"/>
    <w:rsid w:val="00CF06F4"/>
    <w:rsid w:val="00CF1102"/>
    <w:rsid w:val="00CF326B"/>
    <w:rsid w:val="00CF496F"/>
    <w:rsid w:val="00CF4DA3"/>
    <w:rsid w:val="00CF61B3"/>
    <w:rsid w:val="00CF7DF9"/>
    <w:rsid w:val="00D00869"/>
    <w:rsid w:val="00D01A9B"/>
    <w:rsid w:val="00D02C9F"/>
    <w:rsid w:val="00D076DD"/>
    <w:rsid w:val="00D1032C"/>
    <w:rsid w:val="00D104E2"/>
    <w:rsid w:val="00D10D16"/>
    <w:rsid w:val="00D1291B"/>
    <w:rsid w:val="00D144FD"/>
    <w:rsid w:val="00D16B72"/>
    <w:rsid w:val="00D16F38"/>
    <w:rsid w:val="00D2320F"/>
    <w:rsid w:val="00D26569"/>
    <w:rsid w:val="00D30297"/>
    <w:rsid w:val="00D307B1"/>
    <w:rsid w:val="00D317CC"/>
    <w:rsid w:val="00D331FE"/>
    <w:rsid w:val="00D35A5C"/>
    <w:rsid w:val="00D379A1"/>
    <w:rsid w:val="00D42E9A"/>
    <w:rsid w:val="00D42F8D"/>
    <w:rsid w:val="00D4364D"/>
    <w:rsid w:val="00D47A28"/>
    <w:rsid w:val="00D51D4C"/>
    <w:rsid w:val="00D53AF3"/>
    <w:rsid w:val="00D565A1"/>
    <w:rsid w:val="00D57CF7"/>
    <w:rsid w:val="00D63433"/>
    <w:rsid w:val="00D63A61"/>
    <w:rsid w:val="00D63E68"/>
    <w:rsid w:val="00D66C66"/>
    <w:rsid w:val="00D71483"/>
    <w:rsid w:val="00D7182E"/>
    <w:rsid w:val="00D719BE"/>
    <w:rsid w:val="00D73954"/>
    <w:rsid w:val="00D75FA9"/>
    <w:rsid w:val="00D770D2"/>
    <w:rsid w:val="00D81041"/>
    <w:rsid w:val="00D838EF"/>
    <w:rsid w:val="00D87607"/>
    <w:rsid w:val="00D87DB5"/>
    <w:rsid w:val="00D902B9"/>
    <w:rsid w:val="00D93293"/>
    <w:rsid w:val="00D95F59"/>
    <w:rsid w:val="00DA24C2"/>
    <w:rsid w:val="00DA26B4"/>
    <w:rsid w:val="00DA2C36"/>
    <w:rsid w:val="00DA62A9"/>
    <w:rsid w:val="00DB27AC"/>
    <w:rsid w:val="00DB283C"/>
    <w:rsid w:val="00DB4F5E"/>
    <w:rsid w:val="00DB6E4F"/>
    <w:rsid w:val="00DB7631"/>
    <w:rsid w:val="00DC15D1"/>
    <w:rsid w:val="00DD00A8"/>
    <w:rsid w:val="00DD18A5"/>
    <w:rsid w:val="00DD29D1"/>
    <w:rsid w:val="00DD3B2C"/>
    <w:rsid w:val="00DD4176"/>
    <w:rsid w:val="00DD4B85"/>
    <w:rsid w:val="00DE1D92"/>
    <w:rsid w:val="00DE260F"/>
    <w:rsid w:val="00DE2DD3"/>
    <w:rsid w:val="00DE32BD"/>
    <w:rsid w:val="00DE42BA"/>
    <w:rsid w:val="00DE4ADD"/>
    <w:rsid w:val="00DE4C0F"/>
    <w:rsid w:val="00DE66FD"/>
    <w:rsid w:val="00DF054E"/>
    <w:rsid w:val="00DF15DA"/>
    <w:rsid w:val="00DF2AB2"/>
    <w:rsid w:val="00DF2FFD"/>
    <w:rsid w:val="00DF7C68"/>
    <w:rsid w:val="00DF7FA4"/>
    <w:rsid w:val="00E00DD8"/>
    <w:rsid w:val="00E01DA4"/>
    <w:rsid w:val="00E02157"/>
    <w:rsid w:val="00E03E3F"/>
    <w:rsid w:val="00E04CAC"/>
    <w:rsid w:val="00E05B32"/>
    <w:rsid w:val="00E07831"/>
    <w:rsid w:val="00E10617"/>
    <w:rsid w:val="00E13CC8"/>
    <w:rsid w:val="00E14148"/>
    <w:rsid w:val="00E16C67"/>
    <w:rsid w:val="00E176DE"/>
    <w:rsid w:val="00E17F02"/>
    <w:rsid w:val="00E216C9"/>
    <w:rsid w:val="00E23DDB"/>
    <w:rsid w:val="00E24E83"/>
    <w:rsid w:val="00E27A18"/>
    <w:rsid w:val="00E27AFA"/>
    <w:rsid w:val="00E30966"/>
    <w:rsid w:val="00E33D84"/>
    <w:rsid w:val="00E36342"/>
    <w:rsid w:val="00E367D0"/>
    <w:rsid w:val="00E36ECC"/>
    <w:rsid w:val="00E3731D"/>
    <w:rsid w:val="00E4130A"/>
    <w:rsid w:val="00E415ED"/>
    <w:rsid w:val="00E42604"/>
    <w:rsid w:val="00E429CE"/>
    <w:rsid w:val="00E455A1"/>
    <w:rsid w:val="00E45882"/>
    <w:rsid w:val="00E4633F"/>
    <w:rsid w:val="00E47ADE"/>
    <w:rsid w:val="00E5120A"/>
    <w:rsid w:val="00E513EF"/>
    <w:rsid w:val="00E51C26"/>
    <w:rsid w:val="00E51CD8"/>
    <w:rsid w:val="00E54E94"/>
    <w:rsid w:val="00E56F21"/>
    <w:rsid w:val="00E60FAF"/>
    <w:rsid w:val="00E616BB"/>
    <w:rsid w:val="00E61B94"/>
    <w:rsid w:val="00E6345F"/>
    <w:rsid w:val="00E64F86"/>
    <w:rsid w:val="00E65D2E"/>
    <w:rsid w:val="00E70E49"/>
    <w:rsid w:val="00E74146"/>
    <w:rsid w:val="00E74F78"/>
    <w:rsid w:val="00E75672"/>
    <w:rsid w:val="00E762FB"/>
    <w:rsid w:val="00E81E5D"/>
    <w:rsid w:val="00E82807"/>
    <w:rsid w:val="00E82EE1"/>
    <w:rsid w:val="00E84590"/>
    <w:rsid w:val="00E87805"/>
    <w:rsid w:val="00E90B5B"/>
    <w:rsid w:val="00E90ED7"/>
    <w:rsid w:val="00E95C55"/>
    <w:rsid w:val="00E96259"/>
    <w:rsid w:val="00E96B14"/>
    <w:rsid w:val="00E975B3"/>
    <w:rsid w:val="00E97DEF"/>
    <w:rsid w:val="00EA1319"/>
    <w:rsid w:val="00EA261B"/>
    <w:rsid w:val="00EA60E9"/>
    <w:rsid w:val="00EB2298"/>
    <w:rsid w:val="00EB4377"/>
    <w:rsid w:val="00EB4A0D"/>
    <w:rsid w:val="00EB4C54"/>
    <w:rsid w:val="00EB55FB"/>
    <w:rsid w:val="00EB58C5"/>
    <w:rsid w:val="00EC0314"/>
    <w:rsid w:val="00EC3DF3"/>
    <w:rsid w:val="00EC50E7"/>
    <w:rsid w:val="00EC5350"/>
    <w:rsid w:val="00EC635E"/>
    <w:rsid w:val="00EC63CE"/>
    <w:rsid w:val="00EC6846"/>
    <w:rsid w:val="00ED052F"/>
    <w:rsid w:val="00ED37D7"/>
    <w:rsid w:val="00ED6CC7"/>
    <w:rsid w:val="00EE28C2"/>
    <w:rsid w:val="00EE571D"/>
    <w:rsid w:val="00EE5C00"/>
    <w:rsid w:val="00EE7886"/>
    <w:rsid w:val="00EF1192"/>
    <w:rsid w:val="00EF1A07"/>
    <w:rsid w:val="00EF2AF9"/>
    <w:rsid w:val="00F0308D"/>
    <w:rsid w:val="00F059B2"/>
    <w:rsid w:val="00F05ADE"/>
    <w:rsid w:val="00F061C2"/>
    <w:rsid w:val="00F069AD"/>
    <w:rsid w:val="00F1034C"/>
    <w:rsid w:val="00F10D0A"/>
    <w:rsid w:val="00F1185A"/>
    <w:rsid w:val="00F12B15"/>
    <w:rsid w:val="00F13E8F"/>
    <w:rsid w:val="00F14007"/>
    <w:rsid w:val="00F1565C"/>
    <w:rsid w:val="00F201CC"/>
    <w:rsid w:val="00F20ECB"/>
    <w:rsid w:val="00F22826"/>
    <w:rsid w:val="00F24E15"/>
    <w:rsid w:val="00F25E3D"/>
    <w:rsid w:val="00F30DA9"/>
    <w:rsid w:val="00F31519"/>
    <w:rsid w:val="00F44FCB"/>
    <w:rsid w:val="00F4561D"/>
    <w:rsid w:val="00F50449"/>
    <w:rsid w:val="00F52375"/>
    <w:rsid w:val="00F53D02"/>
    <w:rsid w:val="00F544DC"/>
    <w:rsid w:val="00F55648"/>
    <w:rsid w:val="00F57065"/>
    <w:rsid w:val="00F602FC"/>
    <w:rsid w:val="00F62C05"/>
    <w:rsid w:val="00F64C9F"/>
    <w:rsid w:val="00F65B3C"/>
    <w:rsid w:val="00F65F18"/>
    <w:rsid w:val="00F66818"/>
    <w:rsid w:val="00F67968"/>
    <w:rsid w:val="00F70943"/>
    <w:rsid w:val="00F72745"/>
    <w:rsid w:val="00F7612F"/>
    <w:rsid w:val="00F767E6"/>
    <w:rsid w:val="00F76F97"/>
    <w:rsid w:val="00F775E0"/>
    <w:rsid w:val="00F8286B"/>
    <w:rsid w:val="00F84E8D"/>
    <w:rsid w:val="00F85804"/>
    <w:rsid w:val="00F92350"/>
    <w:rsid w:val="00F942B8"/>
    <w:rsid w:val="00F9568B"/>
    <w:rsid w:val="00F958B9"/>
    <w:rsid w:val="00F97C21"/>
    <w:rsid w:val="00FA0149"/>
    <w:rsid w:val="00FA284B"/>
    <w:rsid w:val="00FA48D5"/>
    <w:rsid w:val="00FA5751"/>
    <w:rsid w:val="00FA5DC9"/>
    <w:rsid w:val="00FA63CB"/>
    <w:rsid w:val="00FB0BCA"/>
    <w:rsid w:val="00FB1BF4"/>
    <w:rsid w:val="00FB2DEA"/>
    <w:rsid w:val="00FB46FC"/>
    <w:rsid w:val="00FB494A"/>
    <w:rsid w:val="00FB5BD4"/>
    <w:rsid w:val="00FC001B"/>
    <w:rsid w:val="00FC0EFF"/>
    <w:rsid w:val="00FC3050"/>
    <w:rsid w:val="00FC7BF1"/>
    <w:rsid w:val="00FD1157"/>
    <w:rsid w:val="00FD18AC"/>
    <w:rsid w:val="00FD3543"/>
    <w:rsid w:val="00FD3AAA"/>
    <w:rsid w:val="00FD432A"/>
    <w:rsid w:val="00FD4C17"/>
    <w:rsid w:val="00FD5C3C"/>
    <w:rsid w:val="00FD6203"/>
    <w:rsid w:val="00FE0EB0"/>
    <w:rsid w:val="00FE40C6"/>
    <w:rsid w:val="00FE5B4A"/>
    <w:rsid w:val="00FE6097"/>
    <w:rsid w:val="00FF04B9"/>
    <w:rsid w:val="00FF263E"/>
    <w:rsid w:val="00FF4CFA"/>
    <w:rsid w:val="00FF6FF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32DAE"/>
  <w15:chartTrackingRefBased/>
  <w15:docId w15:val="{B2B9ED92-FE93-4A7E-BBEF-81EEECBB4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14:ligatures w14:val="none"/>
    </w:rPr>
  </w:style>
  <w:style w:type="paragraph" w:styleId="Heading1">
    <w:name w:val="heading 1"/>
    <w:basedOn w:val="Normal"/>
    <w:next w:val="Heading2"/>
    <w:link w:val="Heading1Char"/>
    <w:uiPriority w:val="9"/>
    <w:qFormat/>
    <w:rsid w:val="006B6D3E"/>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6B6D3E"/>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6B6D3E"/>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6B6D3E"/>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6B6D3E"/>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6B6D3E"/>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6B6D3E"/>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6B6D3E"/>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6B6D3E"/>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D3E"/>
    <w:rPr>
      <w:rFonts w:ascii="Times New Roman" w:eastAsiaTheme="majorEastAsia" w:hAnsi="Times New Roman" w:cstheme="majorBidi"/>
      <w:b/>
      <w:bCs/>
      <w:sz w:val="28"/>
      <w:szCs w:val="32"/>
      <w:lang w:val="es-ES"/>
    </w:rPr>
  </w:style>
  <w:style w:type="character" w:customStyle="1" w:styleId="Heading2Char">
    <w:name w:val="Heading 2 Char"/>
    <w:basedOn w:val="DefaultParagraphFont"/>
    <w:link w:val="Heading2"/>
    <w:uiPriority w:val="9"/>
    <w:rsid w:val="006B6D3E"/>
    <w:rPr>
      <w:rFonts w:ascii="Times New Roman Bold" w:eastAsiaTheme="majorEastAsia" w:hAnsi="Times New Roman Bold" w:cstheme="majorBidi"/>
      <w:b/>
      <w:kern w:val="0"/>
      <w:szCs w:val="26"/>
      <w:lang w:val="es-ES"/>
      <w14:ligatures w14:val="none"/>
    </w:rPr>
  </w:style>
  <w:style w:type="character" w:customStyle="1" w:styleId="Heading3Char">
    <w:name w:val="Heading 3 Char"/>
    <w:basedOn w:val="DefaultParagraphFont"/>
    <w:link w:val="Heading3"/>
    <w:uiPriority w:val="9"/>
    <w:rsid w:val="006B6D3E"/>
    <w:rPr>
      <w:rFonts w:ascii="Times New Roman" w:eastAsiaTheme="majorEastAsia" w:hAnsi="Times New Roman" w:cs="Times New Roman"/>
      <w:b/>
      <w:bCs/>
      <w:kern w:val="0"/>
      <w:sz w:val="22"/>
      <w:szCs w:val="22"/>
      <w:lang w:val="es-ES"/>
      <w14:ligatures w14:val="none"/>
    </w:rPr>
  </w:style>
  <w:style w:type="character" w:customStyle="1" w:styleId="Heading4Char">
    <w:name w:val="Heading 4 Char"/>
    <w:basedOn w:val="DefaultParagraphFont"/>
    <w:link w:val="Heading4"/>
    <w:uiPriority w:val="9"/>
    <w:rsid w:val="006B6D3E"/>
    <w:rPr>
      <w:rFonts w:ascii="Times New Roman" w:eastAsiaTheme="majorEastAsia" w:hAnsi="Times New Roman" w:cs="Times New Roman"/>
      <w:b/>
      <w:bCs/>
      <w:kern w:val="0"/>
      <w:sz w:val="22"/>
      <w:szCs w:val="22"/>
      <w:lang w:val="es-ES"/>
      <w14:ligatures w14:val="none"/>
    </w:rPr>
  </w:style>
  <w:style w:type="character" w:customStyle="1" w:styleId="Heading5Char">
    <w:name w:val="Heading 5 Char"/>
    <w:basedOn w:val="DefaultParagraphFont"/>
    <w:link w:val="Heading5"/>
    <w:uiPriority w:val="9"/>
    <w:rsid w:val="006B6D3E"/>
    <w:rPr>
      <w:rFonts w:ascii="Times New Roman" w:eastAsiaTheme="majorEastAsia" w:hAnsi="Times New Roman" w:cs="Times New Roman"/>
      <w:i/>
      <w:iCs/>
      <w:kern w:val="0"/>
      <w:sz w:val="22"/>
      <w:szCs w:val="22"/>
      <w:lang w:val="es-ES"/>
      <w14:ligatures w14:val="none"/>
    </w:rPr>
  </w:style>
  <w:style w:type="character" w:customStyle="1" w:styleId="Heading6Char">
    <w:name w:val="Heading 6 Char"/>
    <w:basedOn w:val="DefaultParagraphFont"/>
    <w:link w:val="Heading6"/>
    <w:semiHidden/>
    <w:rsid w:val="006B6D3E"/>
    <w:rPr>
      <w:rFonts w:ascii="Times New Roman" w:eastAsia="SimSun" w:hAnsi="Times New Roman" w:cs="Times New Roman"/>
      <w:bCs/>
      <w:kern w:val="0"/>
      <w:szCs w:val="22"/>
      <w:lang w:val="es-ES"/>
      <w14:ligatures w14:val="none"/>
    </w:rPr>
  </w:style>
  <w:style w:type="character" w:customStyle="1" w:styleId="Heading7Char">
    <w:name w:val="Heading 7 Char"/>
    <w:basedOn w:val="DefaultParagraphFont"/>
    <w:link w:val="Heading7"/>
    <w:semiHidden/>
    <w:rsid w:val="006B6D3E"/>
    <w:rPr>
      <w:rFonts w:ascii="Times New Roman" w:eastAsia="SimSun" w:hAnsi="Times New Roman" w:cs="Times New Roman"/>
      <w:b/>
      <w:snapToGrid w:val="0"/>
      <w:kern w:val="0"/>
      <w:sz w:val="22"/>
      <w:szCs w:val="22"/>
      <w:u w:val="single"/>
      <w:lang w:val="es-ES"/>
      <w14:ligatures w14:val="none"/>
    </w:rPr>
  </w:style>
  <w:style w:type="character" w:customStyle="1" w:styleId="Heading8Char">
    <w:name w:val="Heading 8 Char"/>
    <w:basedOn w:val="DefaultParagraphFont"/>
    <w:link w:val="Heading8"/>
    <w:semiHidden/>
    <w:rsid w:val="006B6D3E"/>
    <w:rPr>
      <w:rFonts w:ascii="Times New Roman" w:eastAsia="SimSun" w:hAnsi="Times New Roman" w:cs="Times New Roman"/>
      <w:b/>
      <w:snapToGrid w:val="0"/>
      <w:kern w:val="0"/>
      <w:sz w:val="22"/>
      <w:szCs w:val="22"/>
      <w:u w:val="single"/>
      <w:lang w:val="es-ES"/>
      <w14:ligatures w14:val="none"/>
    </w:rPr>
  </w:style>
  <w:style w:type="character" w:customStyle="1" w:styleId="Heading9Char">
    <w:name w:val="Heading 9 Char"/>
    <w:basedOn w:val="DefaultParagraphFont"/>
    <w:link w:val="Heading9"/>
    <w:semiHidden/>
    <w:rsid w:val="006B6D3E"/>
    <w:rPr>
      <w:rFonts w:ascii="Times New Roman" w:eastAsia="SimSun" w:hAnsi="Times New Roman" w:cs="Times New Roman"/>
      <w:snapToGrid w:val="0"/>
      <w:kern w:val="0"/>
      <w:sz w:val="22"/>
      <w:szCs w:val="22"/>
      <w:u w:val="single"/>
      <w:lang w:val="es-ES"/>
      <w14:ligatures w14:val="none"/>
    </w:rPr>
  </w:style>
  <w:style w:type="paragraph" w:styleId="Title">
    <w:name w:val="Title"/>
    <w:basedOn w:val="Normal"/>
    <w:next w:val="Normal"/>
    <w:link w:val="TitleCh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983"/>
    <w:rPr>
      <w:rFonts w:asciiTheme="majorHAnsi" w:eastAsiaTheme="majorEastAsia" w:hAnsiTheme="majorHAnsi" w:cstheme="majorBidi"/>
      <w:spacing w:val="-10"/>
      <w:kern w:val="28"/>
      <w:sz w:val="56"/>
      <w:szCs w:val="56"/>
      <w:lang w:val="es-ES"/>
      <w14:ligatures w14:val="none"/>
    </w:rPr>
  </w:style>
  <w:style w:type="paragraph" w:styleId="Subtitle">
    <w:name w:val="Subtitle"/>
    <w:basedOn w:val="Normal"/>
    <w:next w:val="Normal"/>
    <w:link w:val="SubtitleCh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983"/>
    <w:rPr>
      <w:rFonts w:ascii="Times New Roman" w:eastAsiaTheme="majorEastAsia" w:hAnsi="Times New Roman" w:cstheme="majorBidi"/>
      <w:color w:val="595959" w:themeColor="text1" w:themeTint="A6"/>
      <w:spacing w:val="15"/>
      <w:kern w:val="0"/>
      <w:sz w:val="28"/>
      <w:szCs w:val="28"/>
      <w:lang w:val="es-ES"/>
      <w14:ligatures w14:val="none"/>
    </w:rPr>
  </w:style>
  <w:style w:type="paragraph" w:styleId="Quote">
    <w:name w:val="Quote"/>
    <w:basedOn w:val="Normal"/>
    <w:next w:val="Normal"/>
    <w:link w:val="QuoteChar"/>
    <w:uiPriority w:val="29"/>
    <w:qFormat/>
    <w:rsid w:val="004C2983"/>
    <w:pPr>
      <w:spacing w:before="160"/>
      <w:jc w:val="center"/>
    </w:pPr>
    <w:rPr>
      <w:i/>
      <w:iCs/>
      <w:color w:val="404040" w:themeColor="text1" w:themeTint="BF"/>
    </w:rPr>
  </w:style>
  <w:style w:type="character" w:customStyle="1" w:styleId="QuoteChar">
    <w:name w:val="Quote Char"/>
    <w:basedOn w:val="DefaultParagraphFont"/>
    <w:link w:val="Quote"/>
    <w:uiPriority w:val="29"/>
    <w:rsid w:val="004C2983"/>
    <w:rPr>
      <w:rFonts w:ascii="Times New Roman" w:eastAsia="SimSun" w:hAnsi="Times New Roman" w:cs="Times New Roman"/>
      <w:i/>
      <w:iCs/>
      <w:color w:val="404040" w:themeColor="text1" w:themeTint="BF"/>
      <w:kern w:val="0"/>
      <w:sz w:val="22"/>
      <w:szCs w:val="22"/>
      <w:lang w:val="es-ES"/>
      <w14:ligatures w14:val="none"/>
    </w:rPr>
  </w:style>
  <w:style w:type="paragraph" w:styleId="ListParagraph">
    <w:name w:val="List Paragraph"/>
    <w:basedOn w:val="Normal"/>
    <w:uiPriority w:val="34"/>
    <w:qFormat/>
    <w:rsid w:val="006B6D3E"/>
    <w:pPr>
      <w:ind w:left="720"/>
      <w:contextualSpacing/>
    </w:pPr>
  </w:style>
  <w:style w:type="character" w:styleId="IntenseEmphasis">
    <w:name w:val="Intense Emphasis"/>
    <w:basedOn w:val="DefaultParagraphFont"/>
    <w:uiPriority w:val="21"/>
    <w:qFormat/>
    <w:rsid w:val="004C2983"/>
    <w:rPr>
      <w:i/>
      <w:iCs/>
      <w:color w:val="0F4761" w:themeColor="accent1" w:themeShade="BF"/>
      <w:lang w:val="es-ES"/>
    </w:rPr>
  </w:style>
  <w:style w:type="paragraph" w:styleId="IntenseQuote">
    <w:name w:val="Intense Quote"/>
    <w:basedOn w:val="Normal"/>
    <w:next w:val="Normal"/>
    <w:link w:val="IntenseQuoteCh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983"/>
    <w:rPr>
      <w:rFonts w:ascii="Times New Roman" w:eastAsia="SimSun" w:hAnsi="Times New Roman" w:cs="Times New Roman"/>
      <w:i/>
      <w:iCs/>
      <w:color w:val="0F4761" w:themeColor="accent1" w:themeShade="BF"/>
      <w:kern w:val="0"/>
      <w:sz w:val="22"/>
      <w:szCs w:val="22"/>
      <w:lang w:val="es-ES"/>
      <w14:ligatures w14:val="none"/>
    </w:rPr>
  </w:style>
  <w:style w:type="character" w:styleId="IntenseReference">
    <w:name w:val="Intense Reference"/>
    <w:basedOn w:val="DefaultParagraphFont"/>
    <w:uiPriority w:val="32"/>
    <w:qFormat/>
    <w:rsid w:val="004C2983"/>
    <w:rPr>
      <w:b/>
      <w:bCs/>
      <w:smallCaps/>
      <w:color w:val="0F4761" w:themeColor="accent1" w:themeShade="BF"/>
      <w:spacing w:val="5"/>
      <w:lang w:val="es-ES"/>
    </w:rPr>
  </w:style>
  <w:style w:type="paragraph" w:styleId="Revision">
    <w:name w:val="Revision"/>
    <w:hidden/>
    <w:uiPriority w:val="99"/>
    <w:semiHidden/>
    <w:rsid w:val="006B6D3E"/>
    <w:pPr>
      <w:spacing w:after="0" w:line="240" w:lineRule="auto"/>
    </w:pPr>
    <w:rPr>
      <w:rFonts w:ascii="Simplified Arabic" w:eastAsia="Times New Roman" w:hAnsi="Simplified Arabic" w:cs="Simplified Arabic"/>
      <w:noProof/>
      <w:kern w:val="0"/>
      <w14:ligatures w14:val="none"/>
    </w:rPr>
  </w:style>
  <w:style w:type="paragraph" w:customStyle="1" w:styleId="DarkList-Accent31">
    <w:name w:val="Dark List - Accent 31"/>
    <w:hidden/>
    <w:uiPriority w:val="99"/>
    <w:semiHidden/>
    <w:rsid w:val="006B6D3E"/>
    <w:pPr>
      <w:spacing w:after="0" w:line="240" w:lineRule="auto"/>
    </w:pPr>
    <w:rPr>
      <w:rFonts w:ascii="Times New Roman" w:eastAsia="SimSun" w:hAnsi="Times New Roman" w:cs="Times New Roman"/>
      <w:kern w:val="0"/>
      <w:sz w:val="22"/>
      <w:szCs w:val="22"/>
      <w:lang w:eastAsia="en-GB"/>
      <w14:ligatures w14:val="none"/>
    </w:rPr>
  </w:style>
  <w:style w:type="paragraph" w:customStyle="1" w:styleId="CBDNormalNoNumber">
    <w:name w:val="CBD_Normal_NoNumber"/>
    <w:basedOn w:val="CBDNormal"/>
    <w:qFormat/>
    <w:rsid w:val="006B6D3E"/>
    <w:pPr>
      <w:spacing w:after="120"/>
      <w:ind w:left="567"/>
    </w:pPr>
  </w:style>
  <w:style w:type="character" w:styleId="FootnoteReference">
    <w:name w:val="footnote reference"/>
    <w:basedOn w:val="DefaultParagraphFont"/>
    <w:uiPriority w:val="99"/>
    <w:semiHidden/>
    <w:unhideWhenUsed/>
    <w:rsid w:val="006B6D3E"/>
    <w:rPr>
      <w:vertAlign w:val="superscript"/>
      <w:lang w:val="es-ES"/>
    </w:rPr>
  </w:style>
  <w:style w:type="paragraph" w:customStyle="1" w:styleId="Footnote">
    <w:name w:val="Footnote"/>
    <w:basedOn w:val="FootnoteText"/>
    <w:semiHidden/>
    <w:qFormat/>
    <w:rsid w:val="006B6D3E"/>
    <w:rPr>
      <w:szCs w:val="18"/>
    </w:rPr>
  </w:style>
  <w:style w:type="paragraph" w:styleId="Header">
    <w:name w:val="header"/>
    <w:basedOn w:val="Normal"/>
    <w:link w:val="HeaderChar"/>
    <w:semiHidden/>
    <w:rsid w:val="006B6D3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6B6D3E"/>
    <w:rPr>
      <w:rFonts w:ascii="Times New Roman" w:eastAsia="SimSun" w:hAnsi="Times New Roman" w:cs="Times New Roman"/>
      <w:kern w:val="0"/>
      <w:sz w:val="20"/>
      <w:szCs w:val="22"/>
      <w:lang w:val="es-ES"/>
      <w14:ligatures w14:val="none"/>
    </w:rPr>
  </w:style>
  <w:style w:type="paragraph" w:styleId="Footer">
    <w:name w:val="footer"/>
    <w:basedOn w:val="Normal"/>
    <w:link w:val="FooterChar"/>
    <w:uiPriority w:val="99"/>
    <w:rsid w:val="006B6D3E"/>
    <w:pPr>
      <w:tabs>
        <w:tab w:val="center" w:pos="4680"/>
        <w:tab w:val="right" w:pos="9360"/>
      </w:tabs>
    </w:pPr>
    <w:rPr>
      <w:sz w:val="20"/>
    </w:rPr>
  </w:style>
  <w:style w:type="character" w:customStyle="1" w:styleId="FooterChar">
    <w:name w:val="Footer Char"/>
    <w:basedOn w:val="DefaultParagraphFont"/>
    <w:link w:val="Footer"/>
    <w:uiPriority w:val="99"/>
    <w:rsid w:val="006B6D3E"/>
    <w:rPr>
      <w:rFonts w:ascii="Times New Roman" w:eastAsia="SimSun" w:hAnsi="Times New Roman" w:cs="Times New Roman"/>
      <w:kern w:val="0"/>
      <w:sz w:val="20"/>
      <w:szCs w:val="22"/>
      <w:lang w:val="es-ES"/>
      <w14:ligatures w14:val="none"/>
    </w:rPr>
  </w:style>
  <w:style w:type="paragraph" w:customStyle="1" w:styleId="Annex">
    <w:name w:val="Annex"/>
    <w:basedOn w:val="Normal"/>
    <w:semiHidden/>
    <w:qFormat/>
    <w:rsid w:val="006B6D3E"/>
    <w:pPr>
      <w:spacing w:after="240"/>
    </w:pPr>
    <w:rPr>
      <w:b/>
      <w:sz w:val="28"/>
    </w:rPr>
  </w:style>
  <w:style w:type="paragraph" w:customStyle="1" w:styleId="ABSymbol">
    <w:name w:val="AB_Symbol"/>
    <w:basedOn w:val="Normal"/>
    <w:qFormat/>
    <w:rsid w:val="006B6D3E"/>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6B6D3E"/>
    <w:pPr>
      <w:numPr>
        <w:numId w:val="9"/>
      </w:numPr>
      <w:tabs>
        <w:tab w:val="left" w:pos="3969"/>
      </w:tabs>
      <w:spacing w:before="120" w:after="120"/>
    </w:pPr>
  </w:style>
  <w:style w:type="paragraph" w:customStyle="1" w:styleId="AFCorNNormal">
    <w:name w:val="AF_CorNNormal"/>
    <w:basedOn w:val="Normal"/>
    <w:unhideWhenUsed/>
    <w:rsid w:val="006B6D3E"/>
    <w:pPr>
      <w:jc w:val="left"/>
    </w:pPr>
  </w:style>
  <w:style w:type="paragraph" w:customStyle="1" w:styleId="AEDistrNormal">
    <w:name w:val="AE_DistrNormal"/>
    <w:basedOn w:val="Normal"/>
    <w:unhideWhenUsed/>
    <w:rsid w:val="006B6D3E"/>
    <w:pPr>
      <w:jc w:val="left"/>
    </w:pPr>
  </w:style>
  <w:style w:type="paragraph" w:customStyle="1" w:styleId="AASmallLogo">
    <w:name w:val="AA_SmallLogo"/>
    <w:basedOn w:val="AEDistrNormal"/>
    <w:unhideWhenUsed/>
    <w:rsid w:val="006B6D3E"/>
    <w:pPr>
      <w:spacing w:before="40"/>
    </w:pPr>
    <w:rPr>
      <w:sz w:val="4"/>
    </w:rPr>
  </w:style>
  <w:style w:type="paragraph" w:customStyle="1" w:styleId="ACLargeLogo">
    <w:name w:val="AC_LargeLogo"/>
    <w:basedOn w:val="AFCorNNormal"/>
    <w:next w:val="AISpacer"/>
    <w:unhideWhenUsed/>
    <w:rsid w:val="006B6D3E"/>
    <w:pPr>
      <w:spacing w:before="120"/>
      <w:contextualSpacing/>
    </w:pPr>
    <w:rPr>
      <w:sz w:val="8"/>
    </w:rPr>
  </w:style>
  <w:style w:type="paragraph" w:styleId="FootnoteText">
    <w:name w:val="footnote text"/>
    <w:basedOn w:val="Normal"/>
    <w:link w:val="FootnoteTextChar"/>
    <w:uiPriority w:val="99"/>
    <w:semiHidden/>
    <w:unhideWhenUsed/>
    <w:rsid w:val="006B6D3E"/>
    <w:pPr>
      <w:jc w:val="left"/>
    </w:pPr>
    <w:rPr>
      <w:sz w:val="18"/>
      <w:szCs w:val="20"/>
    </w:rPr>
  </w:style>
  <w:style w:type="character" w:customStyle="1" w:styleId="FootnoteTextChar">
    <w:name w:val="Footnote Text Char"/>
    <w:basedOn w:val="DefaultParagraphFont"/>
    <w:link w:val="FootnoteText"/>
    <w:uiPriority w:val="99"/>
    <w:semiHidden/>
    <w:rsid w:val="006B6D3E"/>
    <w:rPr>
      <w:rFonts w:ascii="Times New Roman" w:eastAsia="SimSun" w:hAnsi="Times New Roman" w:cs="Times New Roman"/>
      <w:kern w:val="0"/>
      <w:sz w:val="18"/>
      <w:szCs w:val="20"/>
      <w:lang w:val="es-ES"/>
      <w14:ligatures w14:val="none"/>
    </w:rPr>
  </w:style>
  <w:style w:type="paragraph" w:styleId="BodyText">
    <w:name w:val="Body Text"/>
    <w:basedOn w:val="Normal"/>
    <w:link w:val="BodyTextChar"/>
    <w:uiPriority w:val="99"/>
    <w:semiHidden/>
    <w:unhideWhenUsed/>
    <w:rsid w:val="006B6D3E"/>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6B6D3E"/>
    <w:rPr>
      <w:sz w:val="22"/>
      <w:szCs w:val="22"/>
      <w:lang w:val="es-ES"/>
    </w:rPr>
  </w:style>
  <w:style w:type="character" w:styleId="CommentReference">
    <w:name w:val="annotation reference"/>
    <w:basedOn w:val="DefaultParagraphFont"/>
    <w:uiPriority w:val="99"/>
    <w:semiHidden/>
    <w:unhideWhenUsed/>
    <w:rsid w:val="006B6D3E"/>
    <w:rPr>
      <w:sz w:val="16"/>
      <w:szCs w:val="16"/>
      <w:lang w:val="es-ES"/>
    </w:rPr>
  </w:style>
  <w:style w:type="paragraph" w:styleId="CommentText">
    <w:name w:val="annotation text"/>
    <w:basedOn w:val="Normal"/>
    <w:link w:val="CommentTextChar"/>
    <w:uiPriority w:val="99"/>
    <w:semiHidden/>
    <w:rsid w:val="006B6D3E"/>
    <w:rPr>
      <w:sz w:val="20"/>
      <w:szCs w:val="20"/>
    </w:rPr>
  </w:style>
  <w:style w:type="character" w:customStyle="1" w:styleId="CommentTextChar">
    <w:name w:val="Comment Text Char"/>
    <w:basedOn w:val="DefaultParagraphFont"/>
    <w:link w:val="CommentText"/>
    <w:uiPriority w:val="99"/>
    <w:semiHidden/>
    <w:rsid w:val="006B6D3E"/>
    <w:rPr>
      <w:rFonts w:ascii="Times New Roman" w:eastAsia="SimSun" w:hAnsi="Times New Roman" w:cs="Times New Roman"/>
      <w:kern w:val="0"/>
      <w:sz w:val="20"/>
      <w:szCs w:val="20"/>
      <w:lang w:val="es-ES"/>
      <w14:ligatures w14:val="none"/>
    </w:rPr>
  </w:style>
  <w:style w:type="paragraph" w:styleId="CommentSubject">
    <w:name w:val="annotation subject"/>
    <w:basedOn w:val="CommentText"/>
    <w:next w:val="CommentText"/>
    <w:link w:val="CommentSubjectChar"/>
    <w:uiPriority w:val="99"/>
    <w:semiHidden/>
    <w:unhideWhenUsed/>
    <w:rsid w:val="006B6D3E"/>
    <w:rPr>
      <w:b/>
      <w:bCs/>
    </w:rPr>
  </w:style>
  <w:style w:type="character" w:customStyle="1" w:styleId="CommentSubjectChar">
    <w:name w:val="Comment Subject Char"/>
    <w:basedOn w:val="CommentTextChar"/>
    <w:link w:val="CommentSubject"/>
    <w:uiPriority w:val="99"/>
    <w:semiHidden/>
    <w:rsid w:val="006B6D3E"/>
    <w:rPr>
      <w:rFonts w:ascii="Times New Roman" w:eastAsia="SimSun" w:hAnsi="Times New Roman" w:cs="Times New Roman"/>
      <w:b/>
      <w:bCs/>
      <w:kern w:val="0"/>
      <w:sz w:val="20"/>
      <w:szCs w:val="20"/>
      <w:lang w:val="es-ES"/>
      <w14:ligatures w14:val="none"/>
    </w:rPr>
  </w:style>
  <w:style w:type="paragraph" w:customStyle="1" w:styleId="Item">
    <w:name w:val="Item"/>
    <w:basedOn w:val="Normal"/>
    <w:semiHidden/>
    <w:qFormat/>
    <w:rsid w:val="006B6D3E"/>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6B6D3E"/>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14:ligatures w14:val="none"/>
    </w:rPr>
  </w:style>
  <w:style w:type="paragraph" w:styleId="List">
    <w:name w:val="List"/>
    <w:basedOn w:val="Normal"/>
    <w:semiHidden/>
    <w:rsid w:val="006B6D3E"/>
    <w:pPr>
      <w:contextualSpacing/>
    </w:pPr>
  </w:style>
  <w:style w:type="numbering" w:customStyle="1" w:styleId="ListCBD">
    <w:name w:val="ListCBD"/>
    <w:basedOn w:val="NoList"/>
    <w:uiPriority w:val="99"/>
    <w:rsid w:val="006B6D3E"/>
    <w:pPr>
      <w:numPr>
        <w:numId w:val="7"/>
      </w:numPr>
    </w:pPr>
  </w:style>
  <w:style w:type="numbering" w:customStyle="1" w:styleId="CBDHeadings">
    <w:name w:val="CBD_Headings"/>
    <w:basedOn w:val="ListCBD"/>
    <w:uiPriority w:val="99"/>
    <w:rsid w:val="006B6D3E"/>
    <w:pPr>
      <w:numPr>
        <w:numId w:val="8"/>
      </w:numPr>
    </w:pPr>
  </w:style>
  <w:style w:type="paragraph" w:customStyle="1" w:styleId="AISpacer">
    <w:name w:val="AI_Spacer"/>
    <w:next w:val="Normal"/>
    <w:unhideWhenUsed/>
    <w:qFormat/>
    <w:rsid w:val="006B6D3E"/>
    <w:pPr>
      <w:spacing w:after="0" w:line="240" w:lineRule="auto"/>
    </w:pPr>
    <w:rPr>
      <w:rFonts w:ascii="Times New Roman" w:eastAsia="SimSun" w:hAnsi="Times New Roman" w:cs="Times New Roman"/>
      <w:kern w:val="0"/>
      <w:sz w:val="2"/>
      <w:szCs w:val="22"/>
      <w14:ligatures w14:val="none"/>
    </w:rPr>
  </w:style>
  <w:style w:type="paragraph" w:customStyle="1" w:styleId="AEDistrNormal6pt">
    <w:name w:val="AE_DistrNormal6pt"/>
    <w:basedOn w:val="AEDistrNormal"/>
    <w:next w:val="AFCorNNormal"/>
    <w:unhideWhenUsed/>
    <w:qFormat/>
    <w:rsid w:val="006B6D3E"/>
    <w:pPr>
      <w:spacing w:before="120"/>
    </w:pPr>
  </w:style>
  <w:style w:type="paragraph" w:customStyle="1" w:styleId="AFCorNBold">
    <w:name w:val="AF_CorNBold"/>
    <w:basedOn w:val="AFCorNNormal"/>
    <w:next w:val="AFCorNNormal"/>
    <w:unhideWhenUsed/>
    <w:qFormat/>
    <w:rsid w:val="006B6D3E"/>
    <w:rPr>
      <w:b/>
    </w:rPr>
  </w:style>
  <w:style w:type="paragraph" w:customStyle="1" w:styleId="AFCorN12Bold">
    <w:name w:val="AF_CorN12Bold"/>
    <w:basedOn w:val="AFCorNNormal"/>
    <w:next w:val="AFCorNNormal"/>
    <w:unhideWhenUsed/>
    <w:qFormat/>
    <w:rsid w:val="006B6D3E"/>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6B6D3E"/>
    <w:pPr>
      <w:spacing w:after="120"/>
      <w:ind w:left="567" w:firstLine="567"/>
    </w:pPr>
  </w:style>
  <w:style w:type="paragraph" w:customStyle="1" w:styleId="CBDDesicionAnnex">
    <w:name w:val="CBD_DesicionAnnex"/>
    <w:basedOn w:val="CBDNormal"/>
    <w:next w:val="CBDDesicionText"/>
    <w:qFormat/>
    <w:rsid w:val="006B6D3E"/>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6B6D3E"/>
    <w:rPr>
      <w:rFonts w:ascii="Times New Roman" w:hAnsi="Times New Roman"/>
      <w:color w:val="467886" w:themeColor="hyperlink"/>
      <w:u w:val="single"/>
      <w:lang w:val="es-ES"/>
    </w:rPr>
  </w:style>
  <w:style w:type="paragraph" w:customStyle="1" w:styleId="CBDAnnex">
    <w:name w:val="CBD_Annex"/>
    <w:basedOn w:val="CBDNormal"/>
    <w:next w:val="CBDTitle"/>
    <w:qFormat/>
    <w:rsid w:val="006B6D3E"/>
    <w:pPr>
      <w:keepNext/>
      <w:keepLines/>
      <w:spacing w:after="240"/>
      <w:jc w:val="left"/>
    </w:pPr>
    <w:rPr>
      <w:b/>
      <w:sz w:val="28"/>
      <w:lang w:bidi="ar-SY"/>
    </w:rPr>
  </w:style>
  <w:style w:type="paragraph" w:customStyle="1" w:styleId="CBDSubTitle">
    <w:name w:val="CBD_SubTitle"/>
    <w:basedOn w:val="CBDNormal"/>
    <w:qFormat/>
    <w:rsid w:val="006B6D3E"/>
    <w:pPr>
      <w:keepNext/>
      <w:keepLines/>
      <w:spacing w:before="240" w:after="240"/>
      <w:ind w:left="567"/>
      <w:jc w:val="left"/>
    </w:pPr>
    <w:rPr>
      <w:b/>
    </w:rPr>
  </w:style>
  <w:style w:type="paragraph" w:customStyle="1" w:styleId="CBDTitle">
    <w:name w:val="CBD_Title"/>
    <w:basedOn w:val="CBDNormal"/>
    <w:next w:val="CBDSubTitle"/>
    <w:qFormat/>
    <w:rsid w:val="006B6D3E"/>
    <w:pPr>
      <w:keepNext/>
      <w:keepLines/>
      <w:spacing w:before="240" w:after="240"/>
      <w:ind w:left="567"/>
      <w:jc w:val="left"/>
    </w:pPr>
    <w:rPr>
      <w:b/>
      <w:sz w:val="28"/>
    </w:rPr>
  </w:style>
  <w:style w:type="paragraph" w:customStyle="1" w:styleId="AENormal">
    <w:name w:val="AE_Normal"/>
    <w:basedOn w:val="Normal"/>
    <w:rsid w:val="006B6D3E"/>
  </w:style>
  <w:style w:type="paragraph" w:customStyle="1" w:styleId="CBDH1">
    <w:name w:val="CBD_H1"/>
    <w:basedOn w:val="CBDNormal"/>
    <w:qFormat/>
    <w:rsid w:val="006B6D3E"/>
    <w:pPr>
      <w:keepNext/>
      <w:keepLines/>
      <w:spacing w:before="240" w:after="120"/>
      <w:ind w:left="567" w:hanging="567"/>
      <w:jc w:val="left"/>
      <w:outlineLvl w:val="0"/>
    </w:pPr>
    <w:rPr>
      <w:b/>
      <w:sz w:val="28"/>
    </w:rPr>
  </w:style>
  <w:style w:type="paragraph" w:customStyle="1" w:styleId="CBDH2">
    <w:name w:val="CBD_H2"/>
    <w:basedOn w:val="CBDNormalNumber"/>
    <w:qFormat/>
    <w:rsid w:val="006B6D3E"/>
    <w:pPr>
      <w:keepNext/>
      <w:keepLines/>
      <w:numPr>
        <w:numId w:val="0"/>
      </w:numPr>
      <w:ind w:left="567" w:hanging="567"/>
    </w:pPr>
    <w:rPr>
      <w:b/>
      <w:sz w:val="24"/>
    </w:rPr>
  </w:style>
  <w:style w:type="paragraph" w:customStyle="1" w:styleId="CBDFootnoteText">
    <w:name w:val="CBD_Footnote_Text"/>
    <w:basedOn w:val="CBDNormal"/>
    <w:qFormat/>
    <w:rsid w:val="006B6D3E"/>
    <w:pPr>
      <w:jc w:val="left"/>
    </w:pPr>
    <w:rPr>
      <w:sz w:val="18"/>
    </w:rPr>
  </w:style>
  <w:style w:type="paragraph" w:customStyle="1" w:styleId="CBDFooter">
    <w:name w:val="CBD_Footer"/>
    <w:basedOn w:val="CBDNormal"/>
    <w:qFormat/>
    <w:rsid w:val="006B6D3E"/>
    <w:rPr>
      <w:sz w:val="20"/>
    </w:rPr>
  </w:style>
  <w:style w:type="paragraph" w:customStyle="1" w:styleId="CBDHeader">
    <w:name w:val="CBD_Header"/>
    <w:basedOn w:val="CBDNormal"/>
    <w:next w:val="CBDFooter"/>
    <w:qFormat/>
    <w:rsid w:val="006B6D3E"/>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6B6D3E"/>
    <w:pPr>
      <w:keepNext/>
      <w:keepLines/>
      <w:spacing w:before="120" w:after="120"/>
      <w:ind w:left="567" w:hanging="567"/>
      <w:jc w:val="left"/>
    </w:pPr>
    <w:rPr>
      <w:b/>
    </w:rPr>
  </w:style>
  <w:style w:type="paragraph" w:customStyle="1" w:styleId="CBDH4">
    <w:name w:val="CBD_H4"/>
    <w:basedOn w:val="CBDNormal"/>
    <w:rsid w:val="006B6D3E"/>
    <w:pPr>
      <w:keepNext/>
      <w:keepLines/>
      <w:spacing w:before="120" w:after="120"/>
      <w:ind w:left="567" w:hanging="567"/>
      <w:jc w:val="left"/>
    </w:pPr>
    <w:rPr>
      <w:b/>
    </w:rPr>
  </w:style>
  <w:style w:type="paragraph" w:customStyle="1" w:styleId="CBDH5">
    <w:name w:val="CBD_H5"/>
    <w:basedOn w:val="CBDNormal"/>
    <w:qFormat/>
    <w:rsid w:val="006B6D3E"/>
    <w:pPr>
      <w:keepNext/>
      <w:keepLines/>
      <w:spacing w:before="120" w:after="120"/>
      <w:ind w:left="567" w:hanging="567"/>
      <w:jc w:val="left"/>
    </w:pPr>
    <w:rPr>
      <w:i/>
    </w:rPr>
  </w:style>
  <w:style w:type="paragraph" w:customStyle="1" w:styleId="CBDTableNormal">
    <w:name w:val="CBD_TableNormal"/>
    <w:basedOn w:val="CBDNormal"/>
    <w:qFormat/>
    <w:rsid w:val="006B6D3E"/>
    <w:pPr>
      <w:spacing w:before="40" w:after="80"/>
      <w:jc w:val="left"/>
    </w:pPr>
    <w:rPr>
      <w:sz w:val="20"/>
    </w:rPr>
  </w:style>
  <w:style w:type="paragraph" w:customStyle="1" w:styleId="CBDTableTitle">
    <w:name w:val="CBD_TableTitle"/>
    <w:basedOn w:val="CBDNormal"/>
    <w:qFormat/>
    <w:rsid w:val="006B6D3E"/>
    <w:pPr>
      <w:keepNext/>
      <w:keepLines/>
      <w:spacing w:before="120" w:after="60"/>
      <w:ind w:left="567"/>
      <w:jc w:val="left"/>
    </w:pPr>
    <w:rPr>
      <w:b/>
    </w:rPr>
  </w:style>
  <w:style w:type="paragraph" w:customStyle="1" w:styleId="CBDFigureTitle">
    <w:name w:val="CBD_FigureTitle"/>
    <w:basedOn w:val="CBDNormal"/>
    <w:next w:val="CBDNormalNoNumber"/>
    <w:qFormat/>
    <w:rsid w:val="006B6D3E"/>
    <w:pPr>
      <w:keepNext/>
      <w:keepLines/>
      <w:spacing w:before="120" w:after="60"/>
      <w:ind w:left="567"/>
      <w:jc w:val="left"/>
    </w:pPr>
    <w:rPr>
      <w:b/>
    </w:rPr>
  </w:style>
  <w:style w:type="paragraph" w:styleId="TOC1">
    <w:name w:val="toc 1"/>
    <w:basedOn w:val="CBDNormal"/>
    <w:next w:val="Normal"/>
    <w:autoRedefine/>
    <w:uiPriority w:val="39"/>
    <w:unhideWhenUsed/>
    <w:rsid w:val="006B6D3E"/>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6B6D3E"/>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B6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D3E"/>
    <w:rPr>
      <w:rFonts w:ascii="Segoe UI" w:eastAsia="SimSun" w:hAnsi="Segoe UI" w:cs="Segoe UI"/>
      <w:kern w:val="0"/>
      <w:sz w:val="18"/>
      <w:szCs w:val="18"/>
      <w:lang w:val="es-ES"/>
      <w14:ligatures w14:val="none"/>
    </w:rPr>
  </w:style>
  <w:style w:type="paragraph" w:styleId="Bibliography">
    <w:name w:val="Bibliography"/>
    <w:basedOn w:val="Normal"/>
    <w:next w:val="Normal"/>
    <w:uiPriority w:val="37"/>
    <w:semiHidden/>
    <w:unhideWhenUsed/>
    <w:rsid w:val="006B6D3E"/>
  </w:style>
  <w:style w:type="paragraph" w:styleId="BlockText">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6B6D3E"/>
    <w:pPr>
      <w:spacing w:after="120" w:line="480" w:lineRule="auto"/>
    </w:pPr>
  </w:style>
  <w:style w:type="character" w:customStyle="1" w:styleId="BodyText2Char">
    <w:name w:val="Body Text 2 Char"/>
    <w:basedOn w:val="DefaultParagraphFont"/>
    <w:link w:val="BodyText2"/>
    <w:uiPriority w:val="99"/>
    <w:semiHidden/>
    <w:rsid w:val="006B6D3E"/>
    <w:rPr>
      <w:rFonts w:ascii="Times New Roman" w:eastAsia="SimSun" w:hAnsi="Times New Roman" w:cs="Times New Roman"/>
      <w:kern w:val="0"/>
      <w:sz w:val="22"/>
      <w:szCs w:val="22"/>
      <w:lang w:val="es-ES"/>
      <w14:ligatures w14:val="none"/>
    </w:rPr>
  </w:style>
  <w:style w:type="paragraph" w:styleId="BodyText3">
    <w:name w:val="Body Text 3"/>
    <w:basedOn w:val="Normal"/>
    <w:link w:val="BodyText3Char"/>
    <w:uiPriority w:val="99"/>
    <w:semiHidden/>
    <w:unhideWhenUsed/>
    <w:rsid w:val="006B6D3E"/>
    <w:pPr>
      <w:spacing w:after="120"/>
    </w:pPr>
    <w:rPr>
      <w:sz w:val="16"/>
      <w:szCs w:val="16"/>
    </w:rPr>
  </w:style>
  <w:style w:type="character" w:customStyle="1" w:styleId="BodyText3Char">
    <w:name w:val="Body Text 3 Char"/>
    <w:basedOn w:val="DefaultParagraphFont"/>
    <w:link w:val="BodyText3"/>
    <w:uiPriority w:val="99"/>
    <w:semiHidden/>
    <w:rsid w:val="006B6D3E"/>
    <w:rPr>
      <w:rFonts w:ascii="Times New Roman" w:eastAsia="SimSun" w:hAnsi="Times New Roman" w:cs="Times New Roman"/>
      <w:kern w:val="0"/>
      <w:sz w:val="16"/>
      <w:szCs w:val="16"/>
      <w:lang w:val="es-ES"/>
      <w14:ligatures w14:val="none"/>
    </w:rPr>
  </w:style>
  <w:style w:type="paragraph" w:styleId="BodyTextFirstIndent">
    <w:name w:val="Body Text First Indent"/>
    <w:basedOn w:val="BodyText"/>
    <w:link w:val="BodyTextFirstIndentCh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6B6D3E"/>
    <w:rPr>
      <w:rFonts w:ascii="Times New Roman" w:eastAsia="SimSun" w:hAnsi="Times New Roman" w:cs="Times New Roman"/>
      <w:kern w:val="0"/>
      <w:sz w:val="22"/>
      <w:szCs w:val="22"/>
      <w:lang w:val="es-ES"/>
      <w14:ligatures w14:val="none"/>
    </w:rPr>
  </w:style>
  <w:style w:type="paragraph" w:styleId="BodyTextIndent">
    <w:name w:val="Body Text Indent"/>
    <w:basedOn w:val="Normal"/>
    <w:link w:val="BodyTextIndentChar"/>
    <w:uiPriority w:val="99"/>
    <w:semiHidden/>
    <w:unhideWhenUsed/>
    <w:rsid w:val="006B6D3E"/>
    <w:pPr>
      <w:spacing w:after="120"/>
      <w:ind w:left="283"/>
    </w:pPr>
  </w:style>
  <w:style w:type="character" w:customStyle="1" w:styleId="BodyTextIndentChar">
    <w:name w:val="Body Text Indent Char"/>
    <w:basedOn w:val="DefaultParagraphFont"/>
    <w:link w:val="BodyTextIndent"/>
    <w:uiPriority w:val="99"/>
    <w:semiHidden/>
    <w:rsid w:val="006B6D3E"/>
    <w:rPr>
      <w:rFonts w:ascii="Times New Roman" w:eastAsia="SimSun" w:hAnsi="Times New Roman" w:cs="Times New Roman"/>
      <w:kern w:val="0"/>
      <w:sz w:val="22"/>
      <w:szCs w:val="22"/>
      <w:lang w:val="es-ES"/>
      <w14:ligatures w14:val="none"/>
    </w:rPr>
  </w:style>
  <w:style w:type="paragraph" w:styleId="BodyTextFirstIndent2">
    <w:name w:val="Body Text First Indent 2"/>
    <w:basedOn w:val="BodyTextIndent"/>
    <w:link w:val="BodyTextFirstIndent2Char"/>
    <w:uiPriority w:val="99"/>
    <w:semiHidden/>
    <w:unhideWhenUsed/>
    <w:rsid w:val="006B6D3E"/>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6D3E"/>
    <w:rPr>
      <w:rFonts w:ascii="Times New Roman" w:eastAsia="SimSun" w:hAnsi="Times New Roman" w:cs="Times New Roman"/>
      <w:kern w:val="0"/>
      <w:sz w:val="22"/>
      <w:szCs w:val="22"/>
      <w:lang w:val="es-ES"/>
      <w14:ligatures w14:val="none"/>
    </w:rPr>
  </w:style>
  <w:style w:type="paragraph" w:styleId="BodyTextIndent2">
    <w:name w:val="Body Text Indent 2"/>
    <w:basedOn w:val="Normal"/>
    <w:link w:val="BodyTextIndent2Char"/>
    <w:uiPriority w:val="99"/>
    <w:semiHidden/>
    <w:unhideWhenUsed/>
    <w:rsid w:val="006B6D3E"/>
    <w:pPr>
      <w:spacing w:after="120" w:line="480" w:lineRule="auto"/>
      <w:ind w:left="283"/>
    </w:pPr>
  </w:style>
  <w:style w:type="character" w:customStyle="1" w:styleId="BodyTextIndent2Char">
    <w:name w:val="Body Text Indent 2 Char"/>
    <w:basedOn w:val="DefaultParagraphFont"/>
    <w:link w:val="BodyTextIndent2"/>
    <w:uiPriority w:val="99"/>
    <w:semiHidden/>
    <w:rsid w:val="006B6D3E"/>
    <w:rPr>
      <w:rFonts w:ascii="Times New Roman" w:eastAsia="SimSun" w:hAnsi="Times New Roman" w:cs="Times New Roman"/>
      <w:kern w:val="0"/>
      <w:sz w:val="22"/>
      <w:szCs w:val="22"/>
      <w:lang w:val="es-ES"/>
      <w14:ligatures w14:val="none"/>
    </w:rPr>
  </w:style>
  <w:style w:type="paragraph" w:styleId="BodyTextIndent3">
    <w:name w:val="Body Text Indent 3"/>
    <w:basedOn w:val="Normal"/>
    <w:link w:val="BodyTextIndent3Char"/>
    <w:uiPriority w:val="99"/>
    <w:semiHidden/>
    <w:unhideWhenUsed/>
    <w:rsid w:val="006B6D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6D3E"/>
    <w:rPr>
      <w:rFonts w:ascii="Times New Roman" w:eastAsia="SimSun" w:hAnsi="Times New Roman" w:cs="Times New Roman"/>
      <w:kern w:val="0"/>
      <w:sz w:val="16"/>
      <w:szCs w:val="16"/>
      <w:lang w:val="es-ES"/>
      <w14:ligatures w14:val="none"/>
    </w:rPr>
  </w:style>
  <w:style w:type="character" w:styleId="BookTitle">
    <w:name w:val="Book Title"/>
    <w:basedOn w:val="DefaultParagraphFont"/>
    <w:uiPriority w:val="33"/>
    <w:qFormat/>
    <w:rsid w:val="006B6D3E"/>
    <w:rPr>
      <w:b/>
      <w:bCs/>
      <w:i/>
      <w:iCs/>
      <w:spacing w:val="5"/>
      <w:lang w:val="es-ES"/>
    </w:rPr>
  </w:style>
  <w:style w:type="paragraph" w:styleId="Caption">
    <w:name w:val="caption"/>
    <w:basedOn w:val="Normal"/>
    <w:next w:val="Normal"/>
    <w:uiPriority w:val="35"/>
    <w:semiHidden/>
    <w:unhideWhenUsed/>
    <w:qFormat/>
    <w:rsid w:val="006B6D3E"/>
    <w:pPr>
      <w:spacing w:after="200"/>
    </w:pPr>
    <w:rPr>
      <w:i/>
      <w:iCs/>
      <w:color w:val="0E2841" w:themeColor="text2"/>
      <w:sz w:val="18"/>
      <w:szCs w:val="18"/>
    </w:rPr>
  </w:style>
  <w:style w:type="paragraph" w:styleId="Closing">
    <w:name w:val="Closing"/>
    <w:basedOn w:val="Normal"/>
    <w:link w:val="ClosingChar"/>
    <w:uiPriority w:val="99"/>
    <w:semiHidden/>
    <w:unhideWhenUsed/>
    <w:rsid w:val="006B6D3E"/>
    <w:pPr>
      <w:ind w:left="4252"/>
    </w:pPr>
  </w:style>
  <w:style w:type="character" w:customStyle="1" w:styleId="ClosingChar">
    <w:name w:val="Closing Char"/>
    <w:basedOn w:val="DefaultParagraphFont"/>
    <w:link w:val="Closing"/>
    <w:uiPriority w:val="99"/>
    <w:semiHidden/>
    <w:rsid w:val="006B6D3E"/>
    <w:rPr>
      <w:rFonts w:ascii="Times New Roman" w:eastAsia="SimSun" w:hAnsi="Times New Roman" w:cs="Times New Roman"/>
      <w:kern w:val="0"/>
      <w:sz w:val="22"/>
      <w:szCs w:val="22"/>
      <w:lang w:val="es-ES"/>
      <w14:ligatures w14:val="none"/>
    </w:rPr>
  </w:style>
  <w:style w:type="table" w:styleId="ColorfulGrid">
    <w:name w:val="Colorful Grid"/>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6B6D3E"/>
  </w:style>
  <w:style w:type="character" w:customStyle="1" w:styleId="DateChar">
    <w:name w:val="Date Char"/>
    <w:basedOn w:val="DefaultParagraphFont"/>
    <w:link w:val="Date"/>
    <w:uiPriority w:val="99"/>
    <w:semiHidden/>
    <w:rsid w:val="006B6D3E"/>
    <w:rPr>
      <w:rFonts w:ascii="Times New Roman" w:eastAsia="SimSun" w:hAnsi="Times New Roman" w:cs="Times New Roman"/>
      <w:kern w:val="0"/>
      <w:sz w:val="22"/>
      <w:szCs w:val="22"/>
      <w:lang w:val="es-ES"/>
      <w14:ligatures w14:val="none"/>
    </w:rPr>
  </w:style>
  <w:style w:type="paragraph" w:styleId="DocumentMap">
    <w:name w:val="Document Map"/>
    <w:basedOn w:val="Normal"/>
    <w:link w:val="DocumentMapChar"/>
    <w:uiPriority w:val="99"/>
    <w:semiHidden/>
    <w:unhideWhenUsed/>
    <w:rsid w:val="006B6D3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6D3E"/>
    <w:rPr>
      <w:rFonts w:ascii="Segoe UI" w:eastAsia="SimSun" w:hAnsi="Segoe UI" w:cs="Segoe UI"/>
      <w:kern w:val="0"/>
      <w:sz w:val="16"/>
      <w:szCs w:val="16"/>
      <w:lang w:val="es-ES"/>
      <w14:ligatures w14:val="none"/>
    </w:rPr>
  </w:style>
  <w:style w:type="paragraph" w:styleId="E-mailSignature">
    <w:name w:val="E-mail Signature"/>
    <w:basedOn w:val="Normal"/>
    <w:link w:val="E-mailSignatureChar"/>
    <w:uiPriority w:val="99"/>
    <w:semiHidden/>
    <w:unhideWhenUsed/>
    <w:rsid w:val="006B6D3E"/>
  </w:style>
  <w:style w:type="character" w:customStyle="1" w:styleId="E-mailSignatureChar">
    <w:name w:val="E-mail Signature Char"/>
    <w:basedOn w:val="DefaultParagraphFont"/>
    <w:link w:val="E-mailSignature"/>
    <w:uiPriority w:val="99"/>
    <w:semiHidden/>
    <w:rsid w:val="006B6D3E"/>
    <w:rPr>
      <w:rFonts w:ascii="Times New Roman" w:eastAsia="SimSun" w:hAnsi="Times New Roman" w:cs="Times New Roman"/>
      <w:kern w:val="0"/>
      <w:sz w:val="22"/>
      <w:szCs w:val="22"/>
      <w:lang w:val="es-ES"/>
      <w14:ligatures w14:val="none"/>
    </w:rPr>
  </w:style>
  <w:style w:type="character" w:styleId="Emphasis">
    <w:name w:val="Emphasis"/>
    <w:basedOn w:val="DefaultParagraphFont"/>
    <w:uiPriority w:val="20"/>
    <w:qFormat/>
    <w:rsid w:val="006B6D3E"/>
    <w:rPr>
      <w:i/>
      <w:iCs/>
      <w:lang w:val="es-ES"/>
    </w:rPr>
  </w:style>
  <w:style w:type="character" w:styleId="EndnoteReference">
    <w:name w:val="endnote reference"/>
    <w:basedOn w:val="DefaultParagraphFont"/>
    <w:uiPriority w:val="99"/>
    <w:semiHidden/>
    <w:unhideWhenUsed/>
    <w:rsid w:val="006B6D3E"/>
    <w:rPr>
      <w:vertAlign w:val="superscript"/>
      <w:lang w:val="es-ES"/>
    </w:rPr>
  </w:style>
  <w:style w:type="paragraph" w:styleId="EndnoteText">
    <w:name w:val="endnote text"/>
    <w:basedOn w:val="Normal"/>
    <w:link w:val="EndnoteTextChar"/>
    <w:uiPriority w:val="99"/>
    <w:semiHidden/>
    <w:unhideWhenUsed/>
    <w:rsid w:val="006B6D3E"/>
    <w:rPr>
      <w:sz w:val="20"/>
      <w:szCs w:val="20"/>
    </w:rPr>
  </w:style>
  <w:style w:type="character" w:customStyle="1" w:styleId="EndnoteTextChar">
    <w:name w:val="Endnote Text Char"/>
    <w:basedOn w:val="DefaultParagraphFont"/>
    <w:link w:val="EndnoteText"/>
    <w:uiPriority w:val="99"/>
    <w:semiHidden/>
    <w:rsid w:val="006B6D3E"/>
    <w:rPr>
      <w:rFonts w:ascii="Times New Roman" w:eastAsia="SimSun" w:hAnsi="Times New Roman" w:cs="Times New Roman"/>
      <w:kern w:val="0"/>
      <w:sz w:val="20"/>
      <w:szCs w:val="20"/>
      <w:lang w:val="es-ES"/>
      <w14:ligatures w14:val="none"/>
    </w:rPr>
  </w:style>
  <w:style w:type="paragraph" w:styleId="EnvelopeAddress">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B6D3E"/>
    <w:rPr>
      <w:color w:val="96607D" w:themeColor="followedHyperlink"/>
      <w:u w:val="single"/>
      <w:lang w:val="es-ES"/>
    </w:rPr>
  </w:style>
  <w:style w:type="table" w:styleId="GridTable1Light">
    <w:name w:val="Grid Table 1 Light"/>
    <w:basedOn w:val="Table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DefaultParagraphFont"/>
    <w:uiPriority w:val="99"/>
    <w:semiHidden/>
    <w:unhideWhenUsed/>
    <w:rsid w:val="006B6D3E"/>
    <w:rPr>
      <w:color w:val="2B579A"/>
      <w:shd w:val="clear" w:color="auto" w:fill="E1DFDD"/>
      <w:lang w:val="es-ES"/>
    </w:rPr>
  </w:style>
  <w:style w:type="character" w:styleId="HTMLAcronym">
    <w:name w:val="HTML Acronym"/>
    <w:basedOn w:val="DefaultParagraphFont"/>
    <w:uiPriority w:val="99"/>
    <w:semiHidden/>
    <w:unhideWhenUsed/>
    <w:rsid w:val="006B6D3E"/>
    <w:rPr>
      <w:lang w:val="es-ES"/>
    </w:rPr>
  </w:style>
  <w:style w:type="paragraph" w:styleId="HTMLAddress">
    <w:name w:val="HTML Address"/>
    <w:basedOn w:val="Normal"/>
    <w:link w:val="HTMLAddressChar"/>
    <w:uiPriority w:val="99"/>
    <w:semiHidden/>
    <w:unhideWhenUsed/>
    <w:rsid w:val="006B6D3E"/>
    <w:rPr>
      <w:i/>
      <w:iCs/>
    </w:rPr>
  </w:style>
  <w:style w:type="character" w:customStyle="1" w:styleId="HTMLAddressChar">
    <w:name w:val="HTML Address Char"/>
    <w:basedOn w:val="DefaultParagraphFont"/>
    <w:link w:val="HTMLAddress"/>
    <w:uiPriority w:val="99"/>
    <w:semiHidden/>
    <w:rsid w:val="006B6D3E"/>
    <w:rPr>
      <w:rFonts w:ascii="Times New Roman" w:eastAsia="SimSun" w:hAnsi="Times New Roman" w:cs="Times New Roman"/>
      <w:i/>
      <w:iCs/>
      <w:kern w:val="0"/>
      <w:sz w:val="22"/>
      <w:szCs w:val="22"/>
      <w:lang w:val="es-ES"/>
      <w14:ligatures w14:val="none"/>
    </w:rPr>
  </w:style>
  <w:style w:type="character" w:styleId="HTMLCite">
    <w:name w:val="HTML Cite"/>
    <w:basedOn w:val="DefaultParagraphFont"/>
    <w:uiPriority w:val="99"/>
    <w:semiHidden/>
    <w:unhideWhenUsed/>
    <w:rsid w:val="006B6D3E"/>
    <w:rPr>
      <w:i/>
      <w:iCs/>
      <w:lang w:val="es-ES"/>
    </w:rPr>
  </w:style>
  <w:style w:type="character" w:styleId="HTMLCode">
    <w:name w:val="HTML Code"/>
    <w:basedOn w:val="DefaultParagraphFont"/>
    <w:uiPriority w:val="99"/>
    <w:semiHidden/>
    <w:unhideWhenUsed/>
    <w:rsid w:val="006B6D3E"/>
    <w:rPr>
      <w:rFonts w:ascii="Consolas" w:hAnsi="Consolas"/>
      <w:sz w:val="20"/>
      <w:szCs w:val="20"/>
      <w:lang w:val="es-ES"/>
    </w:rPr>
  </w:style>
  <w:style w:type="character" w:styleId="HTMLDefinition">
    <w:name w:val="HTML Definition"/>
    <w:basedOn w:val="DefaultParagraphFont"/>
    <w:uiPriority w:val="99"/>
    <w:semiHidden/>
    <w:unhideWhenUsed/>
    <w:rsid w:val="006B6D3E"/>
    <w:rPr>
      <w:i/>
      <w:iCs/>
      <w:lang w:val="es-ES"/>
    </w:rPr>
  </w:style>
  <w:style w:type="character" w:styleId="HTMLKeyboard">
    <w:name w:val="HTML Keyboard"/>
    <w:basedOn w:val="DefaultParagraphFont"/>
    <w:uiPriority w:val="99"/>
    <w:semiHidden/>
    <w:unhideWhenUsed/>
    <w:rsid w:val="006B6D3E"/>
    <w:rPr>
      <w:rFonts w:ascii="Consolas" w:hAnsi="Consolas"/>
      <w:sz w:val="20"/>
      <w:szCs w:val="20"/>
      <w:lang w:val="es-ES"/>
    </w:rPr>
  </w:style>
  <w:style w:type="paragraph" w:styleId="HTMLPreformatted">
    <w:name w:val="HTML Preformatted"/>
    <w:basedOn w:val="Normal"/>
    <w:link w:val="HTMLPreformattedChar"/>
    <w:uiPriority w:val="99"/>
    <w:semiHidden/>
    <w:unhideWhenUsed/>
    <w:rsid w:val="006B6D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6D3E"/>
    <w:rPr>
      <w:rFonts w:ascii="Consolas" w:eastAsia="SimSun" w:hAnsi="Consolas" w:cs="Times New Roman"/>
      <w:kern w:val="0"/>
      <w:sz w:val="20"/>
      <w:szCs w:val="20"/>
      <w:lang w:val="es-ES"/>
      <w14:ligatures w14:val="none"/>
    </w:rPr>
  </w:style>
  <w:style w:type="character" w:styleId="HTMLSample">
    <w:name w:val="HTML Sample"/>
    <w:basedOn w:val="DefaultParagraphFont"/>
    <w:uiPriority w:val="99"/>
    <w:semiHidden/>
    <w:unhideWhenUsed/>
    <w:rsid w:val="006B6D3E"/>
    <w:rPr>
      <w:rFonts w:ascii="Consolas" w:hAnsi="Consolas"/>
      <w:sz w:val="24"/>
      <w:szCs w:val="24"/>
      <w:lang w:val="es-ES"/>
    </w:rPr>
  </w:style>
  <w:style w:type="character" w:styleId="HTMLTypewriter">
    <w:name w:val="HTML Typewriter"/>
    <w:basedOn w:val="DefaultParagraphFont"/>
    <w:uiPriority w:val="99"/>
    <w:semiHidden/>
    <w:unhideWhenUsed/>
    <w:rsid w:val="006B6D3E"/>
    <w:rPr>
      <w:rFonts w:ascii="Consolas" w:hAnsi="Consolas"/>
      <w:sz w:val="20"/>
      <w:szCs w:val="20"/>
      <w:lang w:val="es-ES"/>
    </w:rPr>
  </w:style>
  <w:style w:type="character" w:styleId="HTMLVariable">
    <w:name w:val="HTML Variable"/>
    <w:basedOn w:val="DefaultParagraphFont"/>
    <w:uiPriority w:val="99"/>
    <w:semiHidden/>
    <w:unhideWhenUsed/>
    <w:rsid w:val="006B6D3E"/>
    <w:rPr>
      <w:i/>
      <w:iCs/>
      <w:lang w:val="es-ES"/>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B6D3E"/>
    <w:rPr>
      <w:rFonts w:asciiTheme="majorHAnsi" w:eastAsiaTheme="majorEastAsia" w:hAnsiTheme="majorHAnsi" w:cstheme="majorBidi"/>
      <w:b/>
      <w:bCs/>
    </w:rPr>
  </w:style>
  <w:style w:type="table" w:styleId="LightGrid">
    <w:name w:val="Light Grid"/>
    <w:basedOn w:val="Table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6B6D3E"/>
    <w:rPr>
      <w:lang w:val="es-ES"/>
    </w:rPr>
  </w:style>
  <w:style w:type="paragraph" w:styleId="List2">
    <w:name w:val="List 2"/>
    <w:basedOn w:val="Normal"/>
    <w:uiPriority w:val="99"/>
    <w:semiHidden/>
    <w:unhideWhenUsed/>
    <w:rsid w:val="006B6D3E"/>
    <w:pPr>
      <w:ind w:left="566" w:hanging="283"/>
      <w:contextualSpacing/>
    </w:pPr>
  </w:style>
  <w:style w:type="paragraph" w:styleId="List3">
    <w:name w:val="List 3"/>
    <w:basedOn w:val="Normal"/>
    <w:uiPriority w:val="99"/>
    <w:semiHidden/>
    <w:unhideWhenUsed/>
    <w:rsid w:val="006B6D3E"/>
    <w:pPr>
      <w:ind w:left="849" w:hanging="283"/>
      <w:contextualSpacing/>
    </w:pPr>
  </w:style>
  <w:style w:type="paragraph" w:styleId="List4">
    <w:name w:val="List 4"/>
    <w:basedOn w:val="Normal"/>
    <w:uiPriority w:val="99"/>
    <w:semiHidden/>
    <w:unhideWhenUsed/>
    <w:rsid w:val="006B6D3E"/>
    <w:pPr>
      <w:ind w:left="1132" w:hanging="283"/>
      <w:contextualSpacing/>
    </w:pPr>
  </w:style>
  <w:style w:type="paragraph" w:styleId="List5">
    <w:name w:val="List 5"/>
    <w:basedOn w:val="Normal"/>
    <w:uiPriority w:val="99"/>
    <w:semiHidden/>
    <w:unhideWhenUsed/>
    <w:rsid w:val="006B6D3E"/>
    <w:pPr>
      <w:ind w:left="1415" w:hanging="283"/>
      <w:contextualSpacing/>
    </w:pPr>
  </w:style>
  <w:style w:type="paragraph" w:styleId="ListBullet">
    <w:name w:val="List Bullet"/>
    <w:basedOn w:val="Normal"/>
    <w:uiPriority w:val="99"/>
    <w:semiHidden/>
    <w:unhideWhenUsed/>
    <w:rsid w:val="006B6D3E"/>
    <w:pPr>
      <w:numPr>
        <w:numId w:val="2"/>
      </w:numPr>
      <w:contextualSpacing/>
    </w:pPr>
  </w:style>
  <w:style w:type="paragraph" w:styleId="ListBullet2">
    <w:name w:val="List Bullet 2"/>
    <w:basedOn w:val="Normal"/>
    <w:uiPriority w:val="99"/>
    <w:semiHidden/>
    <w:unhideWhenUsed/>
    <w:rsid w:val="006B6D3E"/>
    <w:pPr>
      <w:numPr>
        <w:numId w:val="3"/>
      </w:numPr>
      <w:contextualSpacing/>
    </w:pPr>
  </w:style>
  <w:style w:type="paragraph" w:styleId="ListBullet3">
    <w:name w:val="List Bullet 3"/>
    <w:basedOn w:val="Normal"/>
    <w:uiPriority w:val="99"/>
    <w:semiHidden/>
    <w:unhideWhenUsed/>
    <w:rsid w:val="006B6D3E"/>
    <w:pPr>
      <w:numPr>
        <w:numId w:val="4"/>
      </w:numPr>
      <w:contextualSpacing/>
    </w:pPr>
  </w:style>
  <w:style w:type="paragraph" w:styleId="ListBullet4">
    <w:name w:val="List Bullet 4"/>
    <w:basedOn w:val="Normal"/>
    <w:uiPriority w:val="99"/>
    <w:semiHidden/>
    <w:unhideWhenUsed/>
    <w:rsid w:val="006B6D3E"/>
    <w:pPr>
      <w:numPr>
        <w:numId w:val="5"/>
      </w:numPr>
      <w:contextualSpacing/>
    </w:pPr>
  </w:style>
  <w:style w:type="paragraph" w:styleId="ListBullet5">
    <w:name w:val="List Bullet 5"/>
    <w:basedOn w:val="Normal"/>
    <w:uiPriority w:val="99"/>
    <w:semiHidden/>
    <w:unhideWhenUsed/>
    <w:rsid w:val="006B6D3E"/>
    <w:pPr>
      <w:numPr>
        <w:numId w:val="6"/>
      </w:numPr>
      <w:contextualSpacing/>
    </w:pPr>
  </w:style>
  <w:style w:type="paragraph" w:styleId="ListContinue">
    <w:name w:val="List Continue"/>
    <w:basedOn w:val="Normal"/>
    <w:uiPriority w:val="99"/>
    <w:semiHidden/>
    <w:unhideWhenUsed/>
    <w:rsid w:val="006B6D3E"/>
    <w:pPr>
      <w:spacing w:after="120"/>
      <w:ind w:left="283"/>
      <w:contextualSpacing/>
    </w:pPr>
  </w:style>
  <w:style w:type="paragraph" w:styleId="ListContinue2">
    <w:name w:val="List Continue 2"/>
    <w:basedOn w:val="Normal"/>
    <w:uiPriority w:val="99"/>
    <w:semiHidden/>
    <w:unhideWhenUsed/>
    <w:rsid w:val="006B6D3E"/>
    <w:pPr>
      <w:spacing w:after="120"/>
      <w:ind w:left="566"/>
      <w:contextualSpacing/>
    </w:pPr>
  </w:style>
  <w:style w:type="paragraph" w:styleId="ListContinue3">
    <w:name w:val="List Continue 3"/>
    <w:basedOn w:val="Normal"/>
    <w:uiPriority w:val="99"/>
    <w:semiHidden/>
    <w:unhideWhenUsed/>
    <w:rsid w:val="006B6D3E"/>
    <w:pPr>
      <w:spacing w:after="120"/>
      <w:ind w:left="849"/>
      <w:contextualSpacing/>
    </w:pPr>
  </w:style>
  <w:style w:type="paragraph" w:styleId="ListContinue4">
    <w:name w:val="List Continue 4"/>
    <w:basedOn w:val="Normal"/>
    <w:uiPriority w:val="99"/>
    <w:semiHidden/>
    <w:unhideWhenUsed/>
    <w:rsid w:val="006B6D3E"/>
    <w:pPr>
      <w:spacing w:after="120"/>
      <w:ind w:left="1132"/>
      <w:contextualSpacing/>
    </w:pPr>
  </w:style>
  <w:style w:type="paragraph" w:styleId="ListContinue5">
    <w:name w:val="List Continue 5"/>
    <w:basedOn w:val="Normal"/>
    <w:uiPriority w:val="99"/>
    <w:semiHidden/>
    <w:unhideWhenUsed/>
    <w:rsid w:val="006B6D3E"/>
    <w:pPr>
      <w:spacing w:after="120"/>
      <w:ind w:left="1415"/>
      <w:contextualSpacing/>
    </w:pPr>
  </w:style>
  <w:style w:type="paragraph" w:styleId="ListNumber">
    <w:name w:val="List Number"/>
    <w:basedOn w:val="Normal"/>
    <w:uiPriority w:val="99"/>
    <w:semiHidden/>
    <w:unhideWhenUsed/>
    <w:rsid w:val="006B6D3E"/>
    <w:pPr>
      <w:numPr>
        <w:numId w:val="10"/>
      </w:numPr>
      <w:contextualSpacing/>
    </w:pPr>
  </w:style>
  <w:style w:type="paragraph" w:styleId="ListNumber2">
    <w:name w:val="List Number 2"/>
    <w:basedOn w:val="Normal"/>
    <w:uiPriority w:val="99"/>
    <w:semiHidden/>
    <w:unhideWhenUsed/>
    <w:rsid w:val="006B6D3E"/>
    <w:pPr>
      <w:numPr>
        <w:numId w:val="11"/>
      </w:numPr>
      <w:contextualSpacing/>
    </w:pPr>
  </w:style>
  <w:style w:type="paragraph" w:styleId="ListNumber3">
    <w:name w:val="List Number 3"/>
    <w:basedOn w:val="Normal"/>
    <w:uiPriority w:val="99"/>
    <w:semiHidden/>
    <w:unhideWhenUsed/>
    <w:rsid w:val="006B6D3E"/>
    <w:pPr>
      <w:numPr>
        <w:numId w:val="12"/>
      </w:numPr>
      <w:contextualSpacing/>
    </w:pPr>
  </w:style>
  <w:style w:type="paragraph" w:styleId="ListNumber4">
    <w:name w:val="List Number 4"/>
    <w:basedOn w:val="Normal"/>
    <w:uiPriority w:val="99"/>
    <w:semiHidden/>
    <w:unhideWhenUsed/>
    <w:rsid w:val="006B6D3E"/>
    <w:pPr>
      <w:numPr>
        <w:numId w:val="13"/>
      </w:numPr>
      <w:contextualSpacing/>
    </w:pPr>
  </w:style>
  <w:style w:type="paragraph" w:styleId="ListNumber5">
    <w:name w:val="List Number 5"/>
    <w:basedOn w:val="Normal"/>
    <w:uiPriority w:val="99"/>
    <w:semiHidden/>
    <w:unhideWhenUsed/>
    <w:rsid w:val="006B6D3E"/>
    <w:pPr>
      <w:numPr>
        <w:numId w:val="14"/>
      </w:numPr>
      <w:contextualSpacing/>
    </w:pPr>
  </w:style>
  <w:style w:type="table" w:styleId="ListTable1Light">
    <w:name w:val="List Table 1 Light"/>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6B6D3E"/>
    <w:rPr>
      <w:rFonts w:ascii="Consolas" w:eastAsia="SimSun" w:hAnsi="Consolas" w:cs="Times New Roman"/>
      <w:kern w:val="0"/>
      <w:sz w:val="20"/>
      <w:szCs w:val="20"/>
      <w:lang w:val="es-ES"/>
      <w14:ligatures w14:val="none"/>
    </w:rPr>
  </w:style>
  <w:style w:type="table" w:styleId="MediumGrid1">
    <w:name w:val="Medium Grid 1"/>
    <w:basedOn w:val="Table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B6D3E"/>
    <w:rPr>
      <w:color w:val="2B579A"/>
      <w:shd w:val="clear" w:color="auto" w:fill="E1DFDD"/>
      <w:lang w:val="es-ES"/>
    </w:rPr>
  </w:style>
  <w:style w:type="paragraph" w:styleId="MessageHeader">
    <w:name w:val="Message Header"/>
    <w:basedOn w:val="Normal"/>
    <w:link w:val="MessageHeaderCh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6D3E"/>
    <w:rPr>
      <w:rFonts w:asciiTheme="majorHAnsi" w:eastAsiaTheme="majorEastAsia" w:hAnsiTheme="majorHAnsi" w:cstheme="majorBidi"/>
      <w:kern w:val="0"/>
      <w:shd w:val="pct20" w:color="auto" w:fill="auto"/>
      <w:lang w:val="es-ES"/>
      <w14:ligatures w14:val="none"/>
    </w:rPr>
  </w:style>
  <w:style w:type="paragraph" w:styleId="NoSpacing">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14:ligatures w14:val="none"/>
    </w:rPr>
  </w:style>
  <w:style w:type="paragraph" w:styleId="NormalWeb">
    <w:name w:val="Normal (Web)"/>
    <w:basedOn w:val="Normal"/>
    <w:uiPriority w:val="99"/>
    <w:semiHidden/>
    <w:unhideWhenUsed/>
    <w:rsid w:val="006B6D3E"/>
    <w:rPr>
      <w:sz w:val="24"/>
      <w:szCs w:val="24"/>
    </w:rPr>
  </w:style>
  <w:style w:type="paragraph" w:styleId="NormalIndent">
    <w:name w:val="Normal Indent"/>
    <w:basedOn w:val="Normal"/>
    <w:uiPriority w:val="99"/>
    <w:semiHidden/>
    <w:unhideWhenUsed/>
    <w:rsid w:val="006B6D3E"/>
    <w:pPr>
      <w:ind w:left="720"/>
    </w:pPr>
  </w:style>
  <w:style w:type="paragraph" w:styleId="NoteHeading">
    <w:name w:val="Note Heading"/>
    <w:basedOn w:val="Normal"/>
    <w:next w:val="Normal"/>
    <w:link w:val="NoteHeadingChar"/>
    <w:uiPriority w:val="99"/>
    <w:semiHidden/>
    <w:unhideWhenUsed/>
    <w:rsid w:val="006B6D3E"/>
  </w:style>
  <w:style w:type="character" w:customStyle="1" w:styleId="NoteHeadingChar">
    <w:name w:val="Note Heading Char"/>
    <w:basedOn w:val="DefaultParagraphFont"/>
    <w:link w:val="NoteHeading"/>
    <w:uiPriority w:val="99"/>
    <w:semiHidden/>
    <w:rsid w:val="006B6D3E"/>
    <w:rPr>
      <w:rFonts w:ascii="Times New Roman" w:eastAsia="SimSun" w:hAnsi="Times New Roman" w:cs="Times New Roman"/>
      <w:kern w:val="0"/>
      <w:sz w:val="22"/>
      <w:szCs w:val="22"/>
      <w:lang w:val="es-ES"/>
      <w14:ligatures w14:val="none"/>
    </w:rPr>
  </w:style>
  <w:style w:type="character" w:styleId="PageNumber">
    <w:name w:val="page number"/>
    <w:basedOn w:val="DefaultParagraphFont"/>
    <w:uiPriority w:val="99"/>
    <w:semiHidden/>
    <w:unhideWhenUsed/>
    <w:rsid w:val="006B6D3E"/>
    <w:rPr>
      <w:lang w:val="es-ES"/>
    </w:rPr>
  </w:style>
  <w:style w:type="character" w:styleId="PlaceholderText">
    <w:name w:val="Placeholder Text"/>
    <w:basedOn w:val="DefaultParagraphFont"/>
    <w:uiPriority w:val="99"/>
    <w:semiHidden/>
    <w:rsid w:val="006B6D3E"/>
    <w:rPr>
      <w:color w:val="666666"/>
      <w:lang w:val="es-ES"/>
    </w:rPr>
  </w:style>
  <w:style w:type="table" w:styleId="PlainTable1">
    <w:name w:val="Plain Table 1"/>
    <w:basedOn w:val="Table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6D3E"/>
    <w:rPr>
      <w:rFonts w:ascii="Consolas" w:hAnsi="Consolas"/>
      <w:sz w:val="21"/>
      <w:szCs w:val="21"/>
    </w:rPr>
  </w:style>
  <w:style w:type="character" w:customStyle="1" w:styleId="PlainTextChar">
    <w:name w:val="Plain Text Char"/>
    <w:basedOn w:val="DefaultParagraphFont"/>
    <w:link w:val="PlainText"/>
    <w:uiPriority w:val="99"/>
    <w:semiHidden/>
    <w:rsid w:val="006B6D3E"/>
    <w:rPr>
      <w:rFonts w:ascii="Consolas" w:eastAsia="SimSun" w:hAnsi="Consolas" w:cs="Times New Roman"/>
      <w:kern w:val="0"/>
      <w:sz w:val="21"/>
      <w:szCs w:val="21"/>
      <w:lang w:val="es-ES"/>
      <w14:ligatures w14:val="none"/>
    </w:rPr>
  </w:style>
  <w:style w:type="paragraph" w:styleId="Salutation">
    <w:name w:val="Salutation"/>
    <w:basedOn w:val="Normal"/>
    <w:next w:val="Normal"/>
    <w:link w:val="SalutationChar"/>
    <w:uiPriority w:val="99"/>
    <w:semiHidden/>
    <w:unhideWhenUsed/>
    <w:rsid w:val="006B6D3E"/>
  </w:style>
  <w:style w:type="character" w:customStyle="1" w:styleId="SalutationChar">
    <w:name w:val="Salutation Char"/>
    <w:basedOn w:val="DefaultParagraphFont"/>
    <w:link w:val="Salutation"/>
    <w:uiPriority w:val="99"/>
    <w:semiHidden/>
    <w:rsid w:val="006B6D3E"/>
    <w:rPr>
      <w:rFonts w:ascii="Times New Roman" w:eastAsia="SimSun" w:hAnsi="Times New Roman" w:cs="Times New Roman"/>
      <w:kern w:val="0"/>
      <w:sz w:val="22"/>
      <w:szCs w:val="22"/>
      <w:lang w:val="es-ES"/>
      <w14:ligatures w14:val="none"/>
    </w:rPr>
  </w:style>
  <w:style w:type="paragraph" w:styleId="Signature">
    <w:name w:val="Signature"/>
    <w:basedOn w:val="Normal"/>
    <w:link w:val="SignatureChar"/>
    <w:uiPriority w:val="99"/>
    <w:semiHidden/>
    <w:unhideWhenUsed/>
    <w:rsid w:val="006B6D3E"/>
    <w:pPr>
      <w:ind w:left="4252"/>
    </w:pPr>
  </w:style>
  <w:style w:type="character" w:customStyle="1" w:styleId="SignatureChar">
    <w:name w:val="Signature Char"/>
    <w:basedOn w:val="DefaultParagraphFont"/>
    <w:link w:val="Signature"/>
    <w:uiPriority w:val="99"/>
    <w:semiHidden/>
    <w:rsid w:val="006B6D3E"/>
    <w:rPr>
      <w:rFonts w:ascii="Times New Roman" w:eastAsia="SimSun" w:hAnsi="Times New Roman" w:cs="Times New Roman"/>
      <w:kern w:val="0"/>
      <w:sz w:val="22"/>
      <w:szCs w:val="22"/>
      <w:lang w:val="es-ES"/>
      <w14:ligatures w14:val="none"/>
    </w:rPr>
  </w:style>
  <w:style w:type="character" w:customStyle="1" w:styleId="SmartHyperlink1">
    <w:name w:val="Smart Hyperlink1"/>
    <w:basedOn w:val="DefaultParagraphFont"/>
    <w:uiPriority w:val="99"/>
    <w:semiHidden/>
    <w:unhideWhenUsed/>
    <w:rsid w:val="006B6D3E"/>
    <w:rPr>
      <w:u w:val="dotted"/>
      <w:lang w:val="es-ES"/>
    </w:rPr>
  </w:style>
  <w:style w:type="character" w:customStyle="1" w:styleId="SmartLink1">
    <w:name w:val="SmartLink1"/>
    <w:basedOn w:val="DefaultParagraphFont"/>
    <w:uiPriority w:val="99"/>
    <w:semiHidden/>
    <w:unhideWhenUsed/>
    <w:rsid w:val="006B6D3E"/>
    <w:rPr>
      <w:color w:val="0000FF"/>
      <w:u w:val="single"/>
      <w:shd w:val="clear" w:color="auto" w:fill="F3F2F1"/>
      <w:lang w:val="es-ES"/>
    </w:rPr>
  </w:style>
  <w:style w:type="character" w:styleId="Strong">
    <w:name w:val="Strong"/>
    <w:basedOn w:val="DefaultParagraphFont"/>
    <w:uiPriority w:val="22"/>
    <w:qFormat/>
    <w:rsid w:val="006B6D3E"/>
    <w:rPr>
      <w:b/>
      <w:bCs/>
      <w:lang w:val="es-ES"/>
    </w:rPr>
  </w:style>
  <w:style w:type="character" w:styleId="SubtleEmphasis">
    <w:name w:val="Subtle Emphasis"/>
    <w:basedOn w:val="DefaultParagraphFont"/>
    <w:uiPriority w:val="19"/>
    <w:qFormat/>
    <w:rsid w:val="006B6D3E"/>
    <w:rPr>
      <w:i/>
      <w:iCs/>
      <w:color w:val="404040" w:themeColor="text1" w:themeTint="BF"/>
      <w:lang w:val="es-ES"/>
    </w:rPr>
  </w:style>
  <w:style w:type="character" w:styleId="SubtleReference">
    <w:name w:val="Subtle Reference"/>
    <w:basedOn w:val="DefaultParagraphFont"/>
    <w:uiPriority w:val="31"/>
    <w:qFormat/>
    <w:rsid w:val="006B6D3E"/>
    <w:rPr>
      <w:smallCaps/>
      <w:color w:val="5A5A5A" w:themeColor="text1" w:themeTint="A5"/>
      <w:lang w:val="es-ES"/>
    </w:rPr>
  </w:style>
  <w:style w:type="table" w:styleId="Table3Deffects1">
    <w:name w:val="Table 3D effects 1"/>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B6D3E"/>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DefaultParagraphFont"/>
    <w:uiPriority w:val="99"/>
    <w:semiHidden/>
    <w:unhideWhenUsed/>
    <w:rsid w:val="006B6D3E"/>
    <w:rPr>
      <w:color w:val="605E5C"/>
      <w:shd w:val="clear" w:color="auto" w:fill="E1DFDD"/>
      <w:lang w:val="es-ES"/>
    </w:rPr>
  </w:style>
  <w:style w:type="character" w:customStyle="1" w:styleId="UnresolvedMention">
    <w:name w:val="Unresolved Mention"/>
    <w:basedOn w:val="DefaultParagraphFont"/>
    <w:uiPriority w:val="99"/>
    <w:semiHidden/>
    <w:unhideWhenUsed/>
    <w:rsid w:val="001A79FF"/>
    <w:rPr>
      <w:color w:val="605E5C"/>
      <w:shd w:val="clear" w:color="auto" w:fill="E1DFDD"/>
    </w:rPr>
  </w:style>
  <w:style w:type="numbering" w:customStyle="1" w:styleId="ListCBD1">
    <w:name w:val="ListCBD1"/>
    <w:uiPriority w:val="99"/>
    <w:rsid w:val="00EB5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bch.cbd.int/protocol/tex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bd.int/doc/decisions/cp-mop-11/cp-mop-11-dec-06-es.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p-mop-09/cp-mop-09-dec-13-es.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bd.int/doc/decisions/cp-mop-09/cp-mop-09-dec-13-es.pdf" TargetMode="External"/><Relationship Id="rId20" Type="http://schemas.openxmlformats.org/officeDocument/2006/relationships/hyperlink" Target="https://www.cbd.int/doc/decisions/cop-14/cop-14-dec-33-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bd.int/doc/decisions/cp-mop-11/cp-mop-11-dec-07-es.pdf"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bch.cbd.int/protocol/tex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p-mop-09/cp-mop-09-dec-13-es.pdf"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uments/CBD/CP/RA/AHTEG/2025/1/INF/1" TargetMode="External"/><Relationship Id="rId3" Type="http://schemas.openxmlformats.org/officeDocument/2006/relationships/hyperlink" Target="https://www.cbd.int/documents/CBD/CP/RA/AHTEG/2025/1/3" TargetMode="External"/><Relationship Id="rId7" Type="http://schemas.openxmlformats.org/officeDocument/2006/relationships/hyperlink" Target="https://www.cbd.int/documents/CBD/CP/MOP/11/9" TargetMode="External"/><Relationship Id="rId2" Type="http://schemas.openxmlformats.org/officeDocument/2006/relationships/hyperlink" Target="https://www.cbd.int/doc/c/2b9b/3497/63ad0e53e1bb0d17722affe6/sbstta-27-06-es.pdf" TargetMode="External"/><Relationship Id="rId1" Type="http://schemas.openxmlformats.org/officeDocument/2006/relationships/hyperlink" Target="https://www.cbd.int/documents/CBD/CP/RA/AHTEG/2025/1/3" TargetMode="External"/><Relationship Id="rId6" Type="http://schemas.openxmlformats.org/officeDocument/2006/relationships/hyperlink" Target="https://www.cbd.int/doc/decisions/cop-08/full/cop-08-dec-es.pdf" TargetMode="External"/><Relationship Id="rId5" Type="http://schemas.openxmlformats.org/officeDocument/2006/relationships/hyperlink" Target="https://www.cbd.int/documents/CBD/CP/MOP/11/9" TargetMode="External"/><Relationship Id="rId4" Type="http://schemas.openxmlformats.org/officeDocument/2006/relationships/hyperlink" Target="https://www.cbd.int/tsc/tscm/subregionalcentres" TargetMode="External"/><Relationship Id="rId9" Type="http://schemas.openxmlformats.org/officeDocument/2006/relationships/hyperlink" Target="https://www.cbd.int/documents/CBD/CP/RA/AHTEG/2025/1/INF/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CLOUGHLI\OneDrive%20-%20United%20Nations\Desktop\Working%20on%20plane%20(AHTEG%20+%20SBSTTA)\sbstta-27-template-en%20(1).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76974CAE7F4C98B024CDADEBC38C0E"/>
        <w:category>
          <w:name w:val="General"/>
          <w:gallery w:val="placeholder"/>
        </w:category>
        <w:types>
          <w:type w:val="bbPlcHdr"/>
        </w:types>
        <w:behaviors>
          <w:behavior w:val="content"/>
        </w:behaviors>
        <w:guid w:val="{82759513-02C4-4D40-AC7B-DB3CD5F9F212}"/>
      </w:docPartPr>
      <w:docPartBody>
        <w:p w:rsidR="00E245DA" w:rsidRDefault="00E245DA">
          <w:pPr>
            <w:pStyle w:val="D176974CAE7F4C98B024CDADEBC38C0E"/>
          </w:pPr>
          <w:r w:rsidRPr="002C719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altName w:val="Times New Roman"/>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5DA"/>
    <w:rsid w:val="000106FF"/>
    <w:rsid w:val="00041E32"/>
    <w:rsid w:val="00057B13"/>
    <w:rsid w:val="00097729"/>
    <w:rsid w:val="000C22EA"/>
    <w:rsid w:val="000E1726"/>
    <w:rsid w:val="0010015F"/>
    <w:rsid w:val="0015601F"/>
    <w:rsid w:val="001F5684"/>
    <w:rsid w:val="0020012C"/>
    <w:rsid w:val="002463D7"/>
    <w:rsid w:val="0025038F"/>
    <w:rsid w:val="002E4A52"/>
    <w:rsid w:val="003173B0"/>
    <w:rsid w:val="0034450D"/>
    <w:rsid w:val="0035483B"/>
    <w:rsid w:val="00381B24"/>
    <w:rsid w:val="003F3A67"/>
    <w:rsid w:val="004A2929"/>
    <w:rsid w:val="004B2DBC"/>
    <w:rsid w:val="00527F86"/>
    <w:rsid w:val="005479F7"/>
    <w:rsid w:val="0057380B"/>
    <w:rsid w:val="00593A11"/>
    <w:rsid w:val="005D300A"/>
    <w:rsid w:val="00636706"/>
    <w:rsid w:val="006500F3"/>
    <w:rsid w:val="00694870"/>
    <w:rsid w:val="00757F90"/>
    <w:rsid w:val="00770E23"/>
    <w:rsid w:val="008416B6"/>
    <w:rsid w:val="0087688E"/>
    <w:rsid w:val="008B2BE3"/>
    <w:rsid w:val="009313F0"/>
    <w:rsid w:val="00962316"/>
    <w:rsid w:val="009710F2"/>
    <w:rsid w:val="009737FE"/>
    <w:rsid w:val="00975B20"/>
    <w:rsid w:val="0098214E"/>
    <w:rsid w:val="009872DA"/>
    <w:rsid w:val="009A7AC5"/>
    <w:rsid w:val="009F457E"/>
    <w:rsid w:val="00A33F3D"/>
    <w:rsid w:val="00A4031B"/>
    <w:rsid w:val="00A73C9D"/>
    <w:rsid w:val="00AA32CF"/>
    <w:rsid w:val="00AE2428"/>
    <w:rsid w:val="00AE4E48"/>
    <w:rsid w:val="00AE4EC5"/>
    <w:rsid w:val="00B11FCF"/>
    <w:rsid w:val="00B122A4"/>
    <w:rsid w:val="00B77868"/>
    <w:rsid w:val="00BA78B6"/>
    <w:rsid w:val="00BB183E"/>
    <w:rsid w:val="00C06AF9"/>
    <w:rsid w:val="00C12402"/>
    <w:rsid w:val="00C21376"/>
    <w:rsid w:val="00CA057F"/>
    <w:rsid w:val="00CD2364"/>
    <w:rsid w:val="00CD68A9"/>
    <w:rsid w:val="00D01A9B"/>
    <w:rsid w:val="00D100CD"/>
    <w:rsid w:val="00D719BE"/>
    <w:rsid w:val="00DE6411"/>
    <w:rsid w:val="00E03E3F"/>
    <w:rsid w:val="00E245DA"/>
    <w:rsid w:val="00E5477A"/>
    <w:rsid w:val="00E84590"/>
    <w:rsid w:val="00ED1EED"/>
    <w:rsid w:val="00EF60A3"/>
    <w:rsid w:val="00F65B3C"/>
    <w:rsid w:val="00F81C05"/>
    <w:rsid w:val="00F9568B"/>
    <w:rsid w:val="00FF04B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lang w:val="en-GB"/>
    </w:rPr>
  </w:style>
  <w:style w:type="paragraph" w:customStyle="1" w:styleId="D176974CAE7F4C98B024CDADEBC38C0E">
    <w:name w:val="D176974CAE7F4C98B024CDADEBC38C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091f8ace11fb69fdaf2c6ad3544dfa48">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2090d878a5f7290b684f838b47639990"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D1E6E-7CC8-4425-B9BB-876BD7CB2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86E82D-1297-41F9-82B5-613666E5D8E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4008823B-A5F6-49A1-A79A-619A93B7CA8B}">
  <ds:schemaRefs>
    <ds:schemaRef ds:uri="http://schemas.microsoft.com/sharepoint/v3/contenttype/forms"/>
  </ds:schemaRefs>
</ds:datastoreItem>
</file>

<file path=customXml/itemProps4.xml><?xml version="1.0" encoding="utf-8"?>
<ds:datastoreItem xmlns:ds="http://schemas.openxmlformats.org/officeDocument/2006/customXml" ds:itemID="{7D63E119-082F-4A81-8397-9C4010120FDF}">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sbstta-27-template-en (1).dotm</Template>
  <TotalTime>75</TotalTime>
  <Pages>5</Pages>
  <Words>1969</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Recomendación adoptada por el Órgano Subsidiario de Asesoramiento Científico, Técnico y Tecnológico el 24 de octubre de 2025</vt:lpstr>
    </vt:vector>
  </TitlesOfParts>
  <Company/>
  <LinksUpToDate>false</LinksUpToDate>
  <CharactersWithSpaces>13167</CharactersWithSpaces>
  <SharedDoc>false</SharedDoc>
  <HLinks>
    <vt:vector size="90" baseType="variant">
      <vt:variant>
        <vt:i4>7405681</vt:i4>
      </vt:variant>
      <vt:variant>
        <vt:i4>15</vt:i4>
      </vt:variant>
      <vt:variant>
        <vt:i4>0</vt:i4>
      </vt:variant>
      <vt:variant>
        <vt:i4>5</vt:i4>
      </vt:variant>
      <vt:variant>
        <vt:lpwstr>https://www.cbd.int/decisions/mop/?m=cp-mop-11</vt:lpwstr>
      </vt:variant>
      <vt:variant>
        <vt:lpwstr/>
      </vt:variant>
      <vt:variant>
        <vt:i4>3145838</vt:i4>
      </vt:variant>
      <vt:variant>
        <vt:i4>12</vt:i4>
      </vt:variant>
      <vt:variant>
        <vt:i4>0</vt:i4>
      </vt:variant>
      <vt:variant>
        <vt:i4>5</vt:i4>
      </vt:variant>
      <vt:variant>
        <vt:lpwstr>https://www.cbd.int/decisions/?id=13668</vt:lpwstr>
      </vt:variant>
      <vt:variant>
        <vt:lpwstr/>
      </vt:variant>
      <vt:variant>
        <vt:i4>7798832</vt:i4>
      </vt:variant>
      <vt:variant>
        <vt:i4>9</vt:i4>
      </vt:variant>
      <vt:variant>
        <vt:i4>0</vt:i4>
      </vt:variant>
      <vt:variant>
        <vt:i4>5</vt:i4>
      </vt:variant>
      <vt:variant>
        <vt:lpwstr>https://www.cbd.int/doc/decisions/cp-mop-09/cp-mop-09-dec-13-en.pdf</vt:lpwstr>
      </vt:variant>
      <vt:variant>
        <vt:lpwstr/>
      </vt:variant>
      <vt:variant>
        <vt:i4>7798832</vt:i4>
      </vt:variant>
      <vt:variant>
        <vt:i4>6</vt:i4>
      </vt:variant>
      <vt:variant>
        <vt:i4>0</vt:i4>
      </vt:variant>
      <vt:variant>
        <vt:i4>5</vt:i4>
      </vt:variant>
      <vt:variant>
        <vt:lpwstr>https://www.cbd.int/doc/decisions/cp-mop-09/cp-mop-09-dec-13-en.pdf</vt:lpwstr>
      </vt:variant>
      <vt:variant>
        <vt:lpwstr/>
      </vt:variant>
      <vt:variant>
        <vt:i4>7536689</vt:i4>
      </vt:variant>
      <vt:variant>
        <vt:i4>3</vt:i4>
      </vt:variant>
      <vt:variant>
        <vt:i4>0</vt:i4>
      </vt:variant>
      <vt:variant>
        <vt:i4>5</vt:i4>
      </vt:variant>
      <vt:variant>
        <vt:lpwstr>https://www.cbd.int/doc/decisions/cp-mop-11/cp-mop-11-dec-07-en.pdf</vt:lpwstr>
      </vt:variant>
      <vt:variant>
        <vt:lpwstr/>
      </vt:variant>
      <vt:variant>
        <vt:i4>7798832</vt:i4>
      </vt:variant>
      <vt:variant>
        <vt:i4>0</vt:i4>
      </vt:variant>
      <vt:variant>
        <vt:i4>0</vt:i4>
      </vt:variant>
      <vt:variant>
        <vt:i4>5</vt:i4>
      </vt:variant>
      <vt:variant>
        <vt:lpwstr>https://www.cbd.int/doc/decisions/cp-mop-09/cp-mop-09-dec-13-en.pdf</vt:lpwstr>
      </vt:variant>
      <vt:variant>
        <vt:lpwstr/>
      </vt:variant>
      <vt:variant>
        <vt:i4>2752564</vt:i4>
      </vt:variant>
      <vt:variant>
        <vt:i4>21</vt:i4>
      </vt:variant>
      <vt:variant>
        <vt:i4>0</vt:i4>
      </vt:variant>
      <vt:variant>
        <vt:i4>5</vt:i4>
      </vt:variant>
      <vt:variant>
        <vt:lpwstr>https://www.cbd.int/documents/CBD/CP/RA/AHTEG/2025/1/INF/2</vt:lpwstr>
      </vt:variant>
      <vt:variant>
        <vt:lpwstr/>
      </vt:variant>
      <vt:variant>
        <vt:i4>2687028</vt:i4>
      </vt:variant>
      <vt:variant>
        <vt:i4>18</vt:i4>
      </vt:variant>
      <vt:variant>
        <vt:i4>0</vt:i4>
      </vt:variant>
      <vt:variant>
        <vt:i4>5</vt:i4>
      </vt:variant>
      <vt:variant>
        <vt:lpwstr>https://www.cbd.int/documents/CBD/CP/RA/AHTEG/2025/1/INF/1</vt:lpwstr>
      </vt:variant>
      <vt:variant>
        <vt:lpwstr/>
      </vt:variant>
      <vt:variant>
        <vt:i4>7405681</vt:i4>
      </vt:variant>
      <vt:variant>
        <vt:i4>15</vt:i4>
      </vt:variant>
      <vt:variant>
        <vt:i4>0</vt:i4>
      </vt:variant>
      <vt:variant>
        <vt:i4>5</vt:i4>
      </vt:variant>
      <vt:variant>
        <vt:lpwstr>https://www.cbd.int/decisions/mop/?m=cp-mop-11</vt:lpwstr>
      </vt:variant>
      <vt:variant>
        <vt:lpwstr/>
      </vt:variant>
      <vt:variant>
        <vt:i4>3539048</vt:i4>
      </vt:variant>
      <vt:variant>
        <vt:i4>12</vt:i4>
      </vt:variant>
      <vt:variant>
        <vt:i4>0</vt:i4>
      </vt:variant>
      <vt:variant>
        <vt:i4>5</vt:i4>
      </vt:variant>
      <vt:variant>
        <vt:lpwstr>https://www.cbd.int/decisions/?id=11024</vt:lpwstr>
      </vt:variant>
      <vt:variant>
        <vt:lpwstr/>
      </vt:variant>
      <vt:variant>
        <vt:i4>7077988</vt:i4>
      </vt:variant>
      <vt:variant>
        <vt:i4>9</vt:i4>
      </vt:variant>
      <vt:variant>
        <vt:i4>0</vt:i4>
      </vt:variant>
      <vt:variant>
        <vt:i4>5</vt:i4>
      </vt:variant>
      <vt:variant>
        <vt:lpwstr>https://www.cbd.int/tsc/tscm/subregionalcentres</vt:lpwstr>
      </vt:variant>
      <vt:variant>
        <vt:lpwstr/>
      </vt:variant>
      <vt:variant>
        <vt:i4>2359413</vt:i4>
      </vt:variant>
      <vt:variant>
        <vt:i4>6</vt:i4>
      </vt:variant>
      <vt:variant>
        <vt:i4>0</vt:i4>
      </vt:variant>
      <vt:variant>
        <vt:i4>5</vt:i4>
      </vt:variant>
      <vt:variant>
        <vt:lpwstr>https://www.cbd.int/documents/CBD/CP/RA/AHTEG/2025/1/3</vt:lpwstr>
      </vt:variant>
      <vt:variant>
        <vt:lpwstr/>
      </vt:variant>
      <vt:variant>
        <vt:i4>4587590</vt:i4>
      </vt:variant>
      <vt:variant>
        <vt:i4>3</vt:i4>
      </vt:variant>
      <vt:variant>
        <vt:i4>0</vt:i4>
      </vt:variant>
      <vt:variant>
        <vt:i4>5</vt:i4>
      </vt:variant>
      <vt:variant>
        <vt:lpwstr>https://www.cbd.int/documents/CBD/SBSTTA/27/6</vt:lpwstr>
      </vt:variant>
      <vt:variant>
        <vt:lpwstr/>
      </vt:variant>
      <vt:variant>
        <vt:i4>2359413</vt:i4>
      </vt:variant>
      <vt:variant>
        <vt:i4>0</vt:i4>
      </vt:variant>
      <vt:variant>
        <vt:i4>0</vt:i4>
      </vt:variant>
      <vt:variant>
        <vt:i4>5</vt:i4>
      </vt:variant>
      <vt:variant>
        <vt:lpwstr>https://www.cbd.int/documents/CBD/CP/RA/AHTEG/2025/1/3</vt:lpwstr>
      </vt:variant>
      <vt:variant>
        <vt:lpwstr/>
      </vt:variant>
      <vt:variant>
        <vt:i4>4587590</vt:i4>
      </vt:variant>
      <vt:variant>
        <vt:i4>0</vt:i4>
      </vt:variant>
      <vt:variant>
        <vt:i4>0</vt:i4>
      </vt:variant>
      <vt:variant>
        <vt:i4>5</vt:i4>
      </vt:variant>
      <vt:variant>
        <vt:lpwstr>https://www.cbd.int/documents/CBD/SBSTTA/27/6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adoptada por el Órgano Subsidiario de Asesoramiento Científico, Técnico y Tecnológico el 24 de octubre de 2025</dc:title>
  <dc:subject/>
  <dc:creator>Secretariat of the Convention on Biological Diversity</dc:creator>
  <cp:keywords>Subsidiary Body on Scientific, Technical and Technological Advice, twenty-seventh meeting</cp:keywords>
  <dc:description/>
  <cp:lastModifiedBy>Laura Perez</cp:lastModifiedBy>
  <cp:revision>16</cp:revision>
  <cp:lastPrinted>2025-11-18T12:19:00Z</cp:lastPrinted>
  <dcterms:created xsi:type="dcterms:W3CDTF">2025-11-17T23:48:00Z</dcterms:created>
  <dcterms:modified xsi:type="dcterms:W3CDTF">2025-11-18T19:00:00Z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MediaServiceImageTags">
    <vt:lpwstr/>
  </property>
  <property fmtid="{D5CDD505-2E9C-101B-9397-08002B2CF9AE}" pid="9" name="ContentTypeId">
    <vt:lpwstr>0x01010069BFACF6D92CD24AA50050CE23F68F74</vt:lpwstr>
  </property>
</Properties>
</file>