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16F38" w14:paraId="139A89C9" w14:textId="77777777" w:rsidTr="001065E9">
        <w:trPr>
          <w:trHeight w:val="850"/>
        </w:trPr>
        <w:tc>
          <w:tcPr>
            <w:tcW w:w="975" w:type="dxa"/>
            <w:vAlign w:val="bottom"/>
          </w:tcPr>
          <w:p w14:paraId="558375E6" w14:textId="77777777" w:rsidR="005012FC" w:rsidRPr="00D16F38" w:rsidRDefault="005012FC" w:rsidP="005012FC">
            <w:pPr>
              <w:pStyle w:val="AASmallLogo"/>
            </w:pPr>
            <w:r w:rsidRPr="00B1090B">
              <w:rPr>
                <w:noProof/>
                <w:lang w:eastAsia="en-CA"/>
                <w14:ligatures w14:val="standardContextual"/>
              </w:rPr>
              <w:drawing>
                <wp:inline distT="0" distB="0" distL="0" distR="0" wp14:anchorId="108C7E4C" wp14:editId="5BAB3C91">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16F38">
              <w:t xml:space="preserve"> </w:t>
            </w:r>
          </w:p>
          <w:p w14:paraId="2F4ED89D" w14:textId="77777777" w:rsidR="001065E9" w:rsidRPr="00D16F38" w:rsidRDefault="001065E9" w:rsidP="005012FC">
            <w:pPr>
              <w:pStyle w:val="AASmallLogo"/>
            </w:pPr>
          </w:p>
        </w:tc>
        <w:tc>
          <w:tcPr>
            <w:tcW w:w="1434" w:type="dxa"/>
            <w:noWrap/>
            <w:vAlign w:val="bottom"/>
          </w:tcPr>
          <w:p w14:paraId="7ED8D3A0" w14:textId="6DD19AB8" w:rsidR="005012FC" w:rsidRPr="00D16F38" w:rsidRDefault="009E6E20" w:rsidP="005012FC">
            <w:pPr>
              <w:pStyle w:val="AASmallLogo"/>
            </w:pPr>
            <w:r w:rsidRPr="009E0E23">
              <w:rPr>
                <w:noProof/>
                <w:lang w:val="fr-CA" w:eastAsia="fr-CA"/>
              </w:rPr>
              <w:drawing>
                <wp:inline distT="0" distB="0" distL="0" distR="0" wp14:anchorId="1D298041" wp14:editId="5C29F76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D16F38">
              <w:t xml:space="preserve"> </w:t>
            </w:r>
          </w:p>
          <w:p w14:paraId="5F3BA419" w14:textId="77777777" w:rsidR="001065E9" w:rsidRPr="00D16F38" w:rsidRDefault="001065E9" w:rsidP="005012FC">
            <w:pPr>
              <w:pStyle w:val="AASmallLogo"/>
            </w:pPr>
          </w:p>
        </w:tc>
        <w:tc>
          <w:tcPr>
            <w:tcW w:w="8073" w:type="dxa"/>
            <w:vAlign w:val="bottom"/>
          </w:tcPr>
          <w:p w14:paraId="0E134068" w14:textId="5822118B" w:rsidR="001065E9" w:rsidRPr="00D16F38" w:rsidRDefault="009C0BBB" w:rsidP="00B1090B">
            <w:pPr>
              <w:pStyle w:val="ABSymbol"/>
            </w:pPr>
            <w:r w:rsidRPr="00B1090B">
              <w:rPr>
                <w:sz w:val="40"/>
              </w:rPr>
              <w:t>CBD</w:t>
            </w:r>
            <w:r w:rsidR="005012FC" w:rsidRPr="00D16F38">
              <w:t>/</w:t>
            </w:r>
            <w:r w:rsidRPr="00B1090B">
              <w:t>SBSTTA</w:t>
            </w:r>
            <w:r w:rsidR="005012FC" w:rsidRPr="00D16F38">
              <w:t>/</w:t>
            </w:r>
            <w:r w:rsidR="006874F8">
              <w:t>REC/</w:t>
            </w:r>
            <w:r w:rsidRPr="00612CDF">
              <w:t>27/</w:t>
            </w:r>
            <w:r w:rsidR="006874F8">
              <w:t>7</w:t>
            </w:r>
          </w:p>
        </w:tc>
      </w:tr>
    </w:tbl>
    <w:p w14:paraId="2AA499BF" w14:textId="77777777" w:rsidR="009F67EB" w:rsidRPr="00D16F38"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16F38" w14:paraId="09B77170" w14:textId="77777777" w:rsidTr="001065E9">
        <w:trPr>
          <w:trHeight w:val="1814"/>
        </w:trPr>
        <w:tc>
          <w:tcPr>
            <w:tcW w:w="7370" w:type="dxa"/>
          </w:tcPr>
          <w:p w14:paraId="07AAF0EF" w14:textId="74A58024" w:rsidR="005012FC" w:rsidRPr="00D16F38" w:rsidRDefault="009E6E20" w:rsidP="005012FC">
            <w:pPr>
              <w:pStyle w:val="ACLargeLogo"/>
            </w:pPr>
            <w:r w:rsidRPr="009E0E23">
              <w:rPr>
                <w:noProof/>
                <w:lang w:val="fr-CA" w:eastAsia="fr-CA"/>
              </w:rPr>
              <w:drawing>
                <wp:inline distT="0" distB="0" distL="0" distR="0" wp14:anchorId="0C31D3E7" wp14:editId="6E9AEAE7">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D16F38">
              <w:t xml:space="preserve"> </w:t>
            </w:r>
          </w:p>
          <w:p w14:paraId="43E9AB4F" w14:textId="77777777" w:rsidR="001065E9" w:rsidRPr="00D16F38" w:rsidRDefault="001065E9" w:rsidP="005012FC">
            <w:pPr>
              <w:pStyle w:val="ACLargeLogo"/>
            </w:pPr>
          </w:p>
        </w:tc>
        <w:tc>
          <w:tcPr>
            <w:tcW w:w="3112" w:type="dxa"/>
          </w:tcPr>
          <w:p w14:paraId="7A14144C" w14:textId="6E3E78DE" w:rsidR="009E6E20" w:rsidRPr="009E0E23" w:rsidRDefault="009E6E20" w:rsidP="009E6E20">
            <w:pPr>
              <w:pStyle w:val="AEDistrNormal"/>
              <w:rPr>
                <w:noProof/>
                <w:lang w:val="fr-CA"/>
              </w:rPr>
            </w:pPr>
            <w:r w:rsidRPr="009E0E23">
              <w:rPr>
                <w:noProof/>
                <w:lang w:val="fr-CA"/>
              </w:rPr>
              <w:t xml:space="preserve">Distr. : </w:t>
            </w:r>
            <w:r>
              <w:rPr>
                <w:noProof/>
                <w:lang w:val="fr-CA"/>
              </w:rPr>
              <w:t>générale</w:t>
            </w:r>
          </w:p>
          <w:p w14:paraId="6F5B9D78" w14:textId="77777777" w:rsidR="009E6E20" w:rsidRPr="009E0E23" w:rsidRDefault="009E6E20" w:rsidP="009E6E20">
            <w:pPr>
              <w:pStyle w:val="AEDistrNormal"/>
              <w:rPr>
                <w:noProof/>
                <w:lang w:val="fr-CA"/>
              </w:rPr>
            </w:pPr>
            <w:r w:rsidRPr="009E0E23">
              <w:rPr>
                <w:noProof/>
                <w:lang w:val="fr-CA"/>
              </w:rPr>
              <w:t>2</w:t>
            </w:r>
            <w:r>
              <w:rPr>
                <w:noProof/>
                <w:lang w:val="fr-CA"/>
              </w:rPr>
              <w:t>4</w:t>
            </w:r>
            <w:r w:rsidRPr="009E0E23">
              <w:rPr>
                <w:noProof/>
                <w:lang w:val="fr-CA"/>
              </w:rPr>
              <w:t> octobre 2025</w:t>
            </w:r>
          </w:p>
          <w:p w14:paraId="28B4FA28" w14:textId="77777777" w:rsidR="009E6E20" w:rsidRPr="009E0E23" w:rsidRDefault="009E6E20" w:rsidP="009E6E20">
            <w:pPr>
              <w:pStyle w:val="AEDistrNormal"/>
              <w:rPr>
                <w:noProof/>
                <w:lang w:val="fr-CA"/>
              </w:rPr>
            </w:pPr>
            <w:r w:rsidRPr="009E0E23">
              <w:rPr>
                <w:noProof/>
                <w:lang w:val="fr-CA"/>
              </w:rPr>
              <w:t>Français</w:t>
            </w:r>
          </w:p>
          <w:p w14:paraId="66696826" w14:textId="41EDAA38" w:rsidR="005012FC" w:rsidRPr="007E2144" w:rsidRDefault="009E6E20" w:rsidP="009E6E20">
            <w:pPr>
              <w:pStyle w:val="AEDistrNormal"/>
            </w:pPr>
            <w:r w:rsidRPr="009E0E23">
              <w:rPr>
                <w:noProof/>
                <w:lang w:val="fr-CA"/>
              </w:rPr>
              <w:t>Original : anglais</w:t>
            </w:r>
            <w:r w:rsidR="005012FC" w:rsidRPr="007E2144">
              <w:t xml:space="preserve"> </w:t>
            </w:r>
          </w:p>
          <w:p w14:paraId="74CD7968" w14:textId="77777777" w:rsidR="001065E9" w:rsidRPr="007E2144" w:rsidRDefault="001065E9" w:rsidP="005012FC">
            <w:pPr>
              <w:pStyle w:val="AEDistrNormal6pt"/>
            </w:pPr>
          </w:p>
        </w:tc>
      </w:tr>
    </w:tbl>
    <w:p w14:paraId="5D878378" w14:textId="77777777" w:rsidR="001065E9" w:rsidRPr="004136E4" w:rsidRDefault="001065E9" w:rsidP="001065E9">
      <w:pPr>
        <w:pStyle w:val="AISpacer"/>
        <w:rPr>
          <w:lang w:val="en-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74E90" w:rsidRPr="009E0E23" w14:paraId="031D3280" w14:textId="77777777" w:rsidTr="00F215E3">
        <w:trPr>
          <w:trHeight w:val="57"/>
        </w:trPr>
        <w:tc>
          <w:tcPr>
            <w:tcW w:w="6094" w:type="dxa"/>
          </w:tcPr>
          <w:p w14:paraId="67734637" w14:textId="77777777" w:rsidR="00D74E90" w:rsidRPr="009E0E23" w:rsidRDefault="00D74E90" w:rsidP="00F215E3">
            <w:pPr>
              <w:pStyle w:val="AFCorN12Bold"/>
              <w:rPr>
                <w:lang w:val="fr-CA"/>
              </w:rPr>
            </w:pPr>
            <w:r w:rsidRPr="009E0E23">
              <w:rPr>
                <w:lang w:val="fr-CA"/>
              </w:rPr>
              <w:t>Organe subsidiaire chargé de fournir des avis scientifiques, techniques et technologiques</w:t>
            </w:r>
          </w:p>
          <w:p w14:paraId="4C5999AD" w14:textId="77777777" w:rsidR="00D74E90" w:rsidRPr="009E0E23" w:rsidRDefault="00D74E90" w:rsidP="00F215E3">
            <w:pPr>
              <w:pStyle w:val="AFCorNBold"/>
              <w:rPr>
                <w:lang w:val="fr-CA"/>
              </w:rPr>
            </w:pPr>
            <w:r w:rsidRPr="009E0E23">
              <w:rPr>
                <w:lang w:val="fr-CA"/>
              </w:rPr>
              <w:t>Vingt-septième réunion</w:t>
            </w:r>
          </w:p>
          <w:p w14:paraId="246958B1" w14:textId="77777777" w:rsidR="00D74E90" w:rsidRPr="009E0E23" w:rsidRDefault="00D74E90" w:rsidP="00F215E3">
            <w:pPr>
              <w:pStyle w:val="AFCorNNormal"/>
              <w:rPr>
                <w:lang w:val="fr-CA"/>
              </w:rPr>
            </w:pPr>
            <w:r w:rsidRPr="009E0E23">
              <w:rPr>
                <w:lang w:val="fr-CA"/>
              </w:rPr>
              <w:t xml:space="preserve">Panama, 20–24 octobre 2025 </w:t>
            </w:r>
          </w:p>
          <w:p w14:paraId="787C45C7" w14:textId="77777777" w:rsidR="00D74E90" w:rsidRPr="009E0E23" w:rsidRDefault="00D74E90" w:rsidP="00F215E3">
            <w:pPr>
              <w:pStyle w:val="AFCorNNormal"/>
              <w:rPr>
                <w:lang w:val="fr-CA"/>
              </w:rPr>
            </w:pPr>
            <w:r w:rsidRPr="009E0E23">
              <w:rPr>
                <w:lang w:val="fr-CA"/>
              </w:rPr>
              <w:t>Point 7 de l’ordre du jour</w:t>
            </w:r>
          </w:p>
          <w:p w14:paraId="528DEE6F" w14:textId="77777777" w:rsidR="00D74E90" w:rsidRPr="009E0E23" w:rsidRDefault="00D74E90" w:rsidP="00F215E3">
            <w:pPr>
              <w:pStyle w:val="AFCorNBold"/>
              <w:spacing w:after="120"/>
              <w:rPr>
                <w:lang w:val="fr-CA"/>
              </w:rPr>
            </w:pPr>
            <w:r w:rsidRPr="009E0E23">
              <w:rPr>
                <w:lang w:val="fr-CA"/>
              </w:rPr>
              <w:t>Évaluation et gestion des risques</w:t>
            </w:r>
          </w:p>
        </w:tc>
        <w:tc>
          <w:tcPr>
            <w:tcW w:w="4388" w:type="dxa"/>
          </w:tcPr>
          <w:p w14:paraId="2A00FE01" w14:textId="77777777" w:rsidR="00D74E90" w:rsidRPr="009E0E23" w:rsidRDefault="00D74E90" w:rsidP="00F215E3">
            <w:pPr>
              <w:pStyle w:val="CBDNormal"/>
              <w:jc w:val="left"/>
              <w:rPr>
                <w:lang w:val="fr-CA"/>
              </w:rPr>
            </w:pPr>
          </w:p>
        </w:tc>
      </w:tr>
    </w:tbl>
    <w:p w14:paraId="12270C94" w14:textId="7D2EE655" w:rsidR="00D74E90" w:rsidRPr="009E0E23" w:rsidRDefault="00D74E90" w:rsidP="00D74E90">
      <w:pPr>
        <w:pStyle w:val="CBDTitle"/>
        <w:rPr>
          <w:lang w:val="fr-CA"/>
        </w:rPr>
      </w:pPr>
      <w:r w:rsidRPr="00D74E90">
        <w:rPr>
          <w:lang w:val="fr-CA"/>
        </w:rPr>
        <w:t>Recommandation adoptée par l'Organe subsidiaire chargé de fournir des avis scientifiques, techniques et technologiques le 24 octobre 2025</w:t>
      </w:r>
      <w:r w:rsidRPr="00D74E90">
        <w:rPr>
          <w:lang w:val="fr-CA"/>
        </w:rPr>
        <w:t xml:space="preserve"> </w:t>
      </w:r>
    </w:p>
    <w:p w14:paraId="7F1A4675" w14:textId="4674B4B1" w:rsidR="00D74E90" w:rsidRPr="009E0E23" w:rsidRDefault="00D74E90" w:rsidP="00D74E90">
      <w:pPr>
        <w:pStyle w:val="CBDSubTitle"/>
        <w:rPr>
          <w:lang w:val="fr-CA"/>
        </w:rPr>
      </w:pPr>
      <w:r w:rsidRPr="00D74E90">
        <w:rPr>
          <w:lang w:val="fr-CA"/>
        </w:rPr>
        <w:t>27/7.</w:t>
      </w:r>
      <w:r w:rsidRPr="00D74E90">
        <w:rPr>
          <w:lang w:val="fr-CA"/>
        </w:rPr>
        <w:tab/>
      </w:r>
      <w:r w:rsidRPr="009E0E23">
        <w:rPr>
          <w:lang w:val="fr-CA"/>
        </w:rPr>
        <w:t>Évaluation et gestion des risques liés aux organismes vivants modifiés</w:t>
      </w:r>
    </w:p>
    <w:p w14:paraId="2E0DEC4B" w14:textId="77777777" w:rsidR="00D74E90" w:rsidRPr="009E0E23" w:rsidRDefault="00D74E90" w:rsidP="00D74E90">
      <w:pPr>
        <w:tabs>
          <w:tab w:val="left" w:pos="2835"/>
          <w:tab w:val="left" w:pos="3402"/>
        </w:tabs>
        <w:spacing w:after="120"/>
        <w:ind w:left="567" w:firstLine="567"/>
        <w:rPr>
          <w:i/>
          <w:lang w:val="fr-CA"/>
        </w:rPr>
      </w:pPr>
      <w:r w:rsidRPr="009E0E23">
        <w:rPr>
          <w:i/>
          <w:lang w:val="fr-CA"/>
        </w:rPr>
        <w:t>L’Organe subsidiaire chargé de fournir des avis scientifiques, techniques et technologiques</w:t>
      </w:r>
    </w:p>
    <w:p w14:paraId="672EC166" w14:textId="77777777" w:rsidR="00D74E90" w:rsidRPr="009E0E23" w:rsidRDefault="00D74E90" w:rsidP="00D74E90">
      <w:pPr>
        <w:tabs>
          <w:tab w:val="left" w:pos="2835"/>
          <w:tab w:val="left" w:pos="3402"/>
        </w:tabs>
        <w:spacing w:after="120"/>
        <w:ind w:left="567" w:firstLine="567"/>
        <w:rPr>
          <w:lang w:val="fr-CA"/>
        </w:rPr>
      </w:pPr>
      <w:r w:rsidRPr="009E0E23">
        <w:rPr>
          <w:i/>
          <w:lang w:val="fr-CA"/>
        </w:rPr>
        <w:t>Recommande</w:t>
      </w:r>
      <w:r w:rsidRPr="009E0E23">
        <w:rPr>
          <w:lang w:val="fr-CA"/>
        </w:rPr>
        <w:t xml:space="preserve"> que la Conférence des Parties siégeant en tant que réunion des Parties au Protocole de Cartagena sur la prévention des risque</w:t>
      </w:r>
      <w:r>
        <w:rPr>
          <w:lang w:val="fr-CA"/>
        </w:rPr>
        <w:t>s</w:t>
      </w:r>
      <w:r w:rsidRPr="009E0E23">
        <w:rPr>
          <w:lang w:val="fr-CA"/>
        </w:rPr>
        <w:t xml:space="preserve"> biotechnologiques</w:t>
      </w:r>
      <w:r>
        <w:rPr>
          <w:rStyle w:val="Appelnotedebasdep"/>
        </w:rPr>
        <w:footnoteReference w:id="1"/>
      </w:r>
      <w:r>
        <w:rPr>
          <w:lang w:val="fr-CA"/>
        </w:rPr>
        <w:t xml:space="preserve"> </w:t>
      </w:r>
      <w:r w:rsidRPr="009E0E23">
        <w:rPr>
          <w:lang w:val="fr-CA"/>
        </w:rPr>
        <w:t xml:space="preserve">adopte à sa douzième réunion une décision </w:t>
      </w:r>
      <w:r>
        <w:rPr>
          <w:lang w:val="fr-CA"/>
        </w:rPr>
        <w:t>sur le modèle suivant</w:t>
      </w:r>
      <w:r w:rsidRPr="009E0E23">
        <w:rPr>
          <w:lang w:val="fr-CA"/>
        </w:rPr>
        <w:t> :</w:t>
      </w:r>
    </w:p>
    <w:p w14:paraId="07BE6330" w14:textId="32BDFDDD" w:rsidR="00D74E90" w:rsidRPr="009E0E23" w:rsidRDefault="00D74E90" w:rsidP="00D74E90">
      <w:pPr>
        <w:tabs>
          <w:tab w:val="clear" w:pos="567"/>
          <w:tab w:val="left" w:pos="2835"/>
          <w:tab w:val="left" w:pos="3402"/>
        </w:tabs>
        <w:spacing w:after="120"/>
        <w:ind w:left="1134" w:firstLine="567"/>
        <w:rPr>
          <w:i/>
          <w:iCs/>
          <w:lang w:val="fr-CA"/>
        </w:rPr>
      </w:pPr>
      <w:r w:rsidRPr="009E0E23">
        <w:rPr>
          <w:i/>
          <w:iCs/>
          <w:lang w:val="fr-CA"/>
        </w:rPr>
        <w:t xml:space="preserve">La Conférence des Parties siégeant en tant que réunion des Parties au Protocole de Cartagena sur la prévention des </w:t>
      </w:r>
      <w:r w:rsidR="00074048" w:rsidRPr="009E0E23">
        <w:rPr>
          <w:i/>
          <w:iCs/>
          <w:lang w:val="fr-CA"/>
        </w:rPr>
        <w:t>risques</w:t>
      </w:r>
      <w:r w:rsidRPr="009E0E23">
        <w:rPr>
          <w:i/>
          <w:iCs/>
          <w:lang w:val="fr-CA"/>
        </w:rPr>
        <w:t xml:space="preserve"> biotechnologiques,</w:t>
      </w:r>
    </w:p>
    <w:p w14:paraId="2DEFE8F4" w14:textId="77777777" w:rsidR="00D74E90" w:rsidRPr="009E0E23" w:rsidRDefault="00D74E90" w:rsidP="00D74E90">
      <w:pPr>
        <w:tabs>
          <w:tab w:val="clear" w:pos="567"/>
          <w:tab w:val="left" w:pos="2835"/>
          <w:tab w:val="left" w:pos="3402"/>
          <w:tab w:val="left" w:pos="3969"/>
        </w:tabs>
        <w:spacing w:before="120" w:after="120"/>
        <w:ind w:left="1134" w:right="4" w:firstLine="567"/>
        <w:rPr>
          <w:i/>
          <w:iCs/>
          <w:lang w:val="fr-CA"/>
        </w:rPr>
      </w:pPr>
      <w:r w:rsidRPr="009E0E23">
        <w:rPr>
          <w:i/>
          <w:iCs/>
          <w:lang w:val="fr-CA"/>
        </w:rPr>
        <w:t xml:space="preserve">Rappelant </w:t>
      </w:r>
      <w:r w:rsidRPr="009E0E23">
        <w:rPr>
          <w:lang w:val="fr-CA"/>
        </w:rPr>
        <w:t>les décisions </w:t>
      </w:r>
      <w:hyperlink r:id="rId14" w:history="1">
        <w:r w:rsidRPr="009E0E23">
          <w:rPr>
            <w:rStyle w:val="Lienhypertexte"/>
            <w:lang w:val="fr-CA"/>
          </w:rPr>
          <w:t>CP-9/13</w:t>
        </w:r>
      </w:hyperlink>
      <w:r>
        <w:rPr>
          <w:lang w:val="fr-CA"/>
        </w:rPr>
        <w:t xml:space="preserve"> </w:t>
      </w:r>
      <w:r w:rsidRPr="009E0E23">
        <w:rPr>
          <w:lang w:val="fr-CA"/>
        </w:rPr>
        <w:t>du 28 novembre 2018 et </w:t>
      </w:r>
      <w:hyperlink r:id="rId15" w:history="1">
        <w:r w:rsidRPr="009E0E23">
          <w:rPr>
            <w:rStyle w:val="Lienhypertexte"/>
            <w:lang w:val="fr-CA"/>
          </w:rPr>
          <w:t>CP-11/7</w:t>
        </w:r>
      </w:hyperlink>
      <w:r w:rsidRPr="009E0E23">
        <w:rPr>
          <w:lang w:val="fr-CA"/>
        </w:rPr>
        <w:t xml:space="preserve"> du</w:t>
      </w:r>
      <w:r>
        <w:rPr>
          <w:lang w:val="fr-CA"/>
        </w:rPr>
        <w:t xml:space="preserve"> </w:t>
      </w:r>
      <w:r w:rsidRPr="009E0E23">
        <w:rPr>
          <w:lang w:val="fr-CA"/>
        </w:rPr>
        <w:t>30 octobre 2024,</w:t>
      </w:r>
    </w:p>
    <w:p w14:paraId="67C89B2D" w14:textId="7294F44B"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1.</w:t>
      </w:r>
      <w:r w:rsidRPr="009E0E23">
        <w:rPr>
          <w:i/>
          <w:iCs/>
          <w:lang w:val="fr-CA"/>
        </w:rPr>
        <w:tab/>
      </w:r>
      <w:r w:rsidR="00074048" w:rsidRPr="00074048">
        <w:rPr>
          <w:i/>
          <w:iCs/>
          <w:lang w:val="fr-CA"/>
        </w:rPr>
        <w:t>Se félicite</w:t>
      </w:r>
      <w:r w:rsidR="00074048" w:rsidRPr="00B12A38">
        <w:rPr>
          <w:lang w:val="fr-CA"/>
        </w:rPr>
        <w:t xml:space="preserve"> des travaux du Groupe spécial d'experts techniques sur l'évaluation des risques</w:t>
      </w:r>
      <w:r w:rsidR="00074048" w:rsidRPr="009E0E23">
        <w:rPr>
          <w:rStyle w:val="Appelnotedebasdep"/>
          <w:lang w:val="fr-CA"/>
        </w:rPr>
        <w:footnoteReference w:id="2"/>
      </w:r>
      <w:r w:rsidR="00074048" w:rsidRPr="00B12A38">
        <w:rPr>
          <w:lang w:val="fr-CA"/>
        </w:rPr>
        <w:t xml:space="preserve"> et de son application des critères énoncés à l'annexe I de la </w:t>
      </w:r>
      <w:r w:rsidR="00074048" w:rsidRPr="009E0E23">
        <w:rPr>
          <w:lang w:val="fr-CA"/>
        </w:rPr>
        <w:t xml:space="preserve">décision </w:t>
      </w:r>
      <w:hyperlink r:id="rId16" w:history="1">
        <w:r w:rsidR="00074048" w:rsidRPr="009E0E23">
          <w:rPr>
            <w:rStyle w:val="Lienhypertexte"/>
            <w:lang w:val="fr-CA"/>
          </w:rPr>
          <w:t>CP-9/13</w:t>
        </w:r>
      </w:hyperlink>
      <w:r w:rsidR="00074048">
        <w:t xml:space="preserve"> </w:t>
      </w:r>
      <w:r w:rsidR="00074048" w:rsidRPr="00B12A38">
        <w:rPr>
          <w:lang w:val="fr-CA"/>
        </w:rPr>
        <w:t xml:space="preserve">concernant les questions proposées par les Parties au sujet des besoins et des priorités en matière d'orientations supplémentaires sur des questions </w:t>
      </w:r>
      <w:r w:rsidR="00074048">
        <w:rPr>
          <w:lang w:val="fr-CA"/>
        </w:rPr>
        <w:t>particulières</w:t>
      </w:r>
      <w:r w:rsidR="00074048" w:rsidRPr="00B12A38">
        <w:rPr>
          <w:lang w:val="fr-CA"/>
        </w:rPr>
        <w:t xml:space="preserve"> liées à l'évaluation des risques des organismes vivants modifiés</w:t>
      </w:r>
      <w:r w:rsidR="00074048" w:rsidRPr="009E0E23">
        <w:rPr>
          <w:rStyle w:val="Appelnotedebasdep"/>
          <w:lang w:val="fr-CA"/>
        </w:rPr>
        <w:footnoteReference w:id="3"/>
      </w:r>
      <w:r w:rsidR="00074048">
        <w:rPr>
          <w:lang w:val="fr-CA"/>
        </w:rPr>
        <w:t xml:space="preserve"> </w:t>
      </w:r>
      <w:r w:rsidRPr="009E0E23">
        <w:rPr>
          <w:lang w:val="fr-CA"/>
        </w:rPr>
        <w:t>;</w:t>
      </w:r>
    </w:p>
    <w:p w14:paraId="15F5F294" w14:textId="2D5885A5"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[2</w:t>
      </w:r>
      <w:r w:rsidRPr="009E0E23">
        <w:rPr>
          <w:i/>
          <w:iCs/>
          <w:lang w:val="fr-CA"/>
        </w:rPr>
        <w:t>.</w:t>
      </w:r>
      <w:r w:rsidRPr="009E0E23">
        <w:rPr>
          <w:i/>
          <w:iCs/>
          <w:lang w:val="fr-CA"/>
        </w:rPr>
        <w:tab/>
        <w:t xml:space="preserve">Décide </w:t>
      </w:r>
      <w:r w:rsidRPr="009E0E23">
        <w:rPr>
          <w:iCs/>
          <w:lang w:val="fr-CA"/>
        </w:rPr>
        <w:t xml:space="preserve">d’élaborer au maximum deux </w:t>
      </w:r>
      <w:r w:rsidRPr="009E0E23">
        <w:rPr>
          <w:lang w:val="fr-CA"/>
        </w:rPr>
        <w:t>documents d'orientation facultati</w:t>
      </w:r>
      <w:r w:rsidR="00F25289">
        <w:rPr>
          <w:lang w:val="fr-CA"/>
        </w:rPr>
        <w:t xml:space="preserve">fs </w:t>
      </w:r>
      <w:r w:rsidRPr="009E0E23">
        <w:rPr>
          <w:lang w:val="fr-CA"/>
        </w:rPr>
        <w:t>supplémentaires conformément à l’annexe III du Protocole de Cartagena sur la prévention des risques biotechnologiques</w:t>
      </w:r>
      <w:r w:rsidRPr="009E0E23">
        <w:rPr>
          <w:rStyle w:val="Appelnotedebasdep"/>
          <w:lang w:val="fr-CA"/>
        </w:rPr>
        <w:footnoteReference w:id="4"/>
      </w:r>
      <w:r w:rsidRPr="009E0E23">
        <w:rPr>
          <w:lang w:val="fr-CA"/>
        </w:rPr>
        <w:t xml:space="preserve">, sur les </w:t>
      </w:r>
      <w:r w:rsidR="00074048">
        <w:rPr>
          <w:lang w:val="fr-CA"/>
        </w:rPr>
        <w:t>questions</w:t>
      </w:r>
      <w:r w:rsidRPr="009E0E23">
        <w:rPr>
          <w:lang w:val="fr-CA"/>
        </w:rPr>
        <w:t xml:space="preserve"> suivant</w:t>
      </w:r>
      <w:r w:rsidR="00074048">
        <w:rPr>
          <w:lang w:val="fr-CA"/>
        </w:rPr>
        <w:t>e</w:t>
      </w:r>
      <w:r w:rsidRPr="009E0E23">
        <w:rPr>
          <w:lang w:val="fr-CA"/>
        </w:rPr>
        <w:t xml:space="preserve">s : [les algues vivantes modifiées], [les poissons vivants modifiés], [les microorganismes vivants modifiés], [les organismes vivants modifiés </w:t>
      </w:r>
      <w:r>
        <w:rPr>
          <w:lang w:val="fr-CA"/>
        </w:rPr>
        <w:t>comportant</w:t>
      </w:r>
      <w:r w:rsidRPr="009E0E23">
        <w:rPr>
          <w:lang w:val="fr-CA"/>
        </w:rPr>
        <w:t xml:space="preserve"> un mécanisme d'édition génomique </w:t>
      </w:r>
      <w:r>
        <w:rPr>
          <w:lang w:val="fr-CA"/>
        </w:rPr>
        <w:t>permettant de</w:t>
      </w:r>
      <w:r w:rsidRPr="009E0E23">
        <w:rPr>
          <w:lang w:val="fr-CA"/>
        </w:rPr>
        <w:t xml:space="preserve"> lutter contre les </w:t>
      </w:r>
      <w:r>
        <w:rPr>
          <w:lang w:val="fr-CA"/>
        </w:rPr>
        <w:t>ravageurs</w:t>
      </w:r>
      <w:r w:rsidRPr="009E0E23">
        <w:rPr>
          <w:lang w:val="fr-CA"/>
        </w:rPr>
        <w:t xml:space="preserve"> et les agents pathogènes] [les effets cumulatifs et à long terme des constructions géniques et des organismes vivants modifiés], [la </w:t>
      </w:r>
      <w:r>
        <w:rPr>
          <w:lang w:val="fr-CA"/>
        </w:rPr>
        <w:t>traduction</w:t>
      </w:r>
      <w:r w:rsidRPr="009E0E23">
        <w:rPr>
          <w:lang w:val="fr-CA"/>
        </w:rPr>
        <w:t xml:space="preserve"> d</w:t>
      </w:r>
      <w:r>
        <w:rPr>
          <w:lang w:val="fr-CA"/>
        </w:rPr>
        <w:t xml:space="preserve">es </w:t>
      </w:r>
      <w:r w:rsidRPr="009E0E23">
        <w:rPr>
          <w:lang w:val="fr-CA"/>
        </w:rPr>
        <w:t xml:space="preserve">objectifs de protection en critères d'évaluation et de mesure pertinents], [l’utilisation d’organismes vivants modifiés dans les centres d’origine et dans les systèmes agricoles traditionnels], tout en évitant les doubles emplois et, au besoin, en complétant </w:t>
      </w:r>
      <w:r>
        <w:rPr>
          <w:lang w:val="fr-CA"/>
        </w:rPr>
        <w:t xml:space="preserve">les </w:t>
      </w:r>
      <w:r w:rsidRPr="009E0E23">
        <w:rPr>
          <w:lang w:val="fr-CA"/>
        </w:rPr>
        <w:t>orientation</w:t>
      </w:r>
      <w:r>
        <w:rPr>
          <w:lang w:val="fr-CA"/>
        </w:rPr>
        <w:t>s</w:t>
      </w:r>
      <w:r w:rsidRPr="009E0E23">
        <w:rPr>
          <w:lang w:val="fr-CA"/>
        </w:rPr>
        <w:t xml:space="preserve"> existant</w:t>
      </w:r>
      <w:r>
        <w:rPr>
          <w:lang w:val="fr-CA"/>
        </w:rPr>
        <w:t xml:space="preserve">es </w:t>
      </w:r>
      <w:r w:rsidRPr="009E0E23">
        <w:rPr>
          <w:lang w:val="fr-CA"/>
        </w:rPr>
        <w:t>;</w:t>
      </w:r>
    </w:p>
    <w:p w14:paraId="1767DA74" w14:textId="5CEAB922" w:rsidR="00D74E90" w:rsidRPr="009E0E23" w:rsidRDefault="00D74E90" w:rsidP="00D74E90">
      <w:pPr>
        <w:tabs>
          <w:tab w:val="clear" w:pos="567"/>
          <w:tab w:val="left" w:pos="2835"/>
          <w:tab w:val="left" w:pos="3402"/>
        </w:tabs>
        <w:spacing w:after="120"/>
        <w:ind w:left="1134" w:firstLine="567"/>
        <w:rPr>
          <w:b/>
          <w:bCs/>
          <w:u w:val="single"/>
          <w:lang w:val="fr-CA"/>
        </w:rPr>
      </w:pPr>
      <w:r w:rsidRPr="009E0E23">
        <w:rPr>
          <w:lang w:val="fr-CA"/>
        </w:rPr>
        <w:lastRenderedPageBreak/>
        <w:t>[3</w:t>
      </w:r>
      <w:r w:rsidRPr="009E0E23">
        <w:rPr>
          <w:i/>
          <w:iCs/>
          <w:lang w:val="fr-CA"/>
        </w:rPr>
        <w:t>.</w:t>
      </w:r>
      <w:r w:rsidRPr="009E0E23">
        <w:rPr>
          <w:i/>
          <w:iCs/>
          <w:lang w:val="fr-CA"/>
        </w:rPr>
        <w:tab/>
        <w:t xml:space="preserve">Décide </w:t>
      </w:r>
      <w:r w:rsidR="0064455B">
        <w:rPr>
          <w:i/>
          <w:iCs/>
          <w:lang w:val="fr-CA"/>
        </w:rPr>
        <w:t>également</w:t>
      </w:r>
      <w:r w:rsidRPr="009E0E23">
        <w:rPr>
          <w:lang w:val="fr-CA"/>
        </w:rPr>
        <w:t xml:space="preserve"> d’élargir </w:t>
      </w:r>
      <w:r>
        <w:rPr>
          <w:lang w:val="fr-CA"/>
        </w:rPr>
        <w:t>le</w:t>
      </w:r>
      <w:r w:rsidRPr="009E0E23">
        <w:rPr>
          <w:lang w:val="fr-CA"/>
        </w:rPr>
        <w:t xml:space="preserve"> renforcement des capacités en matière d’évaluation des risques et de gestion des risques liés au organismes vivants modifiés, en </w:t>
      </w:r>
      <w:r>
        <w:rPr>
          <w:lang w:val="fr-CA"/>
        </w:rPr>
        <w:t>utilisant les</w:t>
      </w:r>
      <w:r w:rsidRPr="009E0E23">
        <w:rPr>
          <w:lang w:val="fr-CA"/>
        </w:rPr>
        <w:t xml:space="preserve"> informations, </w:t>
      </w:r>
      <w:r>
        <w:rPr>
          <w:lang w:val="fr-CA"/>
        </w:rPr>
        <w:t>méthodes</w:t>
      </w:r>
      <w:r w:rsidRPr="009E0E23">
        <w:rPr>
          <w:lang w:val="fr-CA"/>
        </w:rPr>
        <w:t xml:space="preserve"> et orientation</w:t>
      </w:r>
      <w:r>
        <w:rPr>
          <w:lang w:val="fr-CA"/>
        </w:rPr>
        <w:t>s</w:t>
      </w:r>
      <w:r w:rsidRPr="009E0E23">
        <w:rPr>
          <w:lang w:val="fr-CA"/>
        </w:rPr>
        <w:t xml:space="preserve"> </w:t>
      </w:r>
      <w:r>
        <w:rPr>
          <w:lang w:val="fr-CA"/>
        </w:rPr>
        <w:t xml:space="preserve">connexes </w:t>
      </w:r>
      <w:r w:rsidRPr="009E0E23">
        <w:rPr>
          <w:lang w:val="fr-CA"/>
        </w:rPr>
        <w:t>existant</w:t>
      </w:r>
      <w:r>
        <w:rPr>
          <w:lang w:val="fr-CA"/>
        </w:rPr>
        <w:t>e</w:t>
      </w:r>
      <w:r w:rsidRPr="009E0E23">
        <w:rPr>
          <w:lang w:val="fr-CA"/>
        </w:rPr>
        <w:t xml:space="preserve">s, y compris </w:t>
      </w:r>
      <w:r>
        <w:rPr>
          <w:lang w:val="fr-CA"/>
        </w:rPr>
        <w:t>celles</w:t>
      </w:r>
      <w:r w:rsidRPr="009E0E23">
        <w:rPr>
          <w:lang w:val="fr-CA"/>
        </w:rPr>
        <w:t xml:space="preserve"> </w:t>
      </w:r>
      <w:r>
        <w:rPr>
          <w:lang w:val="fr-CA"/>
        </w:rPr>
        <w:t>élaborées</w:t>
      </w:r>
      <w:r w:rsidRPr="009E0E23">
        <w:rPr>
          <w:lang w:val="fr-CA"/>
        </w:rPr>
        <w:t xml:space="preserve"> au titre du Protocole de Cartagena, comme la </w:t>
      </w:r>
      <w:r w:rsidRPr="009E0E23">
        <w:rPr>
          <w:i/>
          <w:lang w:val="fr-CA"/>
        </w:rPr>
        <w:t>Série technique sur la prévention des risques biotechnologiques 07</w:t>
      </w:r>
      <w:r>
        <w:rPr>
          <w:i/>
          <w:lang w:val="fr-CA"/>
        </w:rPr>
        <w:t xml:space="preserve"> </w:t>
      </w:r>
      <w:r w:rsidRPr="009E0E23">
        <w:rPr>
          <w:lang w:val="fr-CA"/>
        </w:rPr>
        <w:t>;]</w:t>
      </w:r>
    </w:p>
    <w:p w14:paraId="063460F2" w14:textId="5F2214FF"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[3. alt</w:t>
      </w:r>
      <w:r w:rsidRPr="009E0E23">
        <w:rPr>
          <w:i/>
          <w:iCs/>
          <w:lang w:val="fr-CA"/>
        </w:rPr>
        <w:t xml:space="preserve">. Décide </w:t>
      </w:r>
      <w:r w:rsidR="0064455B">
        <w:rPr>
          <w:i/>
          <w:iCs/>
          <w:lang w:val="fr-CA"/>
        </w:rPr>
        <w:t>également</w:t>
      </w:r>
      <w:r w:rsidRPr="009E0E23">
        <w:rPr>
          <w:lang w:val="fr-CA"/>
        </w:rPr>
        <w:t xml:space="preserve"> d’élargir </w:t>
      </w:r>
      <w:r>
        <w:rPr>
          <w:lang w:val="fr-CA"/>
        </w:rPr>
        <w:t>le</w:t>
      </w:r>
      <w:r w:rsidRPr="009E0E23">
        <w:rPr>
          <w:lang w:val="fr-CA"/>
        </w:rPr>
        <w:t xml:space="preserve"> renforcement des capacités en matière d’évaluation des risques et de gestion des risques liés au organismes vivants modifiés, en </w:t>
      </w:r>
      <w:r>
        <w:rPr>
          <w:lang w:val="fr-CA"/>
        </w:rPr>
        <w:t>utilisant les</w:t>
      </w:r>
      <w:r w:rsidRPr="009E0E23">
        <w:rPr>
          <w:lang w:val="fr-CA"/>
        </w:rPr>
        <w:t xml:space="preserve"> informations</w:t>
      </w:r>
      <w:r w:rsidR="0064455B">
        <w:rPr>
          <w:lang w:val="fr-CA"/>
        </w:rPr>
        <w:t xml:space="preserve"> et</w:t>
      </w:r>
      <w:r w:rsidRPr="009E0E23">
        <w:rPr>
          <w:lang w:val="fr-CA"/>
        </w:rPr>
        <w:t xml:space="preserve"> orientation</w:t>
      </w:r>
      <w:r>
        <w:rPr>
          <w:lang w:val="fr-CA"/>
        </w:rPr>
        <w:t>s</w:t>
      </w:r>
      <w:r w:rsidRPr="009E0E23">
        <w:rPr>
          <w:lang w:val="fr-CA"/>
        </w:rPr>
        <w:t xml:space="preserve"> existant</w:t>
      </w:r>
      <w:r>
        <w:rPr>
          <w:lang w:val="fr-CA"/>
        </w:rPr>
        <w:t>e</w:t>
      </w:r>
      <w:r w:rsidRPr="009E0E23">
        <w:rPr>
          <w:lang w:val="fr-CA"/>
        </w:rPr>
        <w:t xml:space="preserve">s </w:t>
      </w:r>
      <w:r w:rsidR="0064455B">
        <w:rPr>
          <w:lang w:val="fr-CA"/>
        </w:rPr>
        <w:t>ainsi que</w:t>
      </w:r>
      <w:r w:rsidRPr="009E0E23">
        <w:rPr>
          <w:lang w:val="fr-CA"/>
        </w:rPr>
        <w:t xml:space="preserve"> </w:t>
      </w:r>
      <w:r>
        <w:rPr>
          <w:lang w:val="fr-CA"/>
        </w:rPr>
        <w:t>la méthode d</w:t>
      </w:r>
      <w:r w:rsidRPr="009E0E23">
        <w:rPr>
          <w:lang w:val="fr-CA"/>
        </w:rPr>
        <w:t xml:space="preserve">’évaluation des risques liés aux organismes vivants modifiés décrite dans la </w:t>
      </w:r>
      <w:r w:rsidRPr="009E0E23">
        <w:rPr>
          <w:i/>
          <w:lang w:val="fr-CA"/>
        </w:rPr>
        <w:t>Série technique sur la prévention des risques biotechnologiques 07</w:t>
      </w:r>
      <w:r>
        <w:rPr>
          <w:i/>
          <w:lang w:val="fr-CA"/>
        </w:rPr>
        <w:t xml:space="preserve"> </w:t>
      </w:r>
      <w:r w:rsidRPr="009E0E23">
        <w:rPr>
          <w:lang w:val="fr-CA"/>
        </w:rPr>
        <w:t>;]</w:t>
      </w:r>
    </w:p>
    <w:p w14:paraId="2277DE5C"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[4.</w:t>
      </w:r>
      <w:r w:rsidRPr="009E0E23">
        <w:rPr>
          <w:i/>
          <w:iCs/>
          <w:lang w:val="fr-CA"/>
        </w:rPr>
        <w:tab/>
        <w:t>Décide en outre</w:t>
      </w:r>
      <w:r w:rsidRPr="009E0E23">
        <w:rPr>
          <w:lang w:val="fr-CA"/>
        </w:rPr>
        <w:t xml:space="preserve"> d'établir un nouveau groupe spécial d'experts techniques sur l'évaluation des risques dont le mandat </w:t>
      </w:r>
      <w:r>
        <w:rPr>
          <w:lang w:val="fr-CA"/>
        </w:rPr>
        <w:t>figure</w:t>
      </w:r>
      <w:r w:rsidRPr="009E0E23">
        <w:rPr>
          <w:lang w:val="fr-CA"/>
        </w:rPr>
        <w:t xml:space="preserve"> dans l'annexe à la présente décision</w:t>
      </w:r>
      <w:r>
        <w:rPr>
          <w:lang w:val="fr-CA"/>
        </w:rPr>
        <w:t xml:space="preserve"> </w:t>
      </w:r>
      <w:r w:rsidRPr="009E0E23">
        <w:rPr>
          <w:lang w:val="fr-CA"/>
        </w:rPr>
        <w:t>;]</w:t>
      </w:r>
    </w:p>
    <w:p w14:paraId="6B9A3CF8" w14:textId="29D458B5" w:rsidR="00D74E90" w:rsidRPr="009E0E23" w:rsidRDefault="00D74E90" w:rsidP="00D74E90">
      <w:pPr>
        <w:tabs>
          <w:tab w:val="clear" w:pos="567"/>
          <w:tab w:val="left" w:pos="2835"/>
          <w:tab w:val="left" w:pos="3402"/>
        </w:tabs>
        <w:spacing w:after="120"/>
        <w:ind w:left="1134" w:firstLine="567"/>
        <w:rPr>
          <w:b/>
          <w:u w:val="single"/>
          <w:lang w:val="fr-CA"/>
        </w:rPr>
      </w:pPr>
      <w:r w:rsidRPr="009E0E23">
        <w:rPr>
          <w:lang w:val="fr-CA"/>
        </w:rPr>
        <w:t>[5.</w:t>
      </w:r>
      <w:r w:rsidRPr="009E0E23">
        <w:rPr>
          <w:i/>
          <w:iCs/>
          <w:lang w:val="fr-CA"/>
        </w:rPr>
        <w:tab/>
      </w:r>
      <w:r w:rsidRPr="009E0E23">
        <w:rPr>
          <w:rFonts w:eastAsia="Times New Roman"/>
          <w:i/>
          <w:lang w:val="fr-CA" w:eastAsia="fr-CA"/>
        </w:rPr>
        <w:t>Invite</w:t>
      </w:r>
      <w:r w:rsidRPr="009E0E23">
        <w:rPr>
          <w:rFonts w:eastAsia="Times New Roman"/>
          <w:lang w:val="fr-CA" w:eastAsia="fr-CA"/>
        </w:rPr>
        <w:t xml:space="preserve"> les Parties, les autres gouvernements, les peuples autochtones et communautés locales, les femmes, les jeunes, le monde universitaire et les organisations concernées à communiquer des informations pertinentes, telles que les expériences nationales et régionales d’évaluation des risques et les ressources existantes pour l’évaluation des risques des </w:t>
      </w:r>
      <w:r w:rsidR="0064455B">
        <w:rPr>
          <w:rFonts w:eastAsia="Times New Roman"/>
          <w:lang w:val="fr-CA" w:eastAsia="fr-CA"/>
        </w:rPr>
        <w:t>questions</w:t>
      </w:r>
      <w:r w:rsidRPr="009E0E23">
        <w:rPr>
          <w:rFonts w:eastAsia="Times New Roman"/>
          <w:lang w:val="fr-CA" w:eastAsia="fr-CA"/>
        </w:rPr>
        <w:t xml:space="preserve"> sélectionné</w:t>
      </w:r>
      <w:r w:rsidR="0064455B">
        <w:rPr>
          <w:rFonts w:eastAsia="Times New Roman"/>
          <w:lang w:val="fr-CA" w:eastAsia="fr-CA"/>
        </w:rPr>
        <w:t>e</w:t>
      </w:r>
      <w:r w:rsidRPr="009E0E23">
        <w:rPr>
          <w:rFonts w:eastAsia="Times New Roman"/>
          <w:lang w:val="fr-CA" w:eastAsia="fr-CA"/>
        </w:rPr>
        <w:t>s, afin d’appuyer les travaux du Groupe spécial d’experts techniques sur l’évaluation des risques</w:t>
      </w:r>
      <w:r>
        <w:rPr>
          <w:rFonts w:eastAsia="Times New Roman"/>
          <w:lang w:val="fr-CA" w:eastAsia="fr-CA"/>
        </w:rPr>
        <w:t xml:space="preserve"> </w:t>
      </w:r>
      <w:r w:rsidRPr="009E0E23">
        <w:rPr>
          <w:lang w:val="fr-CA"/>
        </w:rPr>
        <w:t>;]</w:t>
      </w:r>
    </w:p>
    <w:p w14:paraId="1721F639"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[6.</w:t>
      </w:r>
      <w:r w:rsidRPr="009E0E23">
        <w:rPr>
          <w:i/>
          <w:iCs/>
          <w:lang w:val="fr-CA"/>
        </w:rPr>
        <w:tab/>
      </w:r>
      <w:r w:rsidRPr="009E0E23">
        <w:rPr>
          <w:rFonts w:eastAsia="Times New Roman"/>
          <w:i/>
          <w:lang w:val="fr-CA" w:eastAsia="fr-CA"/>
        </w:rPr>
        <w:t>Décide</w:t>
      </w:r>
      <w:r w:rsidRPr="009E0E23">
        <w:rPr>
          <w:rFonts w:eastAsia="Times New Roman"/>
          <w:lang w:val="fr-CA" w:eastAsia="fr-CA"/>
        </w:rPr>
        <w:t xml:space="preserve"> de proroger le Forum en ligne à composition non limitée sur l’évaluation et la gestion des risques afin d’appuyer les travaux du Groupe spécial d’experts techniques sur l’évaluation des risques</w:t>
      </w:r>
      <w:r>
        <w:rPr>
          <w:rFonts w:eastAsia="Times New Roman"/>
          <w:lang w:val="fr-CA" w:eastAsia="fr-CA"/>
        </w:rPr>
        <w:t xml:space="preserve"> </w:t>
      </w:r>
      <w:r w:rsidRPr="009E0E23">
        <w:rPr>
          <w:lang w:val="fr-CA"/>
        </w:rPr>
        <w:t>;]</w:t>
      </w:r>
    </w:p>
    <w:p w14:paraId="0CEFB36A" w14:textId="491F8FAE"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[7.</w:t>
      </w:r>
      <w:r w:rsidRPr="009E0E23">
        <w:rPr>
          <w:i/>
          <w:iCs/>
          <w:lang w:val="fr-CA"/>
        </w:rPr>
        <w:tab/>
      </w:r>
      <w:r w:rsidRPr="009E0E23">
        <w:rPr>
          <w:rFonts w:eastAsia="Times New Roman"/>
          <w:i/>
          <w:lang w:val="fr-CA" w:eastAsia="fr-CA"/>
        </w:rPr>
        <w:t>Décide également</w:t>
      </w:r>
      <w:r w:rsidRPr="009E0E23">
        <w:rPr>
          <w:rFonts w:eastAsia="Times New Roman"/>
          <w:lang w:val="fr-CA" w:eastAsia="fr-CA"/>
        </w:rPr>
        <w:t xml:space="preserve"> d’examiner, à sa treizième réunion, d’autres questions pour lesquelles des documents d’orientation sur l’évaluation des risques pourraient être nécessaires, conformément au processus défini dans la décision CP-9/13 pour </w:t>
      </w:r>
      <w:r>
        <w:rPr>
          <w:rFonts w:eastAsia="Times New Roman"/>
          <w:lang w:val="fr-CA" w:eastAsia="fr-CA"/>
        </w:rPr>
        <w:t>le recensement</w:t>
      </w:r>
      <w:r w:rsidRPr="009E0E23">
        <w:rPr>
          <w:rFonts w:eastAsia="Times New Roman"/>
          <w:lang w:val="fr-CA" w:eastAsia="fr-CA"/>
        </w:rPr>
        <w:t xml:space="preserve"> et la hiérarchisation des questions </w:t>
      </w:r>
      <w:r>
        <w:rPr>
          <w:rFonts w:eastAsia="Times New Roman"/>
          <w:lang w:val="fr-CA" w:eastAsia="fr-CA"/>
        </w:rPr>
        <w:t>particulières</w:t>
      </w:r>
      <w:r w:rsidRPr="009E0E23">
        <w:rPr>
          <w:rFonts w:eastAsia="Times New Roman"/>
          <w:lang w:val="fr-CA" w:eastAsia="fr-CA"/>
        </w:rPr>
        <w:t xml:space="preserve"> d’évaluation des risques liés aux organismes vivants modifiés qui pourraient justifier un examen, en tenant compte des priorités </w:t>
      </w:r>
      <w:r>
        <w:rPr>
          <w:rFonts w:eastAsia="Times New Roman"/>
          <w:lang w:val="fr-CA" w:eastAsia="fr-CA"/>
        </w:rPr>
        <w:t>recensées</w:t>
      </w:r>
      <w:r w:rsidRPr="009E0E23">
        <w:rPr>
          <w:rFonts w:eastAsia="Times New Roman"/>
          <w:lang w:val="fr-CA" w:eastAsia="fr-CA"/>
        </w:rPr>
        <w:t xml:space="preserve"> par les Parties, notamment dans leurs rapports nationaux, ainsi que des </w:t>
      </w:r>
      <w:r w:rsidR="0064455B">
        <w:rPr>
          <w:rFonts w:eastAsia="Times New Roman"/>
          <w:lang w:val="fr-CA" w:eastAsia="fr-CA"/>
        </w:rPr>
        <w:t>questions</w:t>
      </w:r>
      <w:r w:rsidRPr="009E0E23">
        <w:rPr>
          <w:rFonts w:eastAsia="Times New Roman"/>
          <w:lang w:val="fr-CA" w:eastAsia="fr-CA"/>
        </w:rPr>
        <w:t xml:space="preserve"> </w:t>
      </w:r>
      <w:r>
        <w:rPr>
          <w:rFonts w:eastAsia="Times New Roman"/>
          <w:lang w:val="fr-CA" w:eastAsia="fr-CA"/>
        </w:rPr>
        <w:t>recensé</w:t>
      </w:r>
      <w:r w:rsidR="0064455B">
        <w:rPr>
          <w:rFonts w:eastAsia="Times New Roman"/>
          <w:lang w:val="fr-CA" w:eastAsia="fr-CA"/>
        </w:rPr>
        <w:t>e</w:t>
      </w:r>
      <w:r>
        <w:rPr>
          <w:rFonts w:eastAsia="Times New Roman"/>
          <w:lang w:val="fr-CA" w:eastAsia="fr-CA"/>
        </w:rPr>
        <w:t>s</w:t>
      </w:r>
      <w:r w:rsidRPr="009E0E23">
        <w:rPr>
          <w:rFonts w:eastAsia="Times New Roman"/>
          <w:lang w:val="fr-CA" w:eastAsia="fr-CA"/>
        </w:rPr>
        <w:t xml:space="preserve"> par le Groupe spécial d’experts techniques sur l’évaluation des risques</w:t>
      </w:r>
      <w:r w:rsidRPr="009E0E23">
        <w:rPr>
          <w:vertAlign w:val="superscript"/>
          <w:lang w:val="fr-CA"/>
        </w:rPr>
        <w:footnoteReference w:id="5"/>
      </w:r>
      <w:r>
        <w:rPr>
          <w:rFonts w:eastAsia="Times New Roman"/>
          <w:lang w:val="fr-CA" w:eastAsia="fr-CA"/>
        </w:rPr>
        <w:t xml:space="preserve"> </w:t>
      </w:r>
      <w:r w:rsidRPr="009E0E23">
        <w:rPr>
          <w:rFonts w:eastAsia="Times New Roman"/>
          <w:lang w:val="fr-CA" w:eastAsia="fr-CA"/>
        </w:rPr>
        <w:t>;</w:t>
      </w:r>
      <w:r w:rsidRPr="009E0E23">
        <w:rPr>
          <w:lang w:val="fr-CA"/>
        </w:rPr>
        <w:t>]</w:t>
      </w:r>
    </w:p>
    <w:p w14:paraId="62C2A0A7"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[8.</w:t>
      </w:r>
      <w:r w:rsidRPr="009E0E23">
        <w:rPr>
          <w:lang w:val="fr-CA"/>
        </w:rPr>
        <w:tab/>
      </w:r>
      <w:r w:rsidRPr="009E0E23">
        <w:rPr>
          <w:rFonts w:eastAsia="Times New Roman"/>
          <w:i/>
          <w:lang w:val="fr-CA" w:eastAsia="fr-CA"/>
        </w:rPr>
        <w:t>Invite</w:t>
      </w:r>
      <w:r w:rsidRPr="009E0E23">
        <w:rPr>
          <w:rFonts w:eastAsia="Times New Roman"/>
          <w:lang w:val="fr-CA" w:eastAsia="fr-CA"/>
        </w:rPr>
        <w:t xml:space="preserve"> les Parties, les autres gouvernements, les peuples autochtones et communautés locales, </w:t>
      </w:r>
      <w:r>
        <w:rPr>
          <w:rFonts w:eastAsia="Times New Roman"/>
          <w:lang w:val="fr-CA" w:eastAsia="fr-CA"/>
        </w:rPr>
        <w:t xml:space="preserve">ainsi que </w:t>
      </w:r>
      <w:r w:rsidRPr="009E0E23">
        <w:rPr>
          <w:rFonts w:eastAsia="Times New Roman"/>
          <w:lang w:val="fr-CA" w:eastAsia="fr-CA"/>
        </w:rPr>
        <w:t xml:space="preserve">les femmes, les jeunes et les organisations concernées à soumettre des </w:t>
      </w:r>
      <w:r>
        <w:rPr>
          <w:rFonts w:eastAsia="Times New Roman"/>
          <w:lang w:val="fr-CA" w:eastAsia="fr-CA"/>
        </w:rPr>
        <w:t>retours d’expériences sur</w:t>
      </w:r>
      <w:r w:rsidRPr="009E0E23">
        <w:rPr>
          <w:rFonts w:eastAsia="Times New Roman"/>
          <w:lang w:val="fr-CA" w:eastAsia="fr-CA"/>
        </w:rPr>
        <w:t xml:space="preserve"> la mise en œuvre des procédures simplifiées prévues à l’article 13 du Protocole de Cartagena, </w:t>
      </w:r>
      <w:r>
        <w:rPr>
          <w:rFonts w:eastAsia="Times New Roman"/>
          <w:lang w:val="fr-CA" w:eastAsia="fr-CA"/>
        </w:rPr>
        <w:t>des</w:t>
      </w:r>
      <w:r w:rsidRPr="009E0E23">
        <w:rPr>
          <w:rFonts w:eastAsia="Times New Roman"/>
          <w:lang w:val="fr-CA" w:eastAsia="fr-CA"/>
        </w:rPr>
        <w:t xml:space="preserve"> accords bilatéraux, régionaux et multilatéraux </w:t>
      </w:r>
      <w:r>
        <w:rPr>
          <w:rFonts w:eastAsia="Times New Roman"/>
          <w:lang w:val="fr-CA" w:eastAsia="fr-CA"/>
        </w:rPr>
        <w:t xml:space="preserve">et des </w:t>
      </w:r>
      <w:r w:rsidRPr="009E0E23">
        <w:rPr>
          <w:rFonts w:eastAsia="Times New Roman"/>
          <w:lang w:val="fr-CA" w:eastAsia="fr-CA"/>
        </w:rPr>
        <w:t>arrangements prévus à l’article </w:t>
      </w:r>
      <w:hyperlink r:id="rId17" w:history="1">
        <w:r w:rsidRPr="00632E83">
          <w:rPr>
            <w:rStyle w:val="Lienhypertexte"/>
            <w:rFonts w:eastAsia="Times New Roman"/>
            <w:lang w:val="fr-CA" w:eastAsia="fr-CA"/>
          </w:rPr>
          <w:t>14</w:t>
        </w:r>
      </w:hyperlink>
      <w:r w:rsidRPr="009E0E23">
        <w:rPr>
          <w:rFonts w:eastAsia="Times New Roman"/>
          <w:lang w:val="fr-CA" w:eastAsia="fr-CA"/>
        </w:rPr>
        <w:t xml:space="preserve"> du Protocole, </w:t>
      </w:r>
      <w:r>
        <w:rPr>
          <w:rFonts w:eastAsia="Times New Roman"/>
          <w:lang w:val="fr-CA" w:eastAsia="fr-CA"/>
        </w:rPr>
        <w:t>ainsi que</w:t>
      </w:r>
      <w:r w:rsidRPr="009E0E23">
        <w:rPr>
          <w:rFonts w:eastAsia="Times New Roman"/>
          <w:lang w:val="fr-CA" w:eastAsia="fr-CA"/>
        </w:rPr>
        <w:t xml:space="preserve"> sur la transportabilité des données pour l’évaluation des risques liés aux organismes vivants modifiés[, reconnaissant que l’acceptation de données d’évaluation des risques </w:t>
      </w:r>
      <w:r>
        <w:rPr>
          <w:rFonts w:eastAsia="Times New Roman"/>
          <w:lang w:val="fr-CA" w:eastAsia="fr-CA"/>
        </w:rPr>
        <w:t>d’autres pays</w:t>
      </w:r>
      <w:r w:rsidRPr="009E0E23">
        <w:rPr>
          <w:rFonts w:eastAsia="Times New Roman"/>
          <w:lang w:val="fr-CA" w:eastAsia="fr-CA"/>
        </w:rPr>
        <w:t xml:space="preserve"> </w:t>
      </w:r>
      <w:r>
        <w:rPr>
          <w:rFonts w:eastAsia="Times New Roman"/>
          <w:lang w:val="fr-CA" w:eastAsia="fr-CA"/>
        </w:rPr>
        <w:t>devrait être</w:t>
      </w:r>
      <w:r w:rsidRPr="009E0E23">
        <w:rPr>
          <w:rFonts w:eastAsia="Times New Roman"/>
          <w:lang w:val="fr-CA" w:eastAsia="fr-CA"/>
        </w:rPr>
        <w:t xml:space="preserve"> subordonnée à une évaluation nationale et à la confirmation de la pertinence écologique et de la comparabilité];]</w:t>
      </w:r>
    </w:p>
    <w:p w14:paraId="5F9A1AE1"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[9.</w:t>
      </w:r>
      <w:r w:rsidRPr="009E0E23">
        <w:rPr>
          <w:lang w:val="fr-CA"/>
        </w:rPr>
        <w:tab/>
      </w:r>
      <w:r w:rsidRPr="009E0E23">
        <w:rPr>
          <w:rFonts w:eastAsia="Times New Roman"/>
          <w:i/>
          <w:lang w:val="fr-CA" w:eastAsia="fr-CA"/>
        </w:rPr>
        <w:t>Décide</w:t>
      </w:r>
      <w:r w:rsidRPr="009E0E23">
        <w:rPr>
          <w:rFonts w:eastAsia="Times New Roman"/>
          <w:lang w:val="fr-CA" w:eastAsia="fr-CA"/>
        </w:rPr>
        <w:t xml:space="preserve"> d’examiner, à sa treizième réunion, les informations soumises en réponse au paragraphe 8 ci-dessus</w:t>
      </w:r>
      <w:r>
        <w:rPr>
          <w:rFonts w:eastAsia="Times New Roman"/>
          <w:lang w:val="fr-CA" w:eastAsia="fr-CA"/>
        </w:rPr>
        <w:t xml:space="preserve"> </w:t>
      </w:r>
      <w:r w:rsidRPr="009E0E23">
        <w:rPr>
          <w:lang w:val="fr-CA"/>
        </w:rPr>
        <w:t>;]</w:t>
      </w:r>
    </w:p>
    <w:p w14:paraId="36061F60" w14:textId="6F750C70"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10.</w:t>
      </w:r>
      <w:r w:rsidRPr="009E0E23">
        <w:rPr>
          <w:lang w:val="fr-CA"/>
        </w:rPr>
        <w:tab/>
      </w:r>
      <w:r w:rsidRPr="009E0E23">
        <w:rPr>
          <w:rFonts w:eastAsia="Times New Roman"/>
          <w:i/>
          <w:lang w:val="fr-CA" w:eastAsia="fr-CA"/>
        </w:rPr>
        <w:t>Exhorte</w:t>
      </w:r>
      <w:r w:rsidRPr="009E0E23">
        <w:rPr>
          <w:rFonts w:eastAsia="Times New Roman"/>
          <w:lang w:val="fr-CA" w:eastAsia="fr-CA"/>
        </w:rPr>
        <w:t xml:space="preserve"> les Parties et invite les autres gouvernements, les peuples autochtones et communautés locales, </w:t>
      </w:r>
      <w:r>
        <w:rPr>
          <w:rFonts w:eastAsia="Times New Roman"/>
          <w:lang w:val="fr-CA" w:eastAsia="fr-CA"/>
        </w:rPr>
        <w:t xml:space="preserve">ainsi que </w:t>
      </w:r>
      <w:r w:rsidRPr="009E0E23">
        <w:rPr>
          <w:rFonts w:eastAsia="Times New Roman"/>
          <w:lang w:val="fr-CA" w:eastAsia="fr-CA"/>
        </w:rPr>
        <w:t xml:space="preserve">les femmes, les jeunes et les organisations concernées à participer à une vaste coopération internationale visant à échanger des informations et des expériences en matière d’évaluation des risques, notamment par l’intermédiaire du Centre d’échange pour la prévention des risques biotechnologiques, et à promouvoir des activités de </w:t>
      </w:r>
      <w:r w:rsidRPr="009E0E23">
        <w:rPr>
          <w:rFonts w:eastAsia="Times New Roman"/>
          <w:lang w:val="fr-CA" w:eastAsia="fr-CA"/>
        </w:rPr>
        <w:lastRenderedPageBreak/>
        <w:t xml:space="preserve">création et de renforcement des capacités concernant les </w:t>
      </w:r>
      <w:r w:rsidR="0064455B">
        <w:rPr>
          <w:rFonts w:eastAsia="Times New Roman"/>
          <w:lang w:val="fr-CA" w:eastAsia="fr-CA"/>
        </w:rPr>
        <w:t>questions</w:t>
      </w:r>
      <w:r w:rsidRPr="009E0E23">
        <w:rPr>
          <w:rFonts w:eastAsia="Times New Roman"/>
          <w:lang w:val="fr-CA" w:eastAsia="fr-CA"/>
        </w:rPr>
        <w:t xml:space="preserve"> prioritaires déterminé</w:t>
      </w:r>
      <w:r w:rsidR="0064455B">
        <w:rPr>
          <w:rFonts w:eastAsia="Times New Roman"/>
          <w:lang w:val="fr-CA" w:eastAsia="fr-CA"/>
        </w:rPr>
        <w:t>e</w:t>
      </w:r>
      <w:r w:rsidRPr="009E0E23">
        <w:rPr>
          <w:rFonts w:eastAsia="Times New Roman"/>
          <w:lang w:val="fr-CA" w:eastAsia="fr-CA"/>
        </w:rPr>
        <w:t>s par [le Groupe spécial d’experts techniques sur l’évaluation des risques</w:t>
      </w:r>
      <w:r w:rsidRPr="009E0E23">
        <w:rPr>
          <w:vertAlign w:val="superscript"/>
          <w:lang w:val="fr-CA"/>
        </w:rPr>
        <w:footnoteReference w:id="6"/>
      </w:r>
      <w:r>
        <w:rPr>
          <w:rFonts w:eastAsia="Times New Roman"/>
          <w:lang w:val="fr-CA" w:eastAsia="fr-CA"/>
        </w:rPr>
        <w:t xml:space="preserve"> ;</w:t>
      </w:r>
      <w:r w:rsidRPr="009E0E23">
        <w:rPr>
          <w:lang w:val="fr-CA"/>
        </w:rPr>
        <w:t>]</w:t>
      </w:r>
      <w:r w:rsidRPr="009E0E23">
        <w:rPr>
          <w:rFonts w:eastAsia="Times New Roman"/>
          <w:lang w:val="fr-CA" w:eastAsia="fr-CA"/>
        </w:rPr>
        <w:t xml:space="preserve"> [l’Organe subsidiaire chargé de fournir des avis scientifiques, techniques et technologiques</w:t>
      </w:r>
      <w:r>
        <w:rPr>
          <w:rFonts w:eastAsia="Times New Roman"/>
          <w:lang w:val="fr-CA" w:eastAsia="fr-CA"/>
        </w:rPr>
        <w:t xml:space="preserve"> </w:t>
      </w:r>
      <w:r w:rsidRPr="009E0E23">
        <w:rPr>
          <w:rFonts w:eastAsia="Times New Roman"/>
          <w:lang w:val="fr-CA" w:eastAsia="fr-CA"/>
        </w:rPr>
        <w:t>;]</w:t>
      </w:r>
    </w:p>
    <w:p w14:paraId="23EE8676"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11.</w:t>
      </w:r>
      <w:r w:rsidRPr="009E0E23">
        <w:rPr>
          <w:lang w:val="fr-CA"/>
        </w:rPr>
        <w:tab/>
      </w:r>
      <w:r w:rsidRPr="009E0E23">
        <w:rPr>
          <w:rFonts w:eastAsia="Times New Roman"/>
          <w:i/>
          <w:lang w:val="fr-CA" w:eastAsia="fr-CA"/>
        </w:rPr>
        <w:t>Invite</w:t>
      </w:r>
      <w:r w:rsidRPr="009E0E23">
        <w:rPr>
          <w:rFonts w:eastAsia="Times New Roman"/>
          <w:lang w:val="fr-CA" w:eastAsia="fr-CA"/>
        </w:rPr>
        <w:t xml:space="preserve"> les centres régionaux et sous-régionaux d’appui à la coopération scientifique et technique</w:t>
      </w:r>
      <w:r w:rsidRPr="009E0E23">
        <w:rPr>
          <w:vertAlign w:val="superscript"/>
          <w:lang w:val="fr-CA"/>
        </w:rPr>
        <w:footnoteReference w:id="7"/>
      </w:r>
      <w:r w:rsidRPr="009E0E23">
        <w:rPr>
          <w:rFonts w:eastAsia="Times New Roman"/>
          <w:lang w:val="fr-CA" w:eastAsia="fr-CA"/>
        </w:rPr>
        <w:t xml:space="preserve"> à aider les Parties à répondre à leurs besoins et priorités en matière d’évaluation et de gestion des risques</w:t>
      </w:r>
      <w:r>
        <w:rPr>
          <w:rFonts w:eastAsia="Times New Roman"/>
          <w:lang w:val="fr-CA" w:eastAsia="fr-CA"/>
        </w:rPr>
        <w:t xml:space="preserve"> </w:t>
      </w:r>
      <w:r w:rsidRPr="009E0E23">
        <w:rPr>
          <w:rFonts w:eastAsia="Times New Roman"/>
          <w:lang w:val="fr-CA" w:eastAsia="fr-CA"/>
        </w:rPr>
        <w:t>;</w:t>
      </w:r>
    </w:p>
    <w:p w14:paraId="10A91584"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12.</w:t>
      </w:r>
      <w:r w:rsidRPr="009E0E23">
        <w:rPr>
          <w:i/>
          <w:iCs/>
          <w:lang w:val="fr-CA"/>
        </w:rPr>
        <w:tab/>
      </w:r>
      <w:r w:rsidRPr="009E0E23">
        <w:rPr>
          <w:rFonts w:eastAsia="Times New Roman"/>
          <w:i/>
          <w:lang w:val="fr-CA" w:eastAsia="fr-CA"/>
        </w:rPr>
        <w:t>Prie</w:t>
      </w:r>
      <w:r w:rsidRPr="009E0E23">
        <w:rPr>
          <w:rFonts w:eastAsia="Times New Roman"/>
          <w:lang w:val="fr-CA" w:eastAsia="fr-CA"/>
        </w:rPr>
        <w:t xml:space="preserve"> la Secrétaire exécutive, sous réserve de la disponibilité des ressources financières :</w:t>
      </w:r>
    </w:p>
    <w:p w14:paraId="41AB28B8"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[a)</w:t>
      </w:r>
      <w:r w:rsidRPr="009E0E23">
        <w:rPr>
          <w:lang w:val="fr-CA"/>
        </w:rPr>
        <w:tab/>
      </w:r>
      <w:r w:rsidRPr="009E0E23">
        <w:rPr>
          <w:rFonts w:eastAsia="Times New Roman"/>
          <w:lang w:val="fr-CA" w:eastAsia="fr-CA"/>
        </w:rPr>
        <w:t xml:space="preserve">De convoquer au moins deux réunions du Groupe spécial d’experts techniques sur l’évaluation des risques, dont une </w:t>
      </w:r>
      <w:r w:rsidRPr="009E0E23">
        <w:rPr>
          <w:rFonts w:eastAsia="Times New Roman"/>
          <w:noProof/>
          <w:lang w:val="fr-CA" w:eastAsia="fr-CA"/>
        </w:rPr>
        <w:t>en présentiel, avant</w:t>
      </w:r>
      <w:r w:rsidRPr="009E0E23">
        <w:rPr>
          <w:rFonts w:eastAsia="Times New Roman"/>
          <w:lang w:val="fr-CA" w:eastAsia="fr-CA"/>
        </w:rPr>
        <w:t xml:space="preserve"> la treizième réunion de la Conférence des Parties siégeant en tant que réunion des Parties au Protocole de Cartagena</w:t>
      </w:r>
      <w:r>
        <w:rPr>
          <w:rFonts w:eastAsia="Times New Roman"/>
          <w:lang w:val="fr-CA" w:eastAsia="fr-CA"/>
        </w:rPr>
        <w:t xml:space="preserve"> </w:t>
      </w:r>
      <w:r w:rsidRPr="009E0E23">
        <w:rPr>
          <w:lang w:val="fr-CA"/>
        </w:rPr>
        <w:t>;]</w:t>
      </w:r>
    </w:p>
    <w:p w14:paraId="5E45E46C"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[b)</w:t>
      </w:r>
      <w:r w:rsidRPr="009E0E23">
        <w:rPr>
          <w:lang w:val="fr-CA"/>
        </w:rPr>
        <w:tab/>
      </w:r>
      <w:r>
        <w:rPr>
          <w:rFonts w:eastAsia="Times New Roman"/>
          <w:lang w:val="fr-CA" w:eastAsia="fr-CA"/>
        </w:rPr>
        <w:t>D’organiser</w:t>
      </w:r>
      <w:r w:rsidRPr="009E0E23">
        <w:rPr>
          <w:rFonts w:eastAsia="Times New Roman"/>
          <w:lang w:val="fr-CA" w:eastAsia="fr-CA"/>
        </w:rPr>
        <w:t xml:space="preserve"> des discussions dans le cadre du Forum en ligne à composition non limitée sur l’évaluation et la gestion des risques pendant la même période intersessions et d’encourager la participation active des peuples autochtones et communautés locales, des organisations de femmes et de jeunes, du milieu universitaire et d’autres organisations concernées</w:t>
      </w:r>
      <w:r>
        <w:rPr>
          <w:rFonts w:eastAsia="Times New Roman"/>
          <w:lang w:val="fr-CA" w:eastAsia="fr-CA"/>
        </w:rPr>
        <w:t xml:space="preserve"> </w:t>
      </w:r>
      <w:r w:rsidRPr="009E0E23">
        <w:rPr>
          <w:lang w:val="fr-CA"/>
        </w:rPr>
        <w:t>;]</w:t>
      </w:r>
    </w:p>
    <w:p w14:paraId="3A58EB4F" w14:textId="5F04D63C"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c)</w:t>
      </w:r>
      <w:r w:rsidRPr="009E0E23">
        <w:rPr>
          <w:lang w:val="fr-CA"/>
        </w:rPr>
        <w:tab/>
      </w:r>
      <w:r w:rsidRPr="009E0E23">
        <w:rPr>
          <w:rFonts w:eastAsia="Times New Roman"/>
          <w:lang w:val="fr-CA" w:eastAsia="fr-CA"/>
        </w:rPr>
        <w:t xml:space="preserve">De synthétiser les informations recueillies en réponse aux paragraphes [5] et [8] de la présente </w:t>
      </w:r>
      <w:proofErr w:type="gramStart"/>
      <w:r w:rsidRPr="009E0E23">
        <w:rPr>
          <w:rFonts w:eastAsia="Times New Roman"/>
          <w:lang w:val="fr-CA" w:eastAsia="fr-CA"/>
        </w:rPr>
        <w:t>décision[</w:t>
      </w:r>
      <w:r>
        <w:rPr>
          <w:rFonts w:eastAsia="Times New Roman"/>
          <w:lang w:val="fr-CA" w:eastAsia="fr-CA"/>
        </w:rPr>
        <w:t xml:space="preserve"> </w:t>
      </w:r>
      <w:r w:rsidRPr="009E0E23">
        <w:rPr>
          <w:rFonts w:eastAsia="Times New Roman"/>
          <w:lang w:val="fr-CA" w:eastAsia="fr-CA"/>
        </w:rPr>
        <w:t>et</w:t>
      </w:r>
      <w:proofErr w:type="gramEnd"/>
      <w:r w:rsidRPr="009E0E23">
        <w:rPr>
          <w:rFonts w:eastAsia="Times New Roman"/>
          <w:lang w:val="fr-CA" w:eastAsia="fr-CA"/>
        </w:rPr>
        <w:t xml:space="preserve"> par l’intermédiaire du Forum en ligne à composition non limitée sur l’évaluation et la gestion des risques], ainsi que les informations relatives aux besoins </w:t>
      </w:r>
      <w:r>
        <w:rPr>
          <w:rFonts w:eastAsia="Times New Roman"/>
          <w:lang w:val="fr-CA" w:eastAsia="fr-CA"/>
        </w:rPr>
        <w:t>particuliers</w:t>
      </w:r>
      <w:r w:rsidRPr="009E0E23">
        <w:rPr>
          <w:rFonts w:eastAsia="Times New Roman"/>
          <w:lang w:val="fr-CA" w:eastAsia="fr-CA"/>
        </w:rPr>
        <w:t xml:space="preserve"> d’orientations supplémentaires sur des sujets précis d’évaluation et de gestion des risques figurant dans les rapports nationaux</w:t>
      </w:r>
      <w:r w:rsidRPr="009E0E23">
        <w:rPr>
          <w:vertAlign w:val="superscript"/>
          <w:lang w:val="fr-CA"/>
        </w:rPr>
        <w:footnoteReference w:id="8"/>
      </w:r>
      <w:r>
        <w:rPr>
          <w:rFonts w:eastAsia="Times New Roman"/>
          <w:lang w:val="fr-CA" w:eastAsia="fr-CA"/>
        </w:rPr>
        <w:t xml:space="preserve"> ;</w:t>
      </w:r>
      <w:r w:rsidR="0058783C">
        <w:rPr>
          <w:rFonts w:eastAsia="Times New Roman"/>
          <w:lang w:val="fr-CA" w:eastAsia="fr-CA"/>
        </w:rPr>
        <w:t xml:space="preserve"> </w:t>
      </w:r>
    </w:p>
    <w:p w14:paraId="00481B02" w14:textId="77777777"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d)</w:t>
      </w:r>
      <w:r w:rsidRPr="009E0E23">
        <w:rPr>
          <w:lang w:val="fr-CA"/>
        </w:rPr>
        <w:tab/>
      </w:r>
      <w:r w:rsidRPr="009E0E23">
        <w:rPr>
          <w:rFonts w:eastAsia="Times New Roman"/>
          <w:lang w:val="fr-CA" w:eastAsia="fr-CA"/>
        </w:rPr>
        <w:t xml:space="preserve">De poursuivre les activités de création et de renforcement des capacités concernant les documents d’orientation existants </w:t>
      </w:r>
      <w:r>
        <w:rPr>
          <w:rFonts w:eastAsia="Times New Roman"/>
          <w:lang w:val="fr-CA" w:eastAsia="fr-CA"/>
        </w:rPr>
        <w:t>en organisant des</w:t>
      </w:r>
      <w:r w:rsidRPr="009E0E23">
        <w:rPr>
          <w:rFonts w:eastAsia="Times New Roman"/>
          <w:lang w:val="fr-CA" w:eastAsia="fr-CA"/>
        </w:rPr>
        <w:t xml:space="preserve"> </w:t>
      </w:r>
      <w:r>
        <w:rPr>
          <w:rFonts w:eastAsia="Times New Roman"/>
          <w:lang w:val="fr-CA" w:eastAsia="fr-CA"/>
        </w:rPr>
        <w:t>a</w:t>
      </w:r>
      <w:r w:rsidRPr="009E0E23">
        <w:rPr>
          <w:rFonts w:eastAsia="Times New Roman"/>
          <w:lang w:val="fr-CA" w:eastAsia="fr-CA"/>
        </w:rPr>
        <w:t xml:space="preserve">teliers régionaux </w:t>
      </w:r>
      <w:r>
        <w:rPr>
          <w:rFonts w:eastAsia="Times New Roman"/>
          <w:lang w:val="fr-CA" w:eastAsia="fr-CA"/>
        </w:rPr>
        <w:t>en vue d’appuyer</w:t>
      </w:r>
      <w:r w:rsidRPr="009E0E23">
        <w:rPr>
          <w:rFonts w:eastAsia="Times New Roman"/>
          <w:lang w:val="fr-CA" w:eastAsia="fr-CA"/>
        </w:rPr>
        <w:t xml:space="preserve"> l’évaluation des risques liés aux organismes vivants modifiés, en collaboration avec les initiatives et partenariats concernés, selon qu’il conviendra, en veillant à une représentation équitable de tous les pays en développement </w:t>
      </w:r>
      <w:r>
        <w:rPr>
          <w:rFonts w:eastAsia="Times New Roman"/>
          <w:lang w:val="fr-CA" w:eastAsia="fr-CA"/>
        </w:rPr>
        <w:t>p</w:t>
      </w:r>
      <w:r w:rsidRPr="009E0E23">
        <w:rPr>
          <w:rFonts w:eastAsia="Times New Roman"/>
          <w:lang w:val="fr-CA" w:eastAsia="fr-CA"/>
        </w:rPr>
        <w:t>arties</w:t>
      </w:r>
      <w:r>
        <w:rPr>
          <w:rFonts w:eastAsia="Times New Roman"/>
          <w:lang w:val="fr-CA" w:eastAsia="fr-CA"/>
        </w:rPr>
        <w:t xml:space="preserve"> </w:t>
      </w:r>
      <w:r w:rsidRPr="009E0E23">
        <w:rPr>
          <w:rFonts w:eastAsia="Times New Roman"/>
          <w:lang w:val="fr-CA" w:eastAsia="fr-CA"/>
        </w:rPr>
        <w:t>;</w:t>
      </w:r>
    </w:p>
    <w:p w14:paraId="6940BF04" w14:textId="6FDADD08" w:rsidR="00D74E90" w:rsidRPr="009E0E23" w:rsidRDefault="00D74E90" w:rsidP="00D74E90">
      <w:pPr>
        <w:tabs>
          <w:tab w:val="clear" w:pos="567"/>
          <w:tab w:val="left" w:pos="2835"/>
          <w:tab w:val="left" w:pos="3402"/>
        </w:tabs>
        <w:spacing w:after="120"/>
        <w:ind w:left="1134" w:firstLine="567"/>
        <w:rPr>
          <w:lang w:val="fr-CA"/>
        </w:rPr>
      </w:pPr>
      <w:r w:rsidRPr="009E0E23">
        <w:rPr>
          <w:lang w:val="fr-CA"/>
        </w:rPr>
        <w:t>e)</w:t>
      </w:r>
      <w:r w:rsidRPr="009E0E23">
        <w:rPr>
          <w:lang w:val="fr-CA"/>
        </w:rPr>
        <w:tab/>
      </w:r>
      <w:r w:rsidRPr="009E0E23">
        <w:rPr>
          <w:rFonts w:eastAsia="Times New Roman"/>
          <w:lang w:val="fr-CA" w:eastAsia="fr-CA"/>
        </w:rPr>
        <w:t xml:space="preserve">De continuer à recueillir les </w:t>
      </w:r>
      <w:r>
        <w:rPr>
          <w:rFonts w:eastAsia="Times New Roman"/>
          <w:lang w:val="fr-CA" w:eastAsia="fr-CA"/>
        </w:rPr>
        <w:t>retours d’</w:t>
      </w:r>
      <w:r w:rsidRPr="009E0E23">
        <w:rPr>
          <w:rFonts w:eastAsia="Times New Roman"/>
          <w:lang w:val="fr-CA" w:eastAsia="fr-CA"/>
        </w:rPr>
        <w:t xml:space="preserve">expériences </w:t>
      </w:r>
      <w:r>
        <w:rPr>
          <w:rFonts w:eastAsia="Times New Roman"/>
          <w:lang w:val="fr-CA" w:eastAsia="fr-CA"/>
        </w:rPr>
        <w:t>sur</w:t>
      </w:r>
      <w:r w:rsidRPr="009E0E23">
        <w:rPr>
          <w:rFonts w:eastAsia="Times New Roman"/>
          <w:lang w:val="fr-CA" w:eastAsia="fr-CA"/>
        </w:rPr>
        <w:t xml:space="preserve"> les évaluations concernant l’applicabilité et l’utilité des documents d’orientation facultati</w:t>
      </w:r>
      <w:r w:rsidR="00F25289">
        <w:rPr>
          <w:rFonts w:eastAsia="Times New Roman"/>
          <w:lang w:val="fr-CA" w:eastAsia="fr-CA"/>
        </w:rPr>
        <w:t>fs</w:t>
      </w:r>
      <w:r w:rsidRPr="009E0E23">
        <w:rPr>
          <w:rFonts w:eastAsia="Times New Roman"/>
          <w:lang w:val="fr-CA" w:eastAsia="fr-CA"/>
        </w:rPr>
        <w:t xml:space="preserve"> supplémentaires pour appuyer les évaluations au cas par cas des risques liés aux organismes vivants modifiés contenant des gènes de forçage génétique</w:t>
      </w:r>
      <w:r w:rsidRPr="009E0E23">
        <w:rPr>
          <w:vertAlign w:val="superscript"/>
          <w:lang w:val="fr-CA"/>
        </w:rPr>
        <w:footnoteReference w:id="9"/>
      </w:r>
      <w:r>
        <w:rPr>
          <w:rFonts w:eastAsia="Times New Roman"/>
          <w:lang w:val="fr-CA" w:eastAsia="fr-CA"/>
        </w:rPr>
        <w:t>,</w:t>
      </w:r>
      <w:r w:rsidRPr="009E0E23">
        <w:rPr>
          <w:rFonts w:eastAsia="Times New Roman"/>
          <w:lang w:val="fr-CA" w:eastAsia="fr-CA"/>
        </w:rPr>
        <w:t xml:space="preserve"> et de les mettre à disposition par l’intermédiaire du Centre d’échange pour la prévention des risques biotechnologiques</w:t>
      </w:r>
      <w:r>
        <w:rPr>
          <w:rFonts w:eastAsia="Times New Roman"/>
          <w:lang w:val="fr-CA" w:eastAsia="fr-CA"/>
        </w:rPr>
        <w:t xml:space="preserve"> </w:t>
      </w:r>
      <w:r w:rsidRPr="009E0E23">
        <w:rPr>
          <w:rFonts w:eastAsia="Times New Roman"/>
          <w:lang w:val="fr-CA" w:eastAsia="fr-CA"/>
        </w:rPr>
        <w:t>;</w:t>
      </w:r>
    </w:p>
    <w:p w14:paraId="73ECEB7F" w14:textId="3BA9A3A9" w:rsidR="00D74E90" w:rsidRPr="001C582E" w:rsidRDefault="00D74E90" w:rsidP="00D74E90">
      <w:pPr>
        <w:tabs>
          <w:tab w:val="clear" w:pos="567"/>
          <w:tab w:val="left" w:pos="2835"/>
          <w:tab w:val="left" w:pos="3402"/>
        </w:tabs>
        <w:spacing w:after="120"/>
        <w:ind w:left="1134" w:firstLine="567"/>
        <w:rPr>
          <w:rFonts w:eastAsia="Times New Roman"/>
          <w:lang w:val="fr-CA" w:eastAsia="fr-CA"/>
        </w:rPr>
      </w:pPr>
      <w:r w:rsidRPr="009E0E23">
        <w:rPr>
          <w:lang w:val="fr-CA"/>
        </w:rPr>
        <w:t>[13.</w:t>
      </w:r>
      <w:r w:rsidRPr="009E0E23">
        <w:rPr>
          <w:i/>
          <w:iCs/>
          <w:lang w:val="fr-CA"/>
        </w:rPr>
        <w:tab/>
      </w:r>
      <w:r w:rsidRPr="009E0E23">
        <w:rPr>
          <w:rFonts w:eastAsia="Times New Roman"/>
          <w:i/>
          <w:lang w:val="fr-CA" w:eastAsia="fr-CA"/>
        </w:rPr>
        <w:t>Demande</w:t>
      </w:r>
      <w:r w:rsidRPr="009E0E23">
        <w:rPr>
          <w:rFonts w:eastAsia="Times New Roman"/>
          <w:lang w:val="fr-CA" w:eastAsia="fr-CA"/>
        </w:rPr>
        <w:t xml:space="preserve"> à l’Organe subsidiaire chargé de fournir des avis scientifiques, techniques et technologiques d’examiner les résultats de</w:t>
      </w:r>
      <w:r>
        <w:rPr>
          <w:rFonts w:eastAsia="Times New Roman"/>
          <w:lang w:val="fr-CA" w:eastAsia="fr-CA"/>
        </w:rPr>
        <w:t>s</w:t>
      </w:r>
      <w:r w:rsidRPr="009E0E23">
        <w:rPr>
          <w:rFonts w:eastAsia="Times New Roman"/>
          <w:lang w:val="fr-CA" w:eastAsia="fr-CA"/>
        </w:rPr>
        <w:t xml:space="preserve"> réunion</w:t>
      </w:r>
      <w:r>
        <w:rPr>
          <w:rFonts w:eastAsia="Times New Roman"/>
          <w:lang w:val="fr-CA" w:eastAsia="fr-CA"/>
        </w:rPr>
        <w:t>s</w:t>
      </w:r>
      <w:r w:rsidRPr="009E0E23">
        <w:rPr>
          <w:rFonts w:eastAsia="Times New Roman"/>
          <w:lang w:val="fr-CA" w:eastAsia="fr-CA"/>
        </w:rPr>
        <w:t xml:space="preserve"> du Groupe spécial d’experts techniques sur l’évaluation des risques </w:t>
      </w:r>
      <w:r w:rsidR="0064455B">
        <w:rPr>
          <w:rFonts w:eastAsia="Times New Roman"/>
          <w:lang w:val="fr-CA" w:eastAsia="fr-CA"/>
        </w:rPr>
        <w:t xml:space="preserve">à </w:t>
      </w:r>
      <w:r w:rsidRPr="009E0E23">
        <w:rPr>
          <w:rFonts w:eastAsia="Times New Roman"/>
          <w:lang w:val="fr-CA" w:eastAsia="fr-CA"/>
        </w:rPr>
        <w:t>une réunion tenue avant la treizième réunion de la Conférence des Parties siégeant en tant que réunion des Parties au Protocole de Cartagena, et de formuler des recommandations à la Conférence des Parties siégeant en tant que réunion des Parties au Protocole de Cartagena aux fins d’examen à sa treizième réunion.]</w:t>
      </w:r>
    </w:p>
    <w:p w14:paraId="631356B4" w14:textId="77777777" w:rsidR="00D74E90" w:rsidRPr="001C582E" w:rsidRDefault="00D74E90" w:rsidP="00D74E90">
      <w:pPr>
        <w:keepNext/>
        <w:keepLines/>
        <w:tabs>
          <w:tab w:val="clear" w:pos="567"/>
          <w:tab w:val="clear" w:pos="1134"/>
          <w:tab w:val="clear" w:pos="1701"/>
          <w:tab w:val="clear" w:pos="2268"/>
          <w:tab w:val="left" w:pos="2835"/>
          <w:tab w:val="left" w:pos="3402"/>
        </w:tabs>
        <w:spacing w:before="240" w:after="120"/>
        <w:ind w:left="1134"/>
        <w:jc w:val="left"/>
        <w:rPr>
          <w:rFonts w:ascii="Times New Roman Bold" w:hAnsi="Times New Roman Bold" w:cs="Times New Roman Bold" w:hint="eastAsia"/>
          <w:b/>
          <w:sz w:val="24"/>
        </w:rPr>
      </w:pPr>
      <w:r w:rsidRPr="001C582E">
        <w:rPr>
          <w:rFonts w:ascii="Times New Roman Bold" w:hAnsi="Times New Roman Bold" w:cs="Times New Roman Bold"/>
          <w:b/>
          <w:sz w:val="24"/>
        </w:rPr>
        <w:t>[</w:t>
      </w:r>
    </w:p>
    <w:p w14:paraId="77F2230F" w14:textId="77777777" w:rsidR="00D74E90" w:rsidRPr="001C582E" w:rsidRDefault="00D74E90" w:rsidP="00D74E90">
      <w:pPr>
        <w:keepNext/>
        <w:keepLines/>
        <w:tabs>
          <w:tab w:val="clear" w:pos="567"/>
          <w:tab w:val="clear" w:pos="1134"/>
          <w:tab w:val="clear" w:pos="1701"/>
          <w:tab w:val="clear" w:pos="2268"/>
          <w:tab w:val="left" w:pos="2835"/>
          <w:tab w:val="left" w:pos="3402"/>
        </w:tabs>
        <w:spacing w:before="240" w:after="120"/>
        <w:ind w:left="1134"/>
        <w:jc w:val="left"/>
      </w:pPr>
      <w:r w:rsidRPr="001C582E">
        <w:rPr>
          <w:rFonts w:ascii="Times New Roman Bold" w:hAnsi="Times New Roman Bold" w:cs="Times New Roman Bold"/>
          <w:b/>
          <w:bCs/>
          <w:sz w:val="24"/>
        </w:rPr>
        <w:t>Annexe</w:t>
      </w:r>
      <w:r>
        <w:br/>
      </w:r>
      <w:r w:rsidRPr="001C582E">
        <w:rPr>
          <w:rFonts w:ascii="Times New Roman Bold" w:hAnsi="Times New Roman Bold" w:cs="Times New Roman Bold"/>
          <w:b/>
          <w:bCs/>
          <w:sz w:val="24"/>
        </w:rPr>
        <w:t>Mandat du Groupe spécial d’experts techniques sur l’évaluation des risques</w:t>
      </w:r>
    </w:p>
    <w:p w14:paraId="1F37F754" w14:textId="77777777" w:rsidR="00D74E90" w:rsidRPr="009E0E23" w:rsidRDefault="00D74E90" w:rsidP="00D74E90">
      <w:pPr>
        <w:numPr>
          <w:ilvl w:val="0"/>
          <w:numId w:val="15"/>
        </w:numPr>
        <w:tabs>
          <w:tab w:val="clear" w:pos="567"/>
          <w:tab w:val="left" w:pos="2835"/>
          <w:tab w:val="left" w:pos="3402"/>
          <w:tab w:val="left" w:pos="3969"/>
        </w:tabs>
        <w:spacing w:before="120" w:after="120"/>
        <w:ind w:left="1134"/>
        <w:rPr>
          <w:lang w:val="fr-CA"/>
        </w:rPr>
      </w:pPr>
      <w:r w:rsidRPr="00405178">
        <w:rPr>
          <w:rFonts w:eastAsia="Times New Roman"/>
          <w:lang w:val="fr-CA" w:eastAsia="fr-CA"/>
        </w:rPr>
        <w:t xml:space="preserve">Le Groupe spécial d’experts techniques sur l’évaluation des </w:t>
      </w:r>
      <w:r w:rsidRPr="009E0E23">
        <w:rPr>
          <w:rFonts w:eastAsia="Times New Roman"/>
          <w:lang w:val="fr-CA" w:eastAsia="fr-CA"/>
        </w:rPr>
        <w:t>risques :</w:t>
      </w:r>
    </w:p>
    <w:p w14:paraId="4118152D" w14:textId="189BF5B3" w:rsidR="00D74E90" w:rsidRPr="0064455B" w:rsidRDefault="00D74E90" w:rsidP="0064455B">
      <w:pPr>
        <w:pStyle w:val="Paragraphedeliste"/>
        <w:numPr>
          <w:ilvl w:val="1"/>
          <w:numId w:val="15"/>
        </w:numPr>
        <w:tabs>
          <w:tab w:val="clear" w:pos="567"/>
          <w:tab w:val="left" w:pos="2835"/>
          <w:tab w:val="left" w:pos="3402"/>
          <w:tab w:val="left" w:pos="3969"/>
        </w:tabs>
        <w:spacing w:before="120" w:after="120"/>
        <w:ind w:left="1134"/>
        <w:rPr>
          <w:rFonts w:eastAsia="Times New Roman"/>
          <w:lang w:val="fr-CA" w:eastAsia="fr-CA"/>
        </w:rPr>
      </w:pPr>
      <w:r w:rsidRPr="0064455B">
        <w:rPr>
          <w:rFonts w:eastAsia="Times New Roman"/>
          <w:lang w:val="fr-CA" w:eastAsia="fr-CA"/>
        </w:rPr>
        <w:lastRenderedPageBreak/>
        <w:t>Sera composé d’experts sélectionnés conformément à la section H du mode de fonctionnement consolidé de l’Organe subsidiaire chargé de fournir des avis scientifiques, techniques et technologiques</w:t>
      </w:r>
      <w:r w:rsidRPr="0064455B">
        <w:rPr>
          <w:rFonts w:eastAsia="Times New Roman"/>
          <w:vertAlign w:val="superscript"/>
          <w:lang w:val="fr-CA" w:eastAsia="fr-CA"/>
        </w:rPr>
        <w:footnoteReference w:id="10"/>
      </w:r>
      <w:r w:rsidRPr="0064455B">
        <w:rPr>
          <w:rFonts w:eastAsia="Times New Roman"/>
          <w:lang w:val="fr-CA" w:eastAsia="fr-CA"/>
        </w:rPr>
        <w:t>, possédant des compétences scientifiques et techniques particulières pertinentes pour le présent mandat, et comprendra des experts issus du milieu universitaire, d’organisations internationales compétentes et des peuples autochtones et communautés locales, des femmes et des jeunes, conformément à la décision </w:t>
      </w:r>
      <w:hyperlink r:id="rId18" w:history="1">
        <w:r w:rsidRPr="0064455B">
          <w:rPr>
            <w:rStyle w:val="Lienhypertexte"/>
            <w:lang w:val="fr-CA"/>
          </w:rPr>
          <w:t>1</w:t>
        </w:r>
        <w:r w:rsidRPr="0064455B">
          <w:rPr>
            <w:rStyle w:val="Lienhypertexte"/>
            <w:lang w:val="fr-CA"/>
          </w:rPr>
          <w:t>4</w:t>
        </w:r>
        <w:r w:rsidRPr="0064455B">
          <w:rPr>
            <w:rStyle w:val="Lienhypertexte"/>
            <w:lang w:val="fr-CA"/>
          </w:rPr>
          <w:t>/33</w:t>
        </w:r>
      </w:hyperlink>
      <w:r w:rsidRPr="0064455B">
        <w:rPr>
          <w:rFonts w:eastAsia="Times New Roman"/>
          <w:lang w:val="fr-CA" w:eastAsia="fr-CA"/>
        </w:rPr>
        <w:t xml:space="preserve"> du 29 novembre 2018 relative à la procédure visant à éviter ou gérer les conflits d’intérêts au sein des groupes d’experts, telle que modifiée par la décision </w:t>
      </w:r>
      <w:hyperlink r:id="rId19" w:history="1">
        <w:r w:rsidRPr="0064455B">
          <w:rPr>
            <w:rStyle w:val="Lienhypertexte"/>
            <w:rFonts w:eastAsia="Times New Roman"/>
            <w:lang w:val="fr-CA" w:eastAsia="fr-CA"/>
          </w:rPr>
          <w:t>CP-11/6</w:t>
        </w:r>
      </w:hyperlink>
      <w:r w:rsidRPr="0064455B">
        <w:rPr>
          <w:rFonts w:eastAsia="Times New Roman"/>
          <w:lang w:val="fr-CA" w:eastAsia="fr-CA"/>
        </w:rPr>
        <w:t xml:space="preserve"> du 1</w:t>
      </w:r>
      <w:r w:rsidRPr="0064455B">
        <w:rPr>
          <w:rFonts w:eastAsia="Times New Roman"/>
          <w:vertAlign w:val="superscript"/>
          <w:lang w:val="fr-CA" w:eastAsia="fr-CA"/>
        </w:rPr>
        <w:t>er</w:t>
      </w:r>
      <w:r w:rsidRPr="0064455B">
        <w:rPr>
          <w:rFonts w:eastAsia="Times New Roman"/>
          <w:lang w:val="fr-CA" w:eastAsia="fr-CA"/>
        </w:rPr>
        <w:t> novembre 2024;</w:t>
      </w:r>
    </w:p>
    <w:p w14:paraId="53F13A03" w14:textId="77777777" w:rsidR="00D74E90" w:rsidRPr="009E0E23" w:rsidRDefault="00D74E90" w:rsidP="00D74E90">
      <w:pPr>
        <w:numPr>
          <w:ilvl w:val="1"/>
          <w:numId w:val="15"/>
        </w:numPr>
        <w:tabs>
          <w:tab w:val="clear" w:pos="567"/>
          <w:tab w:val="left" w:pos="2835"/>
          <w:tab w:val="left" w:pos="3402"/>
          <w:tab w:val="left" w:pos="3969"/>
        </w:tabs>
        <w:spacing w:before="120" w:after="120"/>
        <w:ind w:left="1134"/>
        <w:rPr>
          <w:lang w:val="fr-CA"/>
        </w:rPr>
      </w:pPr>
      <w:r>
        <w:rPr>
          <w:rFonts w:eastAsia="Times New Roman"/>
          <w:lang w:val="fr-CA" w:eastAsia="fr-CA"/>
        </w:rPr>
        <w:t>T</w:t>
      </w:r>
      <w:r w:rsidRPr="00405178">
        <w:rPr>
          <w:rFonts w:eastAsia="Times New Roman"/>
          <w:lang w:val="fr-CA" w:eastAsia="fr-CA"/>
        </w:rPr>
        <w:t>iendra</w:t>
      </w:r>
      <w:r>
        <w:rPr>
          <w:rFonts w:eastAsia="Times New Roman"/>
          <w:lang w:val="fr-CA" w:eastAsia="fr-CA"/>
        </w:rPr>
        <w:t>,</w:t>
      </w:r>
      <w:r w:rsidRPr="00405178">
        <w:rPr>
          <w:rFonts w:eastAsia="Times New Roman"/>
          <w:lang w:val="fr-CA" w:eastAsia="fr-CA"/>
        </w:rPr>
        <w:t xml:space="preserve"> </w:t>
      </w:r>
      <w:r>
        <w:rPr>
          <w:rFonts w:eastAsia="Times New Roman"/>
          <w:lang w:val="fr-CA" w:eastAsia="fr-CA"/>
        </w:rPr>
        <w:t>s</w:t>
      </w:r>
      <w:r w:rsidRPr="00405178">
        <w:rPr>
          <w:rFonts w:eastAsia="Times New Roman"/>
          <w:lang w:val="fr-CA" w:eastAsia="fr-CA"/>
        </w:rPr>
        <w:t xml:space="preserve">ous réserve de la disponibilité des fonds, au moins deux réunions, dont une </w:t>
      </w:r>
      <w:r w:rsidRPr="00405178">
        <w:rPr>
          <w:rFonts w:eastAsia="Times New Roman"/>
          <w:noProof/>
          <w:lang w:val="fr-CA" w:eastAsia="fr-CA"/>
        </w:rPr>
        <w:t>en présentiel</w:t>
      </w:r>
      <w:r w:rsidRPr="00405178">
        <w:rPr>
          <w:rFonts w:eastAsia="Times New Roman"/>
          <w:lang w:val="fr-CA" w:eastAsia="fr-CA"/>
        </w:rPr>
        <w:t>, avant la treizième réunion de la Conférence des Parties siégeant en tant que réunion des Parties au Protocole de Cartagena sur la prévention des risques biotechnologiques</w:t>
      </w:r>
      <w:r w:rsidRPr="009E0E23">
        <w:rPr>
          <w:vertAlign w:val="superscript"/>
          <w:lang w:val="fr-CA"/>
        </w:rPr>
        <w:footnoteReference w:id="11"/>
      </w:r>
      <w:r>
        <w:rPr>
          <w:rFonts w:eastAsia="Times New Roman"/>
          <w:lang w:val="fr-CA" w:eastAsia="fr-CA"/>
        </w:rPr>
        <w:t>,</w:t>
      </w:r>
      <w:r w:rsidRPr="00405178">
        <w:rPr>
          <w:rFonts w:eastAsia="Times New Roman"/>
          <w:lang w:val="fr-CA" w:eastAsia="fr-CA"/>
        </w:rPr>
        <w:t xml:space="preserve"> et accomplira toutes les tâches nécessaires entre ses deux réunions à l’aide de moyens de communication et d’échanges en ligne</w:t>
      </w:r>
      <w:r>
        <w:rPr>
          <w:rFonts w:eastAsia="Times New Roman"/>
          <w:lang w:val="fr-CA" w:eastAsia="fr-CA"/>
        </w:rPr>
        <w:t xml:space="preserve"> </w:t>
      </w:r>
      <w:r w:rsidRPr="009E0E23">
        <w:rPr>
          <w:rFonts w:eastAsia="Times New Roman"/>
          <w:lang w:val="fr-CA" w:eastAsia="fr-CA"/>
        </w:rPr>
        <w:t>;</w:t>
      </w:r>
    </w:p>
    <w:p w14:paraId="684B56AF" w14:textId="77777777" w:rsidR="00D74E90" w:rsidRPr="009E0E23" w:rsidRDefault="00D74E90" w:rsidP="00D74E90">
      <w:pPr>
        <w:numPr>
          <w:ilvl w:val="1"/>
          <w:numId w:val="15"/>
        </w:numPr>
        <w:tabs>
          <w:tab w:val="clear" w:pos="567"/>
          <w:tab w:val="left" w:pos="2835"/>
          <w:tab w:val="left" w:pos="3402"/>
          <w:tab w:val="left" w:pos="3969"/>
        </w:tabs>
        <w:spacing w:before="120" w:after="120"/>
        <w:ind w:left="1134"/>
        <w:rPr>
          <w:lang w:val="fr-CA"/>
        </w:rPr>
      </w:pPr>
      <w:r w:rsidRPr="00405178">
        <w:rPr>
          <w:rFonts w:eastAsia="Times New Roman"/>
          <w:lang w:val="fr-CA" w:eastAsia="fr-CA"/>
        </w:rPr>
        <w:t xml:space="preserve">Élaborera des projets de documents d’orientation facultatifs supplémentaires </w:t>
      </w:r>
      <w:r>
        <w:rPr>
          <w:rFonts w:eastAsia="Times New Roman"/>
          <w:lang w:val="fr-CA" w:eastAsia="fr-CA"/>
        </w:rPr>
        <w:t>relatifs aux</w:t>
      </w:r>
      <w:r w:rsidRPr="00405178">
        <w:rPr>
          <w:rFonts w:eastAsia="Times New Roman"/>
          <w:lang w:val="fr-CA" w:eastAsia="fr-CA"/>
        </w:rPr>
        <w:t xml:space="preserve"> micro-organismes vivants modifiés et </w:t>
      </w:r>
      <w:r>
        <w:rPr>
          <w:rFonts w:eastAsia="Times New Roman"/>
          <w:lang w:val="fr-CA" w:eastAsia="fr-CA"/>
        </w:rPr>
        <w:t>aux</w:t>
      </w:r>
      <w:r w:rsidRPr="00405178">
        <w:rPr>
          <w:rFonts w:eastAsia="Times New Roman"/>
          <w:lang w:val="fr-CA" w:eastAsia="fr-CA"/>
        </w:rPr>
        <w:t xml:space="preserve"> poissons vivants mo</w:t>
      </w:r>
      <w:r w:rsidRPr="009E0E23">
        <w:rPr>
          <w:rFonts w:eastAsia="Times New Roman"/>
          <w:lang w:val="fr-CA" w:eastAsia="fr-CA"/>
        </w:rPr>
        <w:t>difiés, conformément à l’annexe </w:t>
      </w:r>
      <w:r w:rsidRPr="00405178">
        <w:rPr>
          <w:rFonts w:eastAsia="Times New Roman"/>
          <w:lang w:val="fr-CA" w:eastAsia="fr-CA"/>
        </w:rPr>
        <w:t>III du Protocole de Cartagena, en tenant compte des approches d’évaluation des risques exposées dans les documents d’orientation facultatifs supplémentaires à l’appui des évaluations au cas par cas des risques liés aux organismes vivants modifiés contenant des gènes de forçage génétique</w:t>
      </w:r>
      <w:r w:rsidRPr="009E0E23">
        <w:rPr>
          <w:vertAlign w:val="superscript"/>
          <w:lang w:val="fr-CA"/>
        </w:rPr>
        <w:footnoteReference w:id="12"/>
      </w:r>
      <w:r w:rsidRPr="00405178">
        <w:rPr>
          <w:rFonts w:eastAsia="Times New Roman"/>
          <w:lang w:val="fr-CA" w:eastAsia="fr-CA"/>
        </w:rPr>
        <w:t xml:space="preserve"> et en évitant les doubles emplois avec les documents d’orientation existants, aux fins d’examen par l’Organe subsidiaire </w:t>
      </w:r>
      <w:r>
        <w:rPr>
          <w:rFonts w:eastAsia="Times New Roman"/>
          <w:lang w:val="fr-CA" w:eastAsia="fr-CA"/>
        </w:rPr>
        <w:t xml:space="preserve">à </w:t>
      </w:r>
      <w:r w:rsidRPr="00405178">
        <w:rPr>
          <w:rFonts w:eastAsia="Times New Roman"/>
          <w:lang w:val="fr-CA" w:eastAsia="fr-CA"/>
        </w:rPr>
        <w:t>une réunion tenue avant la treizième réunion de la Conférence des Parties siégeant en tant que réunion des Parties au Protocole</w:t>
      </w:r>
      <w:r>
        <w:rPr>
          <w:rFonts w:eastAsia="Times New Roman"/>
          <w:lang w:val="fr-CA" w:eastAsia="fr-CA"/>
        </w:rPr>
        <w:t xml:space="preserve"> </w:t>
      </w:r>
      <w:r w:rsidRPr="009E0E23">
        <w:rPr>
          <w:rFonts w:eastAsia="Times New Roman"/>
          <w:lang w:val="fr-CA" w:eastAsia="fr-CA"/>
        </w:rPr>
        <w:t>;</w:t>
      </w:r>
    </w:p>
    <w:p w14:paraId="2D49705C" w14:textId="77777777" w:rsidR="00D74E90" w:rsidRPr="009E0E23" w:rsidRDefault="00D74E90" w:rsidP="00D74E90">
      <w:pPr>
        <w:numPr>
          <w:ilvl w:val="1"/>
          <w:numId w:val="15"/>
        </w:numPr>
        <w:tabs>
          <w:tab w:val="clear" w:pos="567"/>
          <w:tab w:val="left" w:pos="2835"/>
          <w:tab w:val="left" w:pos="3402"/>
          <w:tab w:val="left" w:pos="3969"/>
        </w:tabs>
        <w:spacing w:before="120" w:after="120"/>
        <w:ind w:left="1134"/>
        <w:rPr>
          <w:lang w:val="fr-CA"/>
        </w:rPr>
      </w:pPr>
      <w:r w:rsidRPr="00EE469E">
        <w:rPr>
          <w:rFonts w:eastAsia="Times New Roman"/>
          <w:lang w:val="fr-CA" w:eastAsia="fr-CA"/>
        </w:rPr>
        <w:t xml:space="preserve">[Élaborera </w:t>
      </w:r>
      <w:r>
        <w:rPr>
          <w:rFonts w:eastAsia="Times New Roman"/>
          <w:lang w:val="fr-CA" w:eastAsia="fr-CA"/>
        </w:rPr>
        <w:t>des</w:t>
      </w:r>
      <w:r w:rsidRPr="00EE469E">
        <w:rPr>
          <w:rFonts w:eastAsia="Times New Roman"/>
          <w:lang w:val="fr-CA" w:eastAsia="fr-CA"/>
        </w:rPr>
        <w:t xml:space="preserve"> projet</w:t>
      </w:r>
      <w:r>
        <w:rPr>
          <w:rFonts w:eastAsia="Times New Roman"/>
          <w:lang w:val="fr-CA" w:eastAsia="fr-CA"/>
        </w:rPr>
        <w:t xml:space="preserve">s </w:t>
      </w:r>
      <w:r w:rsidRPr="00EE469E">
        <w:rPr>
          <w:rFonts w:eastAsia="Times New Roman"/>
          <w:lang w:val="fr-CA" w:eastAsia="fr-CA"/>
        </w:rPr>
        <w:t>de notes techniques</w:t>
      </w:r>
      <w:r w:rsidRPr="009E0E23">
        <w:rPr>
          <w:vertAlign w:val="superscript"/>
          <w:lang w:val="fr-CA"/>
        </w:rPr>
        <w:footnoteReference w:id="13"/>
      </w:r>
      <w:r w:rsidRPr="00EE469E">
        <w:rPr>
          <w:rFonts w:eastAsia="Times New Roman"/>
          <w:lang w:val="fr-CA" w:eastAsia="fr-CA"/>
        </w:rPr>
        <w:t xml:space="preserve"> à usage facultatif portant sur la </w:t>
      </w:r>
      <w:r>
        <w:rPr>
          <w:rFonts w:eastAsia="Times New Roman"/>
          <w:lang w:val="fr-CA" w:eastAsia="fr-CA"/>
        </w:rPr>
        <w:t>traduction</w:t>
      </w:r>
      <w:r w:rsidRPr="00EE469E">
        <w:rPr>
          <w:rFonts w:eastAsia="Times New Roman"/>
          <w:lang w:val="fr-CA" w:eastAsia="fr-CA"/>
        </w:rPr>
        <w:t xml:space="preserve"> des objectifs de protection </w:t>
      </w:r>
      <w:r>
        <w:rPr>
          <w:rFonts w:eastAsia="Times New Roman"/>
          <w:lang w:val="fr-CA" w:eastAsia="fr-CA"/>
        </w:rPr>
        <w:t>en</w:t>
      </w:r>
      <w:r w:rsidRPr="00EE469E">
        <w:rPr>
          <w:rFonts w:eastAsia="Times New Roman"/>
          <w:lang w:val="fr-CA" w:eastAsia="fr-CA"/>
        </w:rPr>
        <w:t xml:space="preserve"> critères d'évaluation et de mesure pertinents et sur l'utilisation d'organismes vivants modifiés dans les centres d'origine et dans les systèmes agricoles traditionnels</w:t>
      </w:r>
      <w:r w:rsidRPr="009E0E23">
        <w:rPr>
          <w:vertAlign w:val="superscript"/>
          <w:lang w:val="fr-CA"/>
        </w:rPr>
        <w:footnoteReference w:id="14"/>
      </w:r>
      <w:r w:rsidRPr="00EE469E">
        <w:rPr>
          <w:rFonts w:eastAsia="Times New Roman"/>
          <w:lang w:val="fr-CA" w:eastAsia="fr-CA"/>
        </w:rPr>
        <w:t>],</w:t>
      </w:r>
      <w:r>
        <w:rPr>
          <w:rFonts w:eastAsia="Times New Roman"/>
          <w:lang w:val="fr-CA" w:eastAsia="fr-CA"/>
        </w:rPr>
        <w:t xml:space="preserve"> </w:t>
      </w:r>
      <w:r w:rsidRPr="00EE469E">
        <w:rPr>
          <w:rFonts w:eastAsia="Times New Roman"/>
          <w:lang w:val="fr-CA" w:eastAsia="fr-CA"/>
        </w:rPr>
        <w:t xml:space="preserve">[Élaborera des orientations </w:t>
      </w:r>
      <w:r>
        <w:rPr>
          <w:rFonts w:eastAsia="Times New Roman"/>
          <w:lang w:val="fr-CA" w:eastAsia="fr-CA"/>
        </w:rPr>
        <w:t>supplémentaires</w:t>
      </w:r>
      <w:r w:rsidRPr="00EE469E">
        <w:rPr>
          <w:rFonts w:eastAsia="Times New Roman"/>
          <w:lang w:val="fr-CA" w:eastAsia="fr-CA"/>
        </w:rPr>
        <w:t xml:space="preserve"> concises à usage facultatif contenant des informations précises, claires et ciblées sur [les algues vivantes modifiées,] [les poissons vivants modifiés,] [les micro-organismes vivants modifiés,] [les organismes vivants modifiés comportant </w:t>
      </w:r>
      <w:r>
        <w:rPr>
          <w:rFonts w:eastAsia="Times New Roman"/>
          <w:lang w:val="fr-CA" w:eastAsia="fr-CA"/>
        </w:rPr>
        <w:t>un</w:t>
      </w:r>
      <w:r w:rsidRPr="00EE469E">
        <w:rPr>
          <w:rFonts w:eastAsia="Times New Roman"/>
          <w:lang w:val="fr-CA" w:eastAsia="fr-CA"/>
        </w:rPr>
        <w:t xml:space="preserve"> mécanisme d'édition génomique permettant de lutter contre les ravageurs ou les agents pathogènes,] [les effets à long terme et cumulatifs des constructions génétiques et des organismes vivants modifiés,] [</w:t>
      </w:r>
      <w:r>
        <w:rPr>
          <w:rFonts w:eastAsia="Times New Roman"/>
          <w:lang w:val="fr-CA" w:eastAsia="fr-CA"/>
        </w:rPr>
        <w:t>la traduction</w:t>
      </w:r>
      <w:r w:rsidRPr="00EE469E">
        <w:rPr>
          <w:rFonts w:eastAsia="Times New Roman"/>
          <w:lang w:val="fr-CA" w:eastAsia="fr-CA"/>
        </w:rPr>
        <w:t xml:space="preserve"> des objectifs de protection </w:t>
      </w:r>
      <w:r>
        <w:rPr>
          <w:rFonts w:eastAsia="Times New Roman"/>
          <w:lang w:val="fr-CA" w:eastAsia="fr-CA"/>
        </w:rPr>
        <w:t xml:space="preserve">en </w:t>
      </w:r>
      <w:r w:rsidRPr="00EE469E">
        <w:rPr>
          <w:rFonts w:eastAsia="Times New Roman"/>
          <w:lang w:val="fr-CA" w:eastAsia="fr-CA"/>
        </w:rPr>
        <w:t>critères d'évaluation et de mesure pertinents,] [l'utilisation d'organismes vivants modifiés dans les centres d'origine et dans les systèmes agricoles traditionnels] conformément à l'annexe III du Protocole de Cartagena et en évitant tout double emploi avec les documents d'orientation existants, pour examen par l'Organe subsidiaire à une réunion tenue avant la treizième réunion de la Conférence des Parties siégeant en tant que réunion des Parties au Protocole. [Les orientations pourraient inclure des éléments procéduraux ou pratiques ou des points à examiner dans le cadre de l'évaluation des risques.]</w:t>
      </w:r>
    </w:p>
    <w:p w14:paraId="75684BC4" w14:textId="4DF171F2" w:rsidR="00D74E90" w:rsidRPr="009E0E23" w:rsidRDefault="00D74E90" w:rsidP="00D74E90">
      <w:pPr>
        <w:numPr>
          <w:ilvl w:val="0"/>
          <w:numId w:val="15"/>
        </w:numPr>
        <w:tabs>
          <w:tab w:val="clear" w:pos="567"/>
          <w:tab w:val="left" w:pos="2835"/>
          <w:tab w:val="left" w:pos="3402"/>
          <w:tab w:val="left" w:pos="3969"/>
        </w:tabs>
        <w:spacing w:before="120" w:after="120"/>
        <w:ind w:left="1134"/>
        <w:rPr>
          <w:lang w:val="fr-CA"/>
        </w:rPr>
      </w:pPr>
      <w:r w:rsidRPr="00405178">
        <w:rPr>
          <w:rFonts w:eastAsia="Times New Roman"/>
          <w:lang w:val="fr-CA" w:eastAsia="fr-CA"/>
        </w:rPr>
        <w:t>Dans le cadre de ses travaux, le Groupe d’experts tiendra compte</w:t>
      </w:r>
      <w:r w:rsidRPr="009E0E23">
        <w:rPr>
          <w:rFonts w:eastAsia="Times New Roman"/>
          <w:lang w:val="fr-CA" w:eastAsia="fr-CA"/>
        </w:rPr>
        <w:t xml:space="preserve"> </w:t>
      </w:r>
      <w:r w:rsidRPr="00405178">
        <w:rPr>
          <w:rFonts w:eastAsia="Times New Roman"/>
          <w:lang w:val="fr-CA" w:eastAsia="fr-CA"/>
        </w:rPr>
        <w:t xml:space="preserve">des informations communiquées conformément au paragraphe 5 de la présente </w:t>
      </w:r>
      <w:r w:rsidRPr="009E0E23">
        <w:rPr>
          <w:rFonts w:eastAsia="Times New Roman"/>
          <w:lang w:val="fr-CA" w:eastAsia="fr-CA"/>
        </w:rPr>
        <w:t xml:space="preserve">décision, </w:t>
      </w:r>
      <w:r w:rsidRPr="00405178">
        <w:rPr>
          <w:rFonts w:eastAsia="Times New Roman"/>
          <w:lang w:val="fr-CA" w:eastAsia="fr-CA"/>
        </w:rPr>
        <w:t xml:space="preserve">des discussions tenues dans le Forum en ligne à composition non limitée sur l’évaluation et la gestion des </w:t>
      </w:r>
      <w:r w:rsidRPr="009E0E23">
        <w:rPr>
          <w:rFonts w:eastAsia="Times New Roman"/>
          <w:lang w:val="fr-CA" w:eastAsia="fr-CA"/>
        </w:rPr>
        <w:t xml:space="preserve">risques, de </w:t>
      </w:r>
      <w:r w:rsidRPr="00405178">
        <w:rPr>
          <w:rFonts w:eastAsia="Times New Roman"/>
          <w:lang w:val="fr-CA" w:eastAsia="fr-CA"/>
        </w:rPr>
        <w:t xml:space="preserve">la synthèse d’informations </w:t>
      </w:r>
      <w:r w:rsidR="00DC220F">
        <w:rPr>
          <w:rFonts w:eastAsia="Times New Roman"/>
          <w:lang w:val="fr-CA" w:eastAsia="fr-CA"/>
        </w:rPr>
        <w:t>élaborée</w:t>
      </w:r>
      <w:r w:rsidRPr="00405178">
        <w:rPr>
          <w:rFonts w:eastAsia="Times New Roman"/>
          <w:lang w:val="fr-CA" w:eastAsia="fr-CA"/>
        </w:rPr>
        <w:t xml:space="preserve"> par le </w:t>
      </w:r>
      <w:r>
        <w:rPr>
          <w:rFonts w:eastAsia="Times New Roman"/>
          <w:lang w:val="fr-CA" w:eastAsia="fr-CA"/>
        </w:rPr>
        <w:t>s</w:t>
      </w:r>
      <w:r w:rsidRPr="00405178">
        <w:rPr>
          <w:rFonts w:eastAsia="Times New Roman"/>
          <w:lang w:val="fr-CA" w:eastAsia="fr-CA"/>
        </w:rPr>
        <w:t>ecrétariat</w:t>
      </w:r>
      <w:r w:rsidRPr="009E0E23">
        <w:rPr>
          <w:rFonts w:eastAsia="Times New Roman"/>
          <w:lang w:val="fr-CA" w:eastAsia="fr-CA"/>
        </w:rPr>
        <w:t xml:space="preserve"> conformément au paragraphe 12 </w:t>
      </w:r>
      <w:r w:rsidRPr="00405178">
        <w:rPr>
          <w:rFonts w:eastAsia="Times New Roman"/>
          <w:lang w:val="fr-CA" w:eastAsia="fr-CA"/>
        </w:rPr>
        <w:t>c)</w:t>
      </w:r>
      <w:r w:rsidRPr="009E0E23">
        <w:rPr>
          <w:rFonts w:eastAsia="Times New Roman"/>
          <w:lang w:val="fr-CA" w:eastAsia="fr-CA"/>
        </w:rPr>
        <w:t xml:space="preserve"> de la </w:t>
      </w:r>
      <w:r w:rsidRPr="009E0E23">
        <w:rPr>
          <w:rFonts w:eastAsia="Times New Roman"/>
          <w:lang w:val="fr-CA" w:eastAsia="fr-CA"/>
        </w:rPr>
        <w:lastRenderedPageBreak/>
        <w:t xml:space="preserve">présente décision, </w:t>
      </w:r>
      <w:r w:rsidRPr="00405178">
        <w:rPr>
          <w:rFonts w:eastAsia="Times New Roman"/>
          <w:lang w:val="fr-CA" w:eastAsia="fr-CA"/>
        </w:rPr>
        <w:t xml:space="preserve">de la synthèse des communications d’informations sur l’évaluation des risques et des discussions </w:t>
      </w:r>
      <w:r>
        <w:rPr>
          <w:rFonts w:eastAsia="Times New Roman"/>
          <w:lang w:val="fr-CA" w:eastAsia="fr-CA"/>
        </w:rPr>
        <w:t xml:space="preserve">tenues dans le cadre </w:t>
      </w:r>
      <w:r w:rsidRPr="00405178">
        <w:rPr>
          <w:rFonts w:eastAsia="Times New Roman"/>
          <w:lang w:val="fr-CA" w:eastAsia="fr-CA"/>
        </w:rPr>
        <w:t>du Forum en ligne</w:t>
      </w:r>
      <w:r w:rsidRPr="009E0E23">
        <w:rPr>
          <w:vertAlign w:val="superscript"/>
          <w:lang w:val="fr-CA"/>
        </w:rPr>
        <w:footnoteReference w:id="15"/>
      </w:r>
      <w:r w:rsidRPr="009E0E23">
        <w:rPr>
          <w:lang w:val="fr-CA"/>
        </w:rPr>
        <w:t xml:space="preserve"> </w:t>
      </w:r>
      <w:r w:rsidRPr="00405178">
        <w:rPr>
          <w:rFonts w:eastAsia="Times New Roman"/>
          <w:lang w:val="fr-CA" w:eastAsia="fr-CA"/>
        </w:rPr>
        <w:t xml:space="preserve">ainsi que de la liste des références bibliographiques </w:t>
      </w:r>
      <w:r>
        <w:rPr>
          <w:rFonts w:eastAsia="Times New Roman"/>
          <w:lang w:val="fr-CA" w:eastAsia="fr-CA"/>
        </w:rPr>
        <w:t>communiquées</w:t>
      </w:r>
      <w:r w:rsidRPr="00405178">
        <w:rPr>
          <w:rFonts w:eastAsia="Times New Roman"/>
          <w:lang w:val="fr-CA" w:eastAsia="fr-CA"/>
        </w:rPr>
        <w:t xml:space="preserve"> dans les </w:t>
      </w:r>
      <w:r>
        <w:rPr>
          <w:rFonts w:eastAsia="Times New Roman"/>
          <w:lang w:val="fr-CA" w:eastAsia="fr-CA"/>
        </w:rPr>
        <w:t>soumissions</w:t>
      </w:r>
      <w:r w:rsidRPr="00405178">
        <w:rPr>
          <w:rFonts w:eastAsia="Times New Roman"/>
          <w:lang w:val="fr-CA" w:eastAsia="fr-CA"/>
        </w:rPr>
        <w:t xml:space="preserve"> </w:t>
      </w:r>
      <w:r>
        <w:rPr>
          <w:rFonts w:eastAsia="Times New Roman"/>
          <w:lang w:val="fr-CA" w:eastAsia="fr-CA"/>
        </w:rPr>
        <w:t>des</w:t>
      </w:r>
      <w:r w:rsidRPr="00405178">
        <w:rPr>
          <w:rFonts w:eastAsia="Times New Roman"/>
          <w:lang w:val="fr-CA" w:eastAsia="fr-CA"/>
        </w:rPr>
        <w:t xml:space="preserve"> Parties et </w:t>
      </w:r>
      <w:r>
        <w:rPr>
          <w:rFonts w:eastAsia="Times New Roman"/>
          <w:lang w:val="fr-CA" w:eastAsia="fr-CA"/>
        </w:rPr>
        <w:t>au cours</w:t>
      </w:r>
      <w:r w:rsidRPr="00405178">
        <w:rPr>
          <w:rFonts w:eastAsia="Times New Roman"/>
          <w:lang w:val="fr-CA" w:eastAsia="fr-CA"/>
        </w:rPr>
        <w:t xml:space="preserve"> des discussions </w:t>
      </w:r>
      <w:r>
        <w:rPr>
          <w:rFonts w:eastAsia="Times New Roman"/>
          <w:lang w:val="fr-CA" w:eastAsia="fr-CA"/>
        </w:rPr>
        <w:t xml:space="preserve">tenues dans le cadre </w:t>
      </w:r>
      <w:r w:rsidRPr="00405178">
        <w:rPr>
          <w:rFonts w:eastAsia="Times New Roman"/>
          <w:lang w:val="fr-CA" w:eastAsia="fr-CA"/>
        </w:rPr>
        <w:t>du Forum en lig</w:t>
      </w:r>
      <w:r w:rsidRPr="009E0E23">
        <w:rPr>
          <w:rFonts w:eastAsia="Times New Roman"/>
          <w:lang w:val="fr-CA" w:eastAsia="fr-CA"/>
        </w:rPr>
        <w:t>ne</w:t>
      </w:r>
      <w:r w:rsidRPr="009E0E23">
        <w:rPr>
          <w:vertAlign w:val="superscript"/>
          <w:lang w:val="fr-CA"/>
        </w:rPr>
        <w:footnoteReference w:id="16"/>
      </w:r>
      <w:r>
        <w:rPr>
          <w:rFonts w:eastAsia="Times New Roman"/>
          <w:lang w:val="fr-CA" w:eastAsia="fr-CA"/>
        </w:rPr>
        <w:t>.</w:t>
      </w:r>
    </w:p>
    <w:p w14:paraId="64B20669" w14:textId="11431572" w:rsidR="00D74E90" w:rsidRPr="00243A59" w:rsidRDefault="00D74E90" w:rsidP="00D74E90">
      <w:pPr>
        <w:numPr>
          <w:ilvl w:val="0"/>
          <w:numId w:val="15"/>
        </w:numPr>
        <w:tabs>
          <w:tab w:val="clear" w:pos="567"/>
          <w:tab w:val="left" w:pos="2835"/>
          <w:tab w:val="left" w:pos="3402"/>
          <w:tab w:val="left" w:pos="3969"/>
        </w:tabs>
        <w:spacing w:before="120" w:after="120"/>
        <w:ind w:left="1134"/>
        <w:rPr>
          <w:lang w:val="fr-CA"/>
        </w:rPr>
      </w:pPr>
      <w:r w:rsidRPr="00405178">
        <w:rPr>
          <w:rFonts w:eastAsia="Times New Roman"/>
          <w:lang w:val="fr-CA" w:eastAsia="fr-CA"/>
        </w:rPr>
        <w:t xml:space="preserve">Dans le cadre de ses travaux, le Groupe d’experts tiendra également compte des informations </w:t>
      </w:r>
      <w:r>
        <w:rPr>
          <w:rFonts w:eastAsia="Times New Roman"/>
          <w:lang w:val="fr-CA" w:eastAsia="fr-CA"/>
        </w:rPr>
        <w:t>émanant</w:t>
      </w:r>
      <w:r w:rsidRPr="00405178">
        <w:rPr>
          <w:rFonts w:eastAsia="Times New Roman"/>
          <w:lang w:val="fr-CA" w:eastAsia="fr-CA"/>
        </w:rPr>
        <w:t xml:space="preserve"> d’autres organes internationaux, régionaux et nationaux, afin d’éviter </w:t>
      </w:r>
      <w:r w:rsidRPr="00237A53">
        <w:rPr>
          <w:rFonts w:eastAsia="Times New Roman"/>
          <w:lang w:val="fr-CA" w:eastAsia="fr-CA"/>
        </w:rPr>
        <w:t>les doublons avec les documents existants</w:t>
      </w:r>
      <w:r>
        <w:rPr>
          <w:rFonts w:eastAsia="Times New Roman"/>
          <w:lang w:val="fr-CA" w:eastAsia="fr-CA"/>
        </w:rPr>
        <w:t>.</w:t>
      </w:r>
    </w:p>
    <w:p w14:paraId="1CACDFA2" w14:textId="77777777" w:rsidR="00D74E90" w:rsidRPr="009E0E23" w:rsidRDefault="00D74E90" w:rsidP="00D74E90">
      <w:pPr>
        <w:tabs>
          <w:tab w:val="clear" w:pos="567"/>
          <w:tab w:val="left" w:pos="2835"/>
          <w:tab w:val="left" w:pos="3402"/>
          <w:tab w:val="left" w:pos="3969"/>
        </w:tabs>
        <w:spacing w:before="120" w:after="120"/>
        <w:ind w:left="1134"/>
        <w:rPr>
          <w:lang w:val="fr-CA"/>
        </w:rPr>
      </w:pPr>
      <w:r w:rsidRPr="009E0E23">
        <w:rPr>
          <w:lang w:val="fr-CA"/>
        </w:rPr>
        <w:t>]</w:t>
      </w:r>
    </w:p>
    <w:p w14:paraId="44050B3A" w14:textId="7C096EB4" w:rsidR="001065E9" w:rsidRPr="00BC7D0F" w:rsidRDefault="00EB55FB" w:rsidP="001D654A">
      <w:pPr>
        <w:jc w:val="center"/>
        <w:rPr>
          <w:lang w:val="en-CA"/>
        </w:rPr>
      </w:pPr>
      <w:r w:rsidRPr="00EB55FB">
        <w:rPr>
          <w:lang w:val="en-CA"/>
        </w:rPr>
        <w:t>__________</w:t>
      </w:r>
    </w:p>
    <w:sectPr w:rsidR="001065E9" w:rsidRPr="00BC7D0F" w:rsidSect="00BC7D0F">
      <w:headerReference w:type="even" r:id="rId20"/>
      <w:headerReference w:type="default" r:id="rId21"/>
      <w:footerReference w:type="even" r:id="rId22"/>
      <w:footerReference w:type="default" r:id="rId23"/>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A7B6" w14:textId="77777777" w:rsidR="00CB6298" w:rsidRDefault="00CB6298" w:rsidP="00840E56">
      <w:r>
        <w:separator/>
      </w:r>
    </w:p>
  </w:endnote>
  <w:endnote w:type="continuationSeparator" w:id="0">
    <w:p w14:paraId="182AE785" w14:textId="77777777" w:rsidR="00CB6298" w:rsidRDefault="00CB6298" w:rsidP="008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Content>
      <w:p w14:paraId="73BA6EA0" w14:textId="1A4C2C88" w:rsidR="00D4364D" w:rsidRDefault="004D2538">
        <w:pPr>
          <w:pStyle w:val="Pieddepage"/>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56901"/>
      <w:docPartObj>
        <w:docPartGallery w:val="Page Numbers (Top of Page)"/>
        <w:docPartUnique/>
      </w:docPartObj>
    </w:sdtPr>
    <w:sdtContent>
      <w:p w14:paraId="06BEFDC1" w14:textId="20072357" w:rsidR="00D4364D" w:rsidRDefault="004D2538" w:rsidP="00B1090B">
        <w:pPr>
          <w:pStyle w:val="Pieddepage"/>
          <w:jc w:val="right"/>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BD8D" w14:textId="77777777" w:rsidR="00CB6298" w:rsidRDefault="00CB6298" w:rsidP="00840E56">
      <w:r>
        <w:separator/>
      </w:r>
    </w:p>
  </w:footnote>
  <w:footnote w:type="continuationSeparator" w:id="0">
    <w:p w14:paraId="102F63BF" w14:textId="77777777" w:rsidR="00CB6298" w:rsidRDefault="00CB6298" w:rsidP="00840E56">
      <w:r>
        <w:continuationSeparator/>
      </w:r>
    </w:p>
  </w:footnote>
  <w:footnote w:id="1">
    <w:p w14:paraId="2F0C1C80" w14:textId="77777777" w:rsidR="00D74E90" w:rsidRPr="00F13E8F" w:rsidRDefault="00D74E90" w:rsidP="00D74E90">
      <w:pPr>
        <w:pStyle w:val="Notedebasdepage"/>
      </w:pPr>
      <w:r>
        <w:rPr>
          <w:rStyle w:val="Appelnotedebasdep"/>
        </w:rPr>
        <w:footnoteRef/>
      </w:r>
      <w:r>
        <w:t xml:space="preserve"> </w:t>
      </w:r>
      <w:r w:rsidRPr="00AB40A3">
        <w:rPr>
          <w:lang w:val="fr-CA"/>
        </w:rPr>
        <w:t xml:space="preserve">Nations Unies, </w:t>
      </w:r>
      <w:r w:rsidRPr="00AB40A3">
        <w:rPr>
          <w:i/>
          <w:lang w:val="fr-CA"/>
        </w:rPr>
        <w:t>Recueil des Traités</w:t>
      </w:r>
      <w:r w:rsidRPr="00AB40A3">
        <w:rPr>
          <w:lang w:val="fr-CA"/>
        </w:rPr>
        <w:t>, vol. 2226, n°</w:t>
      </w:r>
      <w:r>
        <w:rPr>
          <w:lang w:val="fr-CA"/>
        </w:rPr>
        <w:t xml:space="preserve"> </w:t>
      </w:r>
      <w:r w:rsidRPr="00AB40A3">
        <w:rPr>
          <w:lang w:val="fr-CA"/>
        </w:rPr>
        <w:t>30619</w:t>
      </w:r>
      <w:r w:rsidRPr="00F13E8F">
        <w:t>.</w:t>
      </w:r>
    </w:p>
  </w:footnote>
  <w:footnote w:id="2">
    <w:p w14:paraId="777ADC39" w14:textId="77777777" w:rsidR="00074048" w:rsidRPr="00AB40A3" w:rsidRDefault="00074048" w:rsidP="00074048">
      <w:pPr>
        <w:pStyle w:val="Notedebasdepage"/>
        <w:rPr>
          <w:lang w:val="fr-CA"/>
        </w:rPr>
      </w:pPr>
      <w:r w:rsidRPr="00AB40A3">
        <w:rPr>
          <w:rStyle w:val="Appelnotedebasdep"/>
          <w:lang w:val="fr-CA"/>
        </w:rPr>
        <w:footnoteRef/>
      </w:r>
      <w:r w:rsidRPr="00AB40A3">
        <w:rPr>
          <w:lang w:val="fr-CA"/>
        </w:rPr>
        <w:t xml:space="preserve"> Voir </w:t>
      </w:r>
      <w:hyperlink r:id="rId1" w:history="1">
        <w:r w:rsidRPr="00AB40A3">
          <w:rPr>
            <w:rStyle w:val="Lienhypertexte"/>
            <w:lang w:val="fr-CA"/>
          </w:rPr>
          <w:t>CBD/CP/RA/AHTEG/2025/1/3</w:t>
        </w:r>
      </w:hyperlink>
      <w:r w:rsidRPr="00AB40A3">
        <w:rPr>
          <w:lang w:val="fr-CA"/>
        </w:rPr>
        <w:t>.</w:t>
      </w:r>
    </w:p>
  </w:footnote>
  <w:footnote w:id="3">
    <w:p w14:paraId="3F5F7B41" w14:textId="77777777" w:rsidR="00074048" w:rsidRPr="00AB40A3" w:rsidRDefault="00074048" w:rsidP="00074048">
      <w:pPr>
        <w:pStyle w:val="Notedebasdepage"/>
        <w:rPr>
          <w:lang w:val="fr-CA"/>
        </w:rPr>
      </w:pPr>
      <w:r w:rsidRPr="00AB40A3">
        <w:rPr>
          <w:rStyle w:val="Appelnotedebasdep"/>
          <w:lang w:val="fr-CA"/>
        </w:rPr>
        <w:footnoteRef/>
      </w:r>
      <w:r w:rsidRPr="00AB40A3">
        <w:rPr>
          <w:lang w:val="fr-CA"/>
        </w:rPr>
        <w:t xml:space="preserve"> </w:t>
      </w:r>
      <w:r>
        <w:rPr>
          <w:lang w:val="fr-CA"/>
        </w:rPr>
        <w:t xml:space="preserve">Voir </w:t>
      </w:r>
      <w:hyperlink r:id="rId2" w:history="1">
        <w:r w:rsidRPr="00AB40A3">
          <w:rPr>
            <w:rStyle w:val="Lienhypertexte"/>
            <w:lang w:val="fr-CA"/>
          </w:rPr>
          <w:t>CBD/SBSTTA/27/6</w:t>
        </w:r>
      </w:hyperlink>
      <w:r w:rsidRPr="00AB40A3">
        <w:rPr>
          <w:lang w:val="fr-CA"/>
        </w:rPr>
        <w:t>, annexe.</w:t>
      </w:r>
    </w:p>
  </w:footnote>
  <w:footnote w:id="4">
    <w:p w14:paraId="379122AB"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Nations Unies, </w:t>
      </w:r>
      <w:r w:rsidRPr="00AB40A3">
        <w:rPr>
          <w:i/>
          <w:lang w:val="fr-CA"/>
        </w:rPr>
        <w:t>Recueil des Traités</w:t>
      </w:r>
      <w:r w:rsidRPr="00AB40A3">
        <w:rPr>
          <w:lang w:val="fr-CA"/>
        </w:rPr>
        <w:t>, vol. 2226, n°</w:t>
      </w:r>
      <w:r>
        <w:rPr>
          <w:lang w:val="fr-CA"/>
        </w:rPr>
        <w:t xml:space="preserve"> </w:t>
      </w:r>
      <w:r w:rsidRPr="00AB40A3">
        <w:rPr>
          <w:lang w:val="fr-CA"/>
        </w:rPr>
        <w:t>30619.</w:t>
      </w:r>
    </w:p>
  </w:footnote>
  <w:footnote w:id="5">
    <w:p w14:paraId="55EBC5B9"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w:t>
      </w:r>
      <w:r w:rsidRPr="00AB40A3">
        <w:rPr>
          <w:szCs w:val="18"/>
          <w:lang w:val="fr-CA"/>
        </w:rPr>
        <w:t xml:space="preserve">[algues vivantes modifiées], [poissons vivants modifiés], [micro-organismes vivants modifiés], [organismes vivants modifiés </w:t>
      </w:r>
      <w:r>
        <w:rPr>
          <w:szCs w:val="18"/>
          <w:lang w:val="fr-CA"/>
        </w:rPr>
        <w:t>comportant</w:t>
      </w:r>
      <w:r w:rsidRPr="00AB40A3">
        <w:rPr>
          <w:szCs w:val="18"/>
          <w:lang w:val="fr-CA"/>
        </w:rPr>
        <w:t xml:space="preserve"> un mécanisme d’édition génomique </w:t>
      </w:r>
      <w:r>
        <w:rPr>
          <w:szCs w:val="18"/>
          <w:lang w:val="fr-CA"/>
        </w:rPr>
        <w:t>permettant de</w:t>
      </w:r>
      <w:r w:rsidRPr="00AB40A3">
        <w:rPr>
          <w:szCs w:val="18"/>
          <w:lang w:val="fr-CA"/>
        </w:rPr>
        <w:t xml:space="preserve"> lutter contre les </w:t>
      </w:r>
      <w:r w:rsidRPr="00EE469E">
        <w:rPr>
          <w:rFonts w:eastAsia="Times New Roman"/>
          <w:lang w:val="fr-CA" w:eastAsia="fr-CA"/>
        </w:rPr>
        <w:t xml:space="preserve">ravageurs </w:t>
      </w:r>
      <w:r w:rsidRPr="00AB40A3">
        <w:rPr>
          <w:szCs w:val="18"/>
          <w:lang w:val="fr-CA"/>
        </w:rPr>
        <w:t>ou les agents pathogènes], [effets cumulatifs et à long terme des constructions géniques et des organismes vivants modifiés], [</w:t>
      </w:r>
      <w:r>
        <w:rPr>
          <w:szCs w:val="18"/>
          <w:lang w:val="fr-CA"/>
        </w:rPr>
        <w:t>traduction</w:t>
      </w:r>
      <w:r w:rsidRPr="00AB40A3">
        <w:rPr>
          <w:szCs w:val="18"/>
          <w:lang w:val="fr-CA"/>
        </w:rPr>
        <w:t xml:space="preserve"> des objectifs de protection en critères d’évaluation et de mesure pertinents], [utilisation d’organismes vivants modifiés dans les centres d’origine et les systèmes agricoles traditionnels].</w:t>
      </w:r>
    </w:p>
  </w:footnote>
  <w:footnote w:id="6">
    <w:p w14:paraId="510D2E9C"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Voir </w:t>
      </w:r>
      <w:hyperlink r:id="rId3" w:history="1">
        <w:r w:rsidRPr="00AB40A3">
          <w:rPr>
            <w:rStyle w:val="Lienhypertexte"/>
            <w:lang w:val="fr-CA"/>
          </w:rPr>
          <w:t>CBD/CP/RA/AHTEG/2025/1/3</w:t>
        </w:r>
      </w:hyperlink>
      <w:r w:rsidRPr="00AB40A3">
        <w:rPr>
          <w:lang w:val="fr-CA"/>
        </w:rPr>
        <w:t>.</w:t>
      </w:r>
    </w:p>
  </w:footnote>
  <w:footnote w:id="7">
    <w:p w14:paraId="01C1FFCD"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Voir </w:t>
      </w:r>
      <w:hyperlink r:id="rId4" w:tgtFrame="_blank" w:tooltip="https://www.cbd.int/tsc/tscm/subregionalcentres" w:history="1">
        <w:r w:rsidRPr="00AB40A3">
          <w:rPr>
            <w:rStyle w:val="Lienhypertexte"/>
            <w:lang w:val="fr-CA"/>
          </w:rPr>
          <w:t>www.cbd.int/tsc/tscm/subregionalcentres</w:t>
        </w:r>
      </w:hyperlink>
      <w:r w:rsidRPr="00AB40A3">
        <w:rPr>
          <w:lang w:val="fr-CA"/>
        </w:rPr>
        <w:t>.</w:t>
      </w:r>
    </w:p>
  </w:footnote>
  <w:footnote w:id="8">
    <w:p w14:paraId="0A7F08E2"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w:t>
      </w:r>
      <w:r w:rsidRPr="00AB40A3">
        <w:rPr>
          <w:szCs w:val="18"/>
          <w:lang w:val="fr-CA"/>
        </w:rPr>
        <w:t xml:space="preserve">Comme indiqué en réponse à la question 68 du cinquième rapport national au </w:t>
      </w:r>
      <w:r>
        <w:rPr>
          <w:szCs w:val="18"/>
          <w:lang w:val="fr-CA"/>
        </w:rPr>
        <w:t xml:space="preserve">titre du </w:t>
      </w:r>
      <w:r w:rsidRPr="00AB40A3">
        <w:rPr>
          <w:szCs w:val="18"/>
          <w:lang w:val="fr-CA"/>
        </w:rPr>
        <w:t>Protocole de Cartagena</w:t>
      </w:r>
      <w:r w:rsidRPr="00AB40A3">
        <w:rPr>
          <w:lang w:val="fr-CA"/>
        </w:rPr>
        <w:t>.</w:t>
      </w:r>
    </w:p>
  </w:footnote>
  <w:footnote w:id="9">
    <w:p w14:paraId="46847C6D"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Voir </w:t>
      </w:r>
      <w:hyperlink r:id="rId5" w:history="1">
        <w:r w:rsidRPr="00562474">
          <w:rPr>
            <w:rStyle w:val="Lienhypertexte"/>
            <w:lang w:val="fr-CA"/>
          </w:rPr>
          <w:t>CBD/CP/MOP/11/9</w:t>
        </w:r>
      </w:hyperlink>
      <w:r w:rsidRPr="00AB40A3">
        <w:rPr>
          <w:lang w:val="fr-CA"/>
        </w:rPr>
        <w:t>.</w:t>
      </w:r>
    </w:p>
  </w:footnote>
  <w:footnote w:id="10">
    <w:p w14:paraId="63A64684"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Décision </w:t>
      </w:r>
      <w:hyperlink r:id="rId6" w:history="1">
        <w:r w:rsidRPr="00AB40A3">
          <w:rPr>
            <w:rStyle w:val="Lienhypertexte"/>
            <w:lang w:val="fr-CA"/>
          </w:rPr>
          <w:t>VI</w:t>
        </w:r>
        <w:r w:rsidRPr="00AB40A3">
          <w:rPr>
            <w:rStyle w:val="Lienhypertexte"/>
            <w:lang w:val="fr-CA"/>
          </w:rPr>
          <w:t>I</w:t>
        </w:r>
        <w:r w:rsidRPr="00AB40A3">
          <w:rPr>
            <w:rStyle w:val="Lienhypertexte"/>
            <w:lang w:val="fr-CA"/>
          </w:rPr>
          <w:t>I</w:t>
        </w:r>
        <w:r w:rsidRPr="00AB40A3">
          <w:rPr>
            <w:rStyle w:val="Lienhypertexte"/>
            <w:lang w:val="fr-CA"/>
          </w:rPr>
          <w:t>/10</w:t>
        </w:r>
      </w:hyperlink>
      <w:r w:rsidRPr="00AB40A3">
        <w:rPr>
          <w:lang w:val="fr-CA"/>
        </w:rPr>
        <w:t>, annexe III.</w:t>
      </w:r>
    </w:p>
  </w:footnote>
  <w:footnote w:id="11">
    <w:p w14:paraId="7CEC1A34"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Nations Unies, </w:t>
      </w:r>
      <w:r w:rsidRPr="00AB40A3">
        <w:rPr>
          <w:i/>
          <w:lang w:val="fr-CA"/>
        </w:rPr>
        <w:t>Recueil des Traités</w:t>
      </w:r>
      <w:r w:rsidRPr="00AB40A3">
        <w:rPr>
          <w:lang w:val="fr-CA"/>
        </w:rPr>
        <w:t>, vol. 2226, n°</w:t>
      </w:r>
      <w:r>
        <w:rPr>
          <w:lang w:val="fr-CA"/>
        </w:rPr>
        <w:t xml:space="preserve"> </w:t>
      </w:r>
      <w:r w:rsidRPr="00AB40A3">
        <w:rPr>
          <w:lang w:val="fr-CA"/>
        </w:rPr>
        <w:t>30619.</w:t>
      </w:r>
    </w:p>
  </w:footnote>
  <w:footnote w:id="12">
    <w:p w14:paraId="08B63E72"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Voir </w:t>
      </w:r>
      <w:hyperlink r:id="rId7" w:history="1">
        <w:r w:rsidRPr="00AB40A3">
          <w:rPr>
            <w:rStyle w:val="Lienhypertexte"/>
            <w:lang w:val="fr-CA"/>
          </w:rPr>
          <w:t>CBD/CP/MOP/</w:t>
        </w:r>
        <w:r w:rsidRPr="00AB40A3">
          <w:rPr>
            <w:rStyle w:val="Lienhypertexte"/>
            <w:lang w:val="fr-CA"/>
          </w:rPr>
          <w:t>1</w:t>
        </w:r>
        <w:r w:rsidRPr="00AB40A3">
          <w:rPr>
            <w:rStyle w:val="Lienhypertexte"/>
            <w:lang w:val="fr-CA"/>
          </w:rPr>
          <w:t>1/9</w:t>
        </w:r>
      </w:hyperlink>
      <w:r w:rsidRPr="00AB40A3">
        <w:rPr>
          <w:lang w:val="fr-CA"/>
        </w:rPr>
        <w:t>.</w:t>
      </w:r>
    </w:p>
  </w:footnote>
  <w:footnote w:id="13">
    <w:p w14:paraId="52865123"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Une note technique peut être un document concis fournissant des informations pratiques sur un sujet ou une question spécifique. Elle complète les documents d’orientation existants et peut inclure des éléments procéduraux ou des points à prendre en considération lors de l’examen d’un sujet ou d’un contexte particulier.</w:t>
      </w:r>
    </w:p>
  </w:footnote>
  <w:footnote w:id="14">
    <w:p w14:paraId="05E38EA0"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w:t>
      </w:r>
      <w:r w:rsidRPr="00AB40A3">
        <w:rPr>
          <w:szCs w:val="18"/>
          <w:lang w:val="fr-CA"/>
        </w:rPr>
        <w:t xml:space="preserve">La note technique sur l’utilisation d’organismes vivants modifiés dans les centres d’origine et les systèmes agricoles traditionnels devrait être conforme aux </w:t>
      </w:r>
      <w:r w:rsidRPr="00562474">
        <w:rPr>
          <w:szCs w:val="18"/>
          <w:lang w:val="fr-CA"/>
        </w:rPr>
        <w:t>Lignes directrices facultatives Akwé: Kon 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Pr>
          <w:szCs w:val="18"/>
          <w:lang w:val="fr-CA"/>
        </w:rPr>
        <w:t>.</w:t>
      </w:r>
    </w:p>
  </w:footnote>
  <w:footnote w:id="15">
    <w:p w14:paraId="05E33A9D"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w:t>
      </w:r>
      <w:hyperlink r:id="rId8" w:history="1">
        <w:r w:rsidRPr="00AB40A3">
          <w:rPr>
            <w:rStyle w:val="Lienhypertexte"/>
            <w:lang w:val="fr-CA"/>
          </w:rPr>
          <w:t>CBD/CP/RA/AHTEG/2025/1/INF/1</w:t>
        </w:r>
      </w:hyperlink>
      <w:r w:rsidRPr="00AB40A3">
        <w:rPr>
          <w:lang w:val="fr-CA"/>
        </w:rPr>
        <w:t>.</w:t>
      </w:r>
    </w:p>
  </w:footnote>
  <w:footnote w:id="16">
    <w:p w14:paraId="794C4C22" w14:textId="77777777" w:rsidR="00D74E90" w:rsidRPr="00AB40A3" w:rsidRDefault="00D74E90" w:rsidP="00D74E90">
      <w:pPr>
        <w:pStyle w:val="Notedebasdepage"/>
        <w:rPr>
          <w:lang w:val="fr-CA"/>
        </w:rPr>
      </w:pPr>
      <w:r w:rsidRPr="00AB40A3">
        <w:rPr>
          <w:rStyle w:val="Appelnotedebasdep"/>
          <w:lang w:val="fr-CA"/>
        </w:rPr>
        <w:footnoteRef/>
      </w:r>
      <w:r w:rsidRPr="00AB40A3">
        <w:rPr>
          <w:lang w:val="fr-CA"/>
        </w:rPr>
        <w:t xml:space="preserve"> </w:t>
      </w:r>
      <w:hyperlink r:id="rId9" w:history="1">
        <w:r w:rsidRPr="00AB40A3">
          <w:rPr>
            <w:rStyle w:val="Lienhypertexte"/>
            <w:lang w:val="fr-CA"/>
          </w:rPr>
          <w:t>CBD/CP/RA/AHTEG/2025/1/INF/2</w:t>
        </w:r>
      </w:hyperlink>
      <w:r w:rsidRPr="00AB40A3">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77D" w14:textId="428669E6" w:rsidR="00D4364D" w:rsidRPr="00B1090B" w:rsidRDefault="00D4364D" w:rsidP="00776D82">
    <w:pPr>
      <w:pStyle w:val="En-tte"/>
      <w:spacing w:after="240"/>
      <w:rPr>
        <w:lang w:val="en-US"/>
      </w:rPr>
    </w:pPr>
    <w:r>
      <w:rPr>
        <w:lang w:val="en-US"/>
      </w:rPr>
      <w:t>CBD/SBSTTA/</w:t>
    </w:r>
    <w:r w:rsidR="00590207">
      <w:rPr>
        <w:lang w:val="en-US"/>
      </w:rPr>
      <w:t>REC/</w:t>
    </w:r>
    <w:r>
      <w:rPr>
        <w:lang w:val="en-US"/>
      </w:rPr>
      <w:t>27</w:t>
    </w:r>
    <w:r w:rsidR="00BD1DFA">
      <w:rPr>
        <w:lang w:val="en-US"/>
      </w:rPr>
      <w:t>/</w:t>
    </w:r>
    <w:r w:rsidR="00590207">
      <w:rPr>
        <w:lang w:val="en-U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3F4" w14:textId="399961CA" w:rsidR="00D4364D" w:rsidRPr="00B1090B" w:rsidRDefault="00BD1DFA" w:rsidP="00776D82">
    <w:pPr>
      <w:pStyle w:val="En-tte"/>
      <w:spacing w:after="240"/>
      <w:jc w:val="right"/>
      <w:rPr>
        <w:lang w:val="en-US"/>
      </w:rPr>
    </w:pPr>
    <w:r>
      <w:rPr>
        <w:lang w:val="en-US"/>
      </w:rPr>
      <w:t>CBD/SBSTTA/</w:t>
    </w:r>
    <w:r w:rsidR="00590207">
      <w:rPr>
        <w:lang w:val="en-US"/>
      </w:rPr>
      <w:t>REC/</w:t>
    </w:r>
    <w:r>
      <w:rPr>
        <w:lang w:val="en-US"/>
      </w:rPr>
      <w:t>27/</w:t>
    </w:r>
    <w:r w:rsidR="00590207">
      <w:rPr>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5627F2C"/>
    <w:multiLevelType w:val="hybridMultilevel"/>
    <w:tmpl w:val="44061504"/>
    <w:lvl w:ilvl="0" w:tplc="9D4C0668">
      <w:start w:val="1"/>
      <w:numFmt w:val="lowerLetter"/>
      <w:lvlText w:val="%1)"/>
      <w:lvlJc w:val="left"/>
      <w:pPr>
        <w:ind w:left="1020" w:hanging="360"/>
      </w:pPr>
    </w:lvl>
    <w:lvl w:ilvl="1" w:tplc="0AC2154E">
      <w:start w:val="1"/>
      <w:numFmt w:val="lowerLetter"/>
      <w:lvlText w:val="%2)"/>
      <w:lvlJc w:val="left"/>
      <w:pPr>
        <w:ind w:left="1020" w:hanging="360"/>
      </w:pPr>
    </w:lvl>
    <w:lvl w:ilvl="2" w:tplc="CAB2A274">
      <w:start w:val="1"/>
      <w:numFmt w:val="lowerLetter"/>
      <w:lvlText w:val="%3)"/>
      <w:lvlJc w:val="left"/>
      <w:pPr>
        <w:ind w:left="1020" w:hanging="360"/>
      </w:pPr>
    </w:lvl>
    <w:lvl w:ilvl="3" w:tplc="AFC811FC">
      <w:start w:val="1"/>
      <w:numFmt w:val="lowerLetter"/>
      <w:lvlText w:val="%4)"/>
      <w:lvlJc w:val="left"/>
      <w:pPr>
        <w:ind w:left="1020" w:hanging="360"/>
      </w:pPr>
    </w:lvl>
    <w:lvl w:ilvl="4" w:tplc="61904424">
      <w:start w:val="1"/>
      <w:numFmt w:val="lowerLetter"/>
      <w:lvlText w:val="%5)"/>
      <w:lvlJc w:val="left"/>
      <w:pPr>
        <w:ind w:left="1020" w:hanging="360"/>
      </w:pPr>
    </w:lvl>
    <w:lvl w:ilvl="5" w:tplc="93886AF4">
      <w:start w:val="1"/>
      <w:numFmt w:val="lowerLetter"/>
      <w:lvlText w:val="%6)"/>
      <w:lvlJc w:val="left"/>
      <w:pPr>
        <w:ind w:left="1020" w:hanging="360"/>
      </w:pPr>
    </w:lvl>
    <w:lvl w:ilvl="6" w:tplc="741AA6D6">
      <w:start w:val="1"/>
      <w:numFmt w:val="lowerLetter"/>
      <w:lvlText w:val="%7)"/>
      <w:lvlJc w:val="left"/>
      <w:pPr>
        <w:ind w:left="1020" w:hanging="360"/>
      </w:pPr>
    </w:lvl>
    <w:lvl w:ilvl="7" w:tplc="DA22024C">
      <w:start w:val="1"/>
      <w:numFmt w:val="lowerLetter"/>
      <w:lvlText w:val="%8)"/>
      <w:lvlJc w:val="left"/>
      <w:pPr>
        <w:ind w:left="1020" w:hanging="360"/>
      </w:pPr>
    </w:lvl>
    <w:lvl w:ilvl="8" w:tplc="71C6207C">
      <w:start w:val="1"/>
      <w:numFmt w:val="lowerLetter"/>
      <w:lvlText w:val="%9)"/>
      <w:lvlJc w:val="left"/>
      <w:pPr>
        <w:ind w:left="1020" w:hanging="360"/>
      </w:pPr>
    </w:lvl>
  </w:abstractNum>
  <w:abstractNum w:abstractNumId="11" w15:restartNumberingAfterBreak="0">
    <w:nsid w:val="19E646BE"/>
    <w:multiLevelType w:val="hybridMultilevel"/>
    <w:tmpl w:val="5C4A16AE"/>
    <w:lvl w:ilvl="0" w:tplc="9042D268">
      <w:start w:val="1"/>
      <w:numFmt w:val="lowerLetter"/>
      <w:lvlText w:val="%1)"/>
      <w:lvlJc w:val="left"/>
      <w:pPr>
        <w:ind w:left="1020" w:hanging="360"/>
      </w:pPr>
    </w:lvl>
    <w:lvl w:ilvl="1" w:tplc="8AB0081E">
      <w:start w:val="1"/>
      <w:numFmt w:val="lowerLetter"/>
      <w:lvlText w:val="%2)"/>
      <w:lvlJc w:val="left"/>
      <w:pPr>
        <w:ind w:left="1020" w:hanging="360"/>
      </w:pPr>
    </w:lvl>
    <w:lvl w:ilvl="2" w:tplc="A32C404E">
      <w:start w:val="1"/>
      <w:numFmt w:val="lowerLetter"/>
      <w:lvlText w:val="%3)"/>
      <w:lvlJc w:val="left"/>
      <w:pPr>
        <w:ind w:left="1020" w:hanging="360"/>
      </w:pPr>
    </w:lvl>
    <w:lvl w:ilvl="3" w:tplc="7C4E49A4">
      <w:start w:val="1"/>
      <w:numFmt w:val="lowerLetter"/>
      <w:lvlText w:val="%4)"/>
      <w:lvlJc w:val="left"/>
      <w:pPr>
        <w:ind w:left="1020" w:hanging="360"/>
      </w:pPr>
    </w:lvl>
    <w:lvl w:ilvl="4" w:tplc="6A6C1B6E">
      <w:start w:val="1"/>
      <w:numFmt w:val="lowerLetter"/>
      <w:lvlText w:val="%5)"/>
      <w:lvlJc w:val="left"/>
      <w:pPr>
        <w:ind w:left="1020" w:hanging="360"/>
      </w:pPr>
    </w:lvl>
    <w:lvl w:ilvl="5" w:tplc="9894F3DC">
      <w:start w:val="1"/>
      <w:numFmt w:val="lowerLetter"/>
      <w:lvlText w:val="%6)"/>
      <w:lvlJc w:val="left"/>
      <w:pPr>
        <w:ind w:left="1020" w:hanging="360"/>
      </w:pPr>
    </w:lvl>
    <w:lvl w:ilvl="6" w:tplc="C2B094CA">
      <w:start w:val="1"/>
      <w:numFmt w:val="lowerLetter"/>
      <w:lvlText w:val="%7)"/>
      <w:lvlJc w:val="left"/>
      <w:pPr>
        <w:ind w:left="1020" w:hanging="360"/>
      </w:pPr>
    </w:lvl>
    <w:lvl w:ilvl="7" w:tplc="8326F04E">
      <w:start w:val="1"/>
      <w:numFmt w:val="lowerLetter"/>
      <w:lvlText w:val="%8)"/>
      <w:lvlJc w:val="left"/>
      <w:pPr>
        <w:ind w:left="1020" w:hanging="360"/>
      </w:pPr>
    </w:lvl>
    <w:lvl w:ilvl="8" w:tplc="7D5806C2">
      <w:start w:val="1"/>
      <w:numFmt w:val="lowerLetter"/>
      <w:lvlText w:val="%9)"/>
      <w:lvlJc w:val="left"/>
      <w:pPr>
        <w:ind w:left="1020" w:hanging="360"/>
      </w:pPr>
    </w:lvl>
  </w:abstractNum>
  <w:abstractNum w:abstractNumId="12" w15:restartNumberingAfterBreak="0">
    <w:nsid w:val="1B375478"/>
    <w:multiLevelType w:val="hybridMultilevel"/>
    <w:tmpl w:val="95463B96"/>
    <w:lvl w:ilvl="0" w:tplc="64E65416">
      <w:start w:val="1"/>
      <w:numFmt w:val="lowerLetter"/>
      <w:lvlText w:val="%1)"/>
      <w:lvlJc w:val="left"/>
      <w:pPr>
        <w:ind w:left="1020" w:hanging="360"/>
      </w:pPr>
    </w:lvl>
    <w:lvl w:ilvl="1" w:tplc="6276C692">
      <w:start w:val="1"/>
      <w:numFmt w:val="lowerLetter"/>
      <w:lvlText w:val="%2)"/>
      <w:lvlJc w:val="left"/>
      <w:pPr>
        <w:ind w:left="1020" w:hanging="360"/>
      </w:pPr>
    </w:lvl>
    <w:lvl w:ilvl="2" w:tplc="566AAFC8">
      <w:start w:val="1"/>
      <w:numFmt w:val="lowerLetter"/>
      <w:lvlText w:val="%3)"/>
      <w:lvlJc w:val="left"/>
      <w:pPr>
        <w:ind w:left="1020" w:hanging="360"/>
      </w:pPr>
    </w:lvl>
    <w:lvl w:ilvl="3" w:tplc="279AA9B0">
      <w:start w:val="1"/>
      <w:numFmt w:val="lowerLetter"/>
      <w:lvlText w:val="%4)"/>
      <w:lvlJc w:val="left"/>
      <w:pPr>
        <w:ind w:left="1020" w:hanging="360"/>
      </w:pPr>
    </w:lvl>
    <w:lvl w:ilvl="4" w:tplc="62E20612">
      <w:start w:val="1"/>
      <w:numFmt w:val="lowerLetter"/>
      <w:lvlText w:val="%5)"/>
      <w:lvlJc w:val="left"/>
      <w:pPr>
        <w:ind w:left="1020" w:hanging="360"/>
      </w:pPr>
    </w:lvl>
    <w:lvl w:ilvl="5" w:tplc="39A85F8A">
      <w:start w:val="1"/>
      <w:numFmt w:val="lowerLetter"/>
      <w:lvlText w:val="%6)"/>
      <w:lvlJc w:val="left"/>
      <w:pPr>
        <w:ind w:left="1020" w:hanging="360"/>
      </w:pPr>
    </w:lvl>
    <w:lvl w:ilvl="6" w:tplc="94EA6764">
      <w:start w:val="1"/>
      <w:numFmt w:val="lowerLetter"/>
      <w:lvlText w:val="%7)"/>
      <w:lvlJc w:val="left"/>
      <w:pPr>
        <w:ind w:left="1020" w:hanging="360"/>
      </w:pPr>
    </w:lvl>
    <w:lvl w:ilvl="7" w:tplc="C51C5A34">
      <w:start w:val="1"/>
      <w:numFmt w:val="lowerLetter"/>
      <w:lvlText w:val="%8)"/>
      <w:lvlJc w:val="left"/>
      <w:pPr>
        <w:ind w:left="1020" w:hanging="360"/>
      </w:pPr>
    </w:lvl>
    <w:lvl w:ilvl="8" w:tplc="EAC41884">
      <w:start w:val="1"/>
      <w:numFmt w:val="lowerLetter"/>
      <w:lvlText w:val="%9)"/>
      <w:lvlJc w:val="left"/>
      <w:pPr>
        <w:ind w:left="1020" w:hanging="360"/>
      </w:pPr>
    </w:lvl>
  </w:abstractNum>
  <w:abstractNum w:abstractNumId="13" w15:restartNumberingAfterBreak="0">
    <w:nsid w:val="1F913E6C"/>
    <w:multiLevelType w:val="hybridMultilevel"/>
    <w:tmpl w:val="0A1E7B06"/>
    <w:lvl w:ilvl="0" w:tplc="1B4EBEE4">
      <w:start w:val="1"/>
      <w:numFmt w:val="lowerLetter"/>
      <w:lvlText w:val="%1)"/>
      <w:lvlJc w:val="left"/>
      <w:pPr>
        <w:ind w:left="1020" w:hanging="360"/>
      </w:pPr>
    </w:lvl>
    <w:lvl w:ilvl="1" w:tplc="B5F4D4E6">
      <w:start w:val="1"/>
      <w:numFmt w:val="lowerLetter"/>
      <w:lvlText w:val="%2)"/>
      <w:lvlJc w:val="left"/>
      <w:pPr>
        <w:ind w:left="1020" w:hanging="360"/>
      </w:pPr>
    </w:lvl>
    <w:lvl w:ilvl="2" w:tplc="0C86F490">
      <w:start w:val="1"/>
      <w:numFmt w:val="lowerLetter"/>
      <w:lvlText w:val="%3)"/>
      <w:lvlJc w:val="left"/>
      <w:pPr>
        <w:ind w:left="1020" w:hanging="360"/>
      </w:pPr>
    </w:lvl>
    <w:lvl w:ilvl="3" w:tplc="D30633AE">
      <w:start w:val="1"/>
      <w:numFmt w:val="lowerLetter"/>
      <w:lvlText w:val="%4)"/>
      <w:lvlJc w:val="left"/>
      <w:pPr>
        <w:ind w:left="1020" w:hanging="360"/>
      </w:pPr>
    </w:lvl>
    <w:lvl w:ilvl="4" w:tplc="1A7EC734">
      <w:start w:val="1"/>
      <w:numFmt w:val="lowerLetter"/>
      <w:lvlText w:val="%5)"/>
      <w:lvlJc w:val="left"/>
      <w:pPr>
        <w:ind w:left="1020" w:hanging="360"/>
      </w:pPr>
    </w:lvl>
    <w:lvl w:ilvl="5" w:tplc="AE64A890">
      <w:start w:val="1"/>
      <w:numFmt w:val="lowerLetter"/>
      <w:lvlText w:val="%6)"/>
      <w:lvlJc w:val="left"/>
      <w:pPr>
        <w:ind w:left="1020" w:hanging="360"/>
      </w:pPr>
    </w:lvl>
    <w:lvl w:ilvl="6" w:tplc="3C980510">
      <w:start w:val="1"/>
      <w:numFmt w:val="lowerLetter"/>
      <w:lvlText w:val="%7)"/>
      <w:lvlJc w:val="left"/>
      <w:pPr>
        <w:ind w:left="1020" w:hanging="360"/>
      </w:pPr>
    </w:lvl>
    <w:lvl w:ilvl="7" w:tplc="77C65160">
      <w:start w:val="1"/>
      <w:numFmt w:val="lowerLetter"/>
      <w:lvlText w:val="%8)"/>
      <w:lvlJc w:val="left"/>
      <w:pPr>
        <w:ind w:left="1020" w:hanging="360"/>
      </w:pPr>
    </w:lvl>
    <w:lvl w:ilvl="8" w:tplc="4D1462E2">
      <w:start w:val="1"/>
      <w:numFmt w:val="lowerLetter"/>
      <w:lvlText w:val="%9)"/>
      <w:lvlJc w:val="left"/>
      <w:pPr>
        <w:ind w:left="1020" w:hanging="360"/>
      </w:pPr>
    </w:lvl>
  </w:abstractNum>
  <w:abstractNum w:abstractNumId="14" w15:restartNumberingAfterBreak="0">
    <w:nsid w:val="22A668E1"/>
    <w:multiLevelType w:val="hybridMultilevel"/>
    <w:tmpl w:val="7BD87418"/>
    <w:lvl w:ilvl="0" w:tplc="4C884B82">
      <w:start w:val="1"/>
      <w:numFmt w:val="lowerLetter"/>
      <w:lvlText w:val="%1)"/>
      <w:lvlJc w:val="left"/>
      <w:pPr>
        <w:ind w:left="1020" w:hanging="360"/>
      </w:pPr>
    </w:lvl>
    <w:lvl w:ilvl="1" w:tplc="144A9E1E">
      <w:start w:val="1"/>
      <w:numFmt w:val="lowerLetter"/>
      <w:lvlText w:val="%2)"/>
      <w:lvlJc w:val="left"/>
      <w:pPr>
        <w:ind w:left="1020" w:hanging="360"/>
      </w:pPr>
    </w:lvl>
    <w:lvl w:ilvl="2" w:tplc="7F905340">
      <w:start w:val="1"/>
      <w:numFmt w:val="lowerLetter"/>
      <w:lvlText w:val="%3)"/>
      <w:lvlJc w:val="left"/>
      <w:pPr>
        <w:ind w:left="1020" w:hanging="360"/>
      </w:pPr>
    </w:lvl>
    <w:lvl w:ilvl="3" w:tplc="32822752">
      <w:start w:val="1"/>
      <w:numFmt w:val="lowerLetter"/>
      <w:lvlText w:val="%4)"/>
      <w:lvlJc w:val="left"/>
      <w:pPr>
        <w:ind w:left="1020" w:hanging="360"/>
      </w:pPr>
    </w:lvl>
    <w:lvl w:ilvl="4" w:tplc="01EE78E4">
      <w:start w:val="1"/>
      <w:numFmt w:val="lowerLetter"/>
      <w:lvlText w:val="%5)"/>
      <w:lvlJc w:val="left"/>
      <w:pPr>
        <w:ind w:left="1020" w:hanging="360"/>
      </w:pPr>
    </w:lvl>
    <w:lvl w:ilvl="5" w:tplc="42EA5D1E">
      <w:start w:val="1"/>
      <w:numFmt w:val="lowerLetter"/>
      <w:lvlText w:val="%6)"/>
      <w:lvlJc w:val="left"/>
      <w:pPr>
        <w:ind w:left="1020" w:hanging="360"/>
      </w:pPr>
    </w:lvl>
    <w:lvl w:ilvl="6" w:tplc="AC2CA0D8">
      <w:start w:val="1"/>
      <w:numFmt w:val="lowerLetter"/>
      <w:lvlText w:val="%7)"/>
      <w:lvlJc w:val="left"/>
      <w:pPr>
        <w:ind w:left="1020" w:hanging="360"/>
      </w:pPr>
    </w:lvl>
    <w:lvl w:ilvl="7" w:tplc="F9E6B282">
      <w:start w:val="1"/>
      <w:numFmt w:val="lowerLetter"/>
      <w:lvlText w:val="%8)"/>
      <w:lvlJc w:val="left"/>
      <w:pPr>
        <w:ind w:left="1020" w:hanging="360"/>
      </w:pPr>
    </w:lvl>
    <w:lvl w:ilvl="8" w:tplc="CFE2931A">
      <w:start w:val="1"/>
      <w:numFmt w:val="lowerLetter"/>
      <w:lvlText w:val="%9)"/>
      <w:lvlJc w:val="left"/>
      <w:pPr>
        <w:ind w:left="1020" w:hanging="360"/>
      </w:pPr>
    </w:lvl>
  </w:abstractNum>
  <w:abstractNum w:abstractNumId="15" w15:restartNumberingAfterBreak="0">
    <w:nsid w:val="260015C2"/>
    <w:multiLevelType w:val="hybridMultilevel"/>
    <w:tmpl w:val="B8E25D00"/>
    <w:lvl w:ilvl="0" w:tplc="5B8C8226">
      <w:start w:val="1"/>
      <w:numFmt w:val="lowerLetter"/>
      <w:lvlText w:val="%1)"/>
      <w:lvlJc w:val="left"/>
      <w:pPr>
        <w:ind w:left="1020" w:hanging="360"/>
      </w:pPr>
    </w:lvl>
    <w:lvl w:ilvl="1" w:tplc="855A3CD4">
      <w:start w:val="1"/>
      <w:numFmt w:val="lowerLetter"/>
      <w:lvlText w:val="%2)"/>
      <w:lvlJc w:val="left"/>
      <w:pPr>
        <w:ind w:left="1020" w:hanging="360"/>
      </w:pPr>
    </w:lvl>
    <w:lvl w:ilvl="2" w:tplc="017657CC">
      <w:start w:val="1"/>
      <w:numFmt w:val="lowerLetter"/>
      <w:lvlText w:val="%3)"/>
      <w:lvlJc w:val="left"/>
      <w:pPr>
        <w:ind w:left="1020" w:hanging="360"/>
      </w:pPr>
    </w:lvl>
    <w:lvl w:ilvl="3" w:tplc="9DCC39D8">
      <w:start w:val="1"/>
      <w:numFmt w:val="lowerLetter"/>
      <w:lvlText w:val="%4)"/>
      <w:lvlJc w:val="left"/>
      <w:pPr>
        <w:ind w:left="1020" w:hanging="360"/>
      </w:pPr>
    </w:lvl>
    <w:lvl w:ilvl="4" w:tplc="A4DE5138">
      <w:start w:val="1"/>
      <w:numFmt w:val="lowerLetter"/>
      <w:lvlText w:val="%5)"/>
      <w:lvlJc w:val="left"/>
      <w:pPr>
        <w:ind w:left="1020" w:hanging="360"/>
      </w:pPr>
    </w:lvl>
    <w:lvl w:ilvl="5" w:tplc="2EACD60A">
      <w:start w:val="1"/>
      <w:numFmt w:val="lowerLetter"/>
      <w:lvlText w:val="%6)"/>
      <w:lvlJc w:val="left"/>
      <w:pPr>
        <w:ind w:left="1020" w:hanging="360"/>
      </w:pPr>
    </w:lvl>
    <w:lvl w:ilvl="6" w:tplc="F782D27E">
      <w:start w:val="1"/>
      <w:numFmt w:val="lowerLetter"/>
      <w:lvlText w:val="%7)"/>
      <w:lvlJc w:val="left"/>
      <w:pPr>
        <w:ind w:left="1020" w:hanging="360"/>
      </w:pPr>
    </w:lvl>
    <w:lvl w:ilvl="7" w:tplc="A148E482">
      <w:start w:val="1"/>
      <w:numFmt w:val="lowerLetter"/>
      <w:lvlText w:val="%8)"/>
      <w:lvlJc w:val="left"/>
      <w:pPr>
        <w:ind w:left="1020" w:hanging="360"/>
      </w:pPr>
    </w:lvl>
    <w:lvl w:ilvl="8" w:tplc="0102EF48">
      <w:start w:val="1"/>
      <w:numFmt w:val="lowerLetter"/>
      <w:lvlText w:val="%9)"/>
      <w:lvlJc w:val="left"/>
      <w:pPr>
        <w:ind w:left="1020" w:hanging="36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eastAsia="Times New Roman" w:hAnsi="Times New Roman" w:cs="Times New Roman"/>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12D76FF"/>
    <w:multiLevelType w:val="hybridMultilevel"/>
    <w:tmpl w:val="E276765A"/>
    <w:lvl w:ilvl="0" w:tplc="E37227BC">
      <w:start w:val="1"/>
      <w:numFmt w:val="lowerLetter"/>
      <w:lvlText w:val="%1)"/>
      <w:lvlJc w:val="left"/>
      <w:pPr>
        <w:ind w:left="720" w:hanging="360"/>
      </w:pPr>
    </w:lvl>
    <w:lvl w:ilvl="1" w:tplc="DC845A50">
      <w:start w:val="1"/>
      <w:numFmt w:val="lowerLetter"/>
      <w:lvlText w:val="%2)"/>
      <w:lvlJc w:val="left"/>
      <w:pPr>
        <w:ind w:left="720" w:hanging="360"/>
      </w:pPr>
    </w:lvl>
    <w:lvl w:ilvl="2" w:tplc="06622052">
      <w:start w:val="1"/>
      <w:numFmt w:val="lowerLetter"/>
      <w:lvlText w:val="%3)"/>
      <w:lvlJc w:val="left"/>
      <w:pPr>
        <w:ind w:left="720" w:hanging="360"/>
      </w:pPr>
    </w:lvl>
    <w:lvl w:ilvl="3" w:tplc="3E56F176">
      <w:start w:val="1"/>
      <w:numFmt w:val="lowerLetter"/>
      <w:lvlText w:val="%4)"/>
      <w:lvlJc w:val="left"/>
      <w:pPr>
        <w:ind w:left="720" w:hanging="360"/>
      </w:pPr>
    </w:lvl>
    <w:lvl w:ilvl="4" w:tplc="DD7EC152">
      <w:start w:val="1"/>
      <w:numFmt w:val="lowerLetter"/>
      <w:lvlText w:val="%5)"/>
      <w:lvlJc w:val="left"/>
      <w:pPr>
        <w:ind w:left="720" w:hanging="360"/>
      </w:pPr>
    </w:lvl>
    <w:lvl w:ilvl="5" w:tplc="F894F98C">
      <w:start w:val="1"/>
      <w:numFmt w:val="lowerLetter"/>
      <w:lvlText w:val="%6)"/>
      <w:lvlJc w:val="left"/>
      <w:pPr>
        <w:ind w:left="720" w:hanging="360"/>
      </w:pPr>
    </w:lvl>
    <w:lvl w:ilvl="6" w:tplc="1962254E">
      <w:start w:val="1"/>
      <w:numFmt w:val="lowerLetter"/>
      <w:lvlText w:val="%7)"/>
      <w:lvlJc w:val="left"/>
      <w:pPr>
        <w:ind w:left="720" w:hanging="360"/>
      </w:pPr>
    </w:lvl>
    <w:lvl w:ilvl="7" w:tplc="6E72A0DA">
      <w:start w:val="1"/>
      <w:numFmt w:val="lowerLetter"/>
      <w:lvlText w:val="%8)"/>
      <w:lvlJc w:val="left"/>
      <w:pPr>
        <w:ind w:left="720" w:hanging="360"/>
      </w:pPr>
    </w:lvl>
    <w:lvl w:ilvl="8" w:tplc="50D804A8">
      <w:start w:val="1"/>
      <w:numFmt w:val="lowerLetter"/>
      <w:lvlText w:val="%9)"/>
      <w:lvlJc w:val="left"/>
      <w:pPr>
        <w:ind w:left="720" w:hanging="360"/>
      </w:pPr>
    </w:lvl>
  </w:abstractNum>
  <w:abstractNum w:abstractNumId="18" w15:restartNumberingAfterBreak="0">
    <w:nsid w:val="59A43683"/>
    <w:multiLevelType w:val="hybridMultilevel"/>
    <w:tmpl w:val="FF5E62CC"/>
    <w:lvl w:ilvl="0" w:tplc="A740AF2C">
      <w:start w:val="1"/>
      <w:numFmt w:val="lowerLetter"/>
      <w:lvlText w:val="%1)"/>
      <w:lvlJc w:val="left"/>
      <w:pPr>
        <w:ind w:left="1020" w:hanging="360"/>
      </w:pPr>
    </w:lvl>
    <w:lvl w:ilvl="1" w:tplc="9B50B1A2">
      <w:start w:val="1"/>
      <w:numFmt w:val="lowerLetter"/>
      <w:lvlText w:val="%2)"/>
      <w:lvlJc w:val="left"/>
      <w:pPr>
        <w:ind w:left="1020" w:hanging="360"/>
      </w:pPr>
    </w:lvl>
    <w:lvl w:ilvl="2" w:tplc="3956E804">
      <w:start w:val="1"/>
      <w:numFmt w:val="lowerLetter"/>
      <w:lvlText w:val="%3)"/>
      <w:lvlJc w:val="left"/>
      <w:pPr>
        <w:ind w:left="1020" w:hanging="360"/>
      </w:pPr>
    </w:lvl>
    <w:lvl w:ilvl="3" w:tplc="65CE2E08">
      <w:start w:val="1"/>
      <w:numFmt w:val="lowerLetter"/>
      <w:lvlText w:val="%4)"/>
      <w:lvlJc w:val="left"/>
      <w:pPr>
        <w:ind w:left="1020" w:hanging="360"/>
      </w:pPr>
    </w:lvl>
    <w:lvl w:ilvl="4" w:tplc="6812DB6A">
      <w:start w:val="1"/>
      <w:numFmt w:val="lowerLetter"/>
      <w:lvlText w:val="%5)"/>
      <w:lvlJc w:val="left"/>
      <w:pPr>
        <w:ind w:left="1020" w:hanging="360"/>
      </w:pPr>
    </w:lvl>
    <w:lvl w:ilvl="5" w:tplc="1C042EF2">
      <w:start w:val="1"/>
      <w:numFmt w:val="lowerLetter"/>
      <w:lvlText w:val="%6)"/>
      <w:lvlJc w:val="left"/>
      <w:pPr>
        <w:ind w:left="1020" w:hanging="360"/>
      </w:pPr>
    </w:lvl>
    <w:lvl w:ilvl="6" w:tplc="435C830E">
      <w:start w:val="1"/>
      <w:numFmt w:val="lowerLetter"/>
      <w:lvlText w:val="%7)"/>
      <w:lvlJc w:val="left"/>
      <w:pPr>
        <w:ind w:left="1020" w:hanging="360"/>
      </w:pPr>
    </w:lvl>
    <w:lvl w:ilvl="7" w:tplc="19B6E044">
      <w:start w:val="1"/>
      <w:numFmt w:val="lowerLetter"/>
      <w:lvlText w:val="%8)"/>
      <w:lvlJc w:val="left"/>
      <w:pPr>
        <w:ind w:left="1020" w:hanging="360"/>
      </w:pPr>
    </w:lvl>
    <w:lvl w:ilvl="8" w:tplc="28465284">
      <w:start w:val="1"/>
      <w:numFmt w:val="lowerLetter"/>
      <w:lvlText w:val="%9)"/>
      <w:lvlJc w:val="left"/>
      <w:pPr>
        <w:ind w:left="1020" w:hanging="360"/>
      </w:pPr>
    </w:lvl>
  </w:abstractNum>
  <w:abstractNum w:abstractNumId="19" w15:restartNumberingAfterBreak="0">
    <w:nsid w:val="59D6337E"/>
    <w:multiLevelType w:val="hybridMultilevel"/>
    <w:tmpl w:val="6900B7E0"/>
    <w:lvl w:ilvl="0" w:tplc="C0EA4FEC">
      <w:start w:val="1"/>
      <w:numFmt w:val="lowerLetter"/>
      <w:lvlText w:val="%1)"/>
      <w:lvlJc w:val="left"/>
      <w:pPr>
        <w:ind w:left="1020" w:hanging="360"/>
      </w:pPr>
    </w:lvl>
    <w:lvl w:ilvl="1" w:tplc="90FED33A">
      <w:start w:val="1"/>
      <w:numFmt w:val="lowerLetter"/>
      <w:lvlText w:val="%2)"/>
      <w:lvlJc w:val="left"/>
      <w:pPr>
        <w:ind w:left="1020" w:hanging="360"/>
      </w:pPr>
    </w:lvl>
    <w:lvl w:ilvl="2" w:tplc="F57403A4">
      <w:start w:val="1"/>
      <w:numFmt w:val="lowerLetter"/>
      <w:lvlText w:val="%3)"/>
      <w:lvlJc w:val="left"/>
      <w:pPr>
        <w:ind w:left="1020" w:hanging="360"/>
      </w:pPr>
    </w:lvl>
    <w:lvl w:ilvl="3" w:tplc="0BBCA97A">
      <w:start w:val="1"/>
      <w:numFmt w:val="lowerLetter"/>
      <w:lvlText w:val="%4)"/>
      <w:lvlJc w:val="left"/>
      <w:pPr>
        <w:ind w:left="1020" w:hanging="360"/>
      </w:pPr>
    </w:lvl>
    <w:lvl w:ilvl="4" w:tplc="58E2649E">
      <w:start w:val="1"/>
      <w:numFmt w:val="lowerLetter"/>
      <w:lvlText w:val="%5)"/>
      <w:lvlJc w:val="left"/>
      <w:pPr>
        <w:ind w:left="1020" w:hanging="360"/>
      </w:pPr>
    </w:lvl>
    <w:lvl w:ilvl="5" w:tplc="74DC8364">
      <w:start w:val="1"/>
      <w:numFmt w:val="lowerLetter"/>
      <w:lvlText w:val="%6)"/>
      <w:lvlJc w:val="left"/>
      <w:pPr>
        <w:ind w:left="1020" w:hanging="360"/>
      </w:pPr>
    </w:lvl>
    <w:lvl w:ilvl="6" w:tplc="FC1080DA">
      <w:start w:val="1"/>
      <w:numFmt w:val="lowerLetter"/>
      <w:lvlText w:val="%7)"/>
      <w:lvlJc w:val="left"/>
      <w:pPr>
        <w:ind w:left="1020" w:hanging="360"/>
      </w:pPr>
    </w:lvl>
    <w:lvl w:ilvl="7" w:tplc="C5E6BAE0">
      <w:start w:val="1"/>
      <w:numFmt w:val="lowerLetter"/>
      <w:lvlText w:val="%8)"/>
      <w:lvlJc w:val="left"/>
      <w:pPr>
        <w:ind w:left="1020" w:hanging="360"/>
      </w:pPr>
    </w:lvl>
    <w:lvl w:ilvl="8" w:tplc="DA1AC20E">
      <w:start w:val="1"/>
      <w:numFmt w:val="lowerLetter"/>
      <w:lvlText w:val="%9)"/>
      <w:lvlJc w:val="left"/>
      <w:pPr>
        <w:ind w:left="1020" w:hanging="360"/>
      </w:pPr>
    </w:lvl>
  </w:abstractNum>
  <w:abstractNum w:abstractNumId="20" w15:restartNumberingAfterBreak="0">
    <w:nsid w:val="5D943BEE"/>
    <w:multiLevelType w:val="multilevel"/>
    <w:tmpl w:val="222A08B4"/>
    <w:numStyleLink w:val="ListCBD"/>
  </w:abstractNum>
  <w:abstractNum w:abstractNumId="21" w15:restartNumberingAfterBreak="0">
    <w:nsid w:val="632E2256"/>
    <w:multiLevelType w:val="hybridMultilevel"/>
    <w:tmpl w:val="E63E7C2C"/>
    <w:lvl w:ilvl="0" w:tplc="315C18BE">
      <w:start w:val="1"/>
      <w:numFmt w:val="lowerLetter"/>
      <w:lvlText w:val="%1)"/>
      <w:lvlJc w:val="left"/>
      <w:pPr>
        <w:ind w:left="1020" w:hanging="360"/>
      </w:pPr>
    </w:lvl>
    <w:lvl w:ilvl="1" w:tplc="91AABA7E">
      <w:start w:val="1"/>
      <w:numFmt w:val="lowerLetter"/>
      <w:lvlText w:val="%2)"/>
      <w:lvlJc w:val="left"/>
      <w:pPr>
        <w:ind w:left="1020" w:hanging="360"/>
      </w:pPr>
    </w:lvl>
    <w:lvl w:ilvl="2" w:tplc="F3AC9220">
      <w:start w:val="1"/>
      <w:numFmt w:val="lowerLetter"/>
      <w:lvlText w:val="%3)"/>
      <w:lvlJc w:val="left"/>
      <w:pPr>
        <w:ind w:left="1020" w:hanging="360"/>
      </w:pPr>
    </w:lvl>
    <w:lvl w:ilvl="3" w:tplc="72DA83D6">
      <w:start w:val="1"/>
      <w:numFmt w:val="lowerLetter"/>
      <w:lvlText w:val="%4)"/>
      <w:lvlJc w:val="left"/>
      <w:pPr>
        <w:ind w:left="1020" w:hanging="360"/>
      </w:pPr>
    </w:lvl>
    <w:lvl w:ilvl="4" w:tplc="3B1C2E48">
      <w:start w:val="1"/>
      <w:numFmt w:val="lowerLetter"/>
      <w:lvlText w:val="%5)"/>
      <w:lvlJc w:val="left"/>
      <w:pPr>
        <w:ind w:left="1020" w:hanging="360"/>
      </w:pPr>
    </w:lvl>
    <w:lvl w:ilvl="5" w:tplc="D50227D0">
      <w:start w:val="1"/>
      <w:numFmt w:val="lowerLetter"/>
      <w:lvlText w:val="%6)"/>
      <w:lvlJc w:val="left"/>
      <w:pPr>
        <w:ind w:left="1020" w:hanging="360"/>
      </w:pPr>
    </w:lvl>
    <w:lvl w:ilvl="6" w:tplc="DE6EBACE">
      <w:start w:val="1"/>
      <w:numFmt w:val="lowerLetter"/>
      <w:lvlText w:val="%7)"/>
      <w:lvlJc w:val="left"/>
      <w:pPr>
        <w:ind w:left="1020" w:hanging="360"/>
      </w:pPr>
    </w:lvl>
    <w:lvl w:ilvl="7" w:tplc="10641670">
      <w:start w:val="1"/>
      <w:numFmt w:val="lowerLetter"/>
      <w:lvlText w:val="%8)"/>
      <w:lvlJc w:val="left"/>
      <w:pPr>
        <w:ind w:left="1020" w:hanging="360"/>
      </w:pPr>
    </w:lvl>
    <w:lvl w:ilvl="8" w:tplc="30CC751C">
      <w:start w:val="1"/>
      <w:numFmt w:val="lowerLetter"/>
      <w:lvlText w:val="%9)"/>
      <w:lvlJc w:val="left"/>
      <w:pPr>
        <w:ind w:left="1020" w:hanging="360"/>
      </w:pPr>
    </w:lvl>
  </w:abstractNum>
  <w:abstractNum w:abstractNumId="2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414274265">
    <w:abstractNumId w:val="23"/>
  </w:num>
  <w:num w:numId="2" w16cid:durableId="1540239463">
    <w:abstractNumId w:val="9"/>
  </w:num>
  <w:num w:numId="3" w16cid:durableId="188030166">
    <w:abstractNumId w:val="7"/>
  </w:num>
  <w:num w:numId="4" w16cid:durableId="1813982300">
    <w:abstractNumId w:val="6"/>
  </w:num>
  <w:num w:numId="5" w16cid:durableId="1342661021">
    <w:abstractNumId w:val="5"/>
  </w:num>
  <w:num w:numId="6" w16cid:durableId="217672220">
    <w:abstractNumId w:val="4"/>
  </w:num>
  <w:num w:numId="7" w16cid:durableId="183829271">
    <w:abstractNumId w:val="16"/>
  </w:num>
  <w:num w:numId="8" w16cid:durableId="766118607">
    <w:abstractNumId w:val="22"/>
  </w:num>
  <w:num w:numId="9" w16cid:durableId="468740720">
    <w:abstractNumId w:val="20"/>
  </w:num>
  <w:num w:numId="10" w16cid:durableId="693270062">
    <w:abstractNumId w:val="8"/>
  </w:num>
  <w:num w:numId="11" w16cid:durableId="537469461">
    <w:abstractNumId w:val="3"/>
  </w:num>
  <w:num w:numId="12" w16cid:durableId="406341965">
    <w:abstractNumId w:val="2"/>
  </w:num>
  <w:num w:numId="13" w16cid:durableId="70663551">
    <w:abstractNumId w:val="1"/>
  </w:num>
  <w:num w:numId="14" w16cid:durableId="809132776">
    <w:abstractNumId w:val="0"/>
  </w:num>
  <w:num w:numId="15" w16cid:durableId="1520394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500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615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9539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266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3088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2045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077559">
    <w:abstractNumId w:val="11"/>
  </w:num>
  <w:num w:numId="23" w16cid:durableId="1619795492">
    <w:abstractNumId w:val="10"/>
  </w:num>
  <w:num w:numId="24" w16cid:durableId="476538069">
    <w:abstractNumId w:val="19"/>
  </w:num>
  <w:num w:numId="25" w16cid:durableId="134688484">
    <w:abstractNumId w:val="17"/>
  </w:num>
  <w:num w:numId="26" w16cid:durableId="2131048493">
    <w:abstractNumId w:val="18"/>
  </w:num>
  <w:num w:numId="27" w16cid:durableId="450713251">
    <w:abstractNumId w:val="15"/>
  </w:num>
  <w:num w:numId="28" w16cid:durableId="1758750689">
    <w:abstractNumId w:val="14"/>
  </w:num>
  <w:num w:numId="29" w16cid:durableId="1656226458">
    <w:abstractNumId w:val="12"/>
  </w:num>
  <w:num w:numId="30" w16cid:durableId="479930846">
    <w:abstractNumId w:val="21"/>
  </w:num>
  <w:num w:numId="31" w16cid:durableId="5269800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0E"/>
    <w:rsid w:val="00002498"/>
    <w:rsid w:val="0000573F"/>
    <w:rsid w:val="000103AE"/>
    <w:rsid w:val="00012983"/>
    <w:rsid w:val="0001310A"/>
    <w:rsid w:val="000137EF"/>
    <w:rsid w:val="00013CB4"/>
    <w:rsid w:val="000141B5"/>
    <w:rsid w:val="000159AF"/>
    <w:rsid w:val="00016290"/>
    <w:rsid w:val="000229E8"/>
    <w:rsid w:val="00022C56"/>
    <w:rsid w:val="0002546E"/>
    <w:rsid w:val="00034322"/>
    <w:rsid w:val="00034F9D"/>
    <w:rsid w:val="000354D3"/>
    <w:rsid w:val="00035B6F"/>
    <w:rsid w:val="0003698C"/>
    <w:rsid w:val="00036F7B"/>
    <w:rsid w:val="000379A7"/>
    <w:rsid w:val="00040502"/>
    <w:rsid w:val="0004077A"/>
    <w:rsid w:val="00041805"/>
    <w:rsid w:val="00043FC2"/>
    <w:rsid w:val="0004590B"/>
    <w:rsid w:val="0004786A"/>
    <w:rsid w:val="000511B1"/>
    <w:rsid w:val="00052655"/>
    <w:rsid w:val="000526ED"/>
    <w:rsid w:val="00057B13"/>
    <w:rsid w:val="00064C69"/>
    <w:rsid w:val="00071536"/>
    <w:rsid w:val="0007248D"/>
    <w:rsid w:val="00074048"/>
    <w:rsid w:val="000754E8"/>
    <w:rsid w:val="00076148"/>
    <w:rsid w:val="00076176"/>
    <w:rsid w:val="00083EBE"/>
    <w:rsid w:val="0008497C"/>
    <w:rsid w:val="00087290"/>
    <w:rsid w:val="00087CFB"/>
    <w:rsid w:val="0009288C"/>
    <w:rsid w:val="00092E88"/>
    <w:rsid w:val="000941BB"/>
    <w:rsid w:val="0009421D"/>
    <w:rsid w:val="0009460A"/>
    <w:rsid w:val="00094710"/>
    <w:rsid w:val="000962BE"/>
    <w:rsid w:val="00096DE1"/>
    <w:rsid w:val="00097729"/>
    <w:rsid w:val="000A0283"/>
    <w:rsid w:val="000A08C9"/>
    <w:rsid w:val="000A16D9"/>
    <w:rsid w:val="000A2C33"/>
    <w:rsid w:val="000A33DF"/>
    <w:rsid w:val="000A421A"/>
    <w:rsid w:val="000A439C"/>
    <w:rsid w:val="000A70C5"/>
    <w:rsid w:val="000A728D"/>
    <w:rsid w:val="000A7D4B"/>
    <w:rsid w:val="000B4502"/>
    <w:rsid w:val="000B6BCB"/>
    <w:rsid w:val="000B7E6E"/>
    <w:rsid w:val="000C078C"/>
    <w:rsid w:val="000C21C0"/>
    <w:rsid w:val="000C282D"/>
    <w:rsid w:val="000C4D63"/>
    <w:rsid w:val="000C51EC"/>
    <w:rsid w:val="000C56DA"/>
    <w:rsid w:val="000D3987"/>
    <w:rsid w:val="000D3D12"/>
    <w:rsid w:val="000D5C27"/>
    <w:rsid w:val="000D63BD"/>
    <w:rsid w:val="000D68B6"/>
    <w:rsid w:val="000E031D"/>
    <w:rsid w:val="000E0C14"/>
    <w:rsid w:val="000E1726"/>
    <w:rsid w:val="000E1E82"/>
    <w:rsid w:val="000E5A18"/>
    <w:rsid w:val="000E5ED6"/>
    <w:rsid w:val="000E7FB7"/>
    <w:rsid w:val="000F1311"/>
    <w:rsid w:val="000F1F8D"/>
    <w:rsid w:val="000F344B"/>
    <w:rsid w:val="000F6A80"/>
    <w:rsid w:val="0010015F"/>
    <w:rsid w:val="0010086D"/>
    <w:rsid w:val="0010227B"/>
    <w:rsid w:val="001031DF"/>
    <w:rsid w:val="0010384C"/>
    <w:rsid w:val="0010468E"/>
    <w:rsid w:val="0010521A"/>
    <w:rsid w:val="001065E9"/>
    <w:rsid w:val="0010798F"/>
    <w:rsid w:val="00113663"/>
    <w:rsid w:val="00115AC6"/>
    <w:rsid w:val="00115CAF"/>
    <w:rsid w:val="001166FC"/>
    <w:rsid w:val="001219A4"/>
    <w:rsid w:val="001225EF"/>
    <w:rsid w:val="00124DA2"/>
    <w:rsid w:val="00125061"/>
    <w:rsid w:val="00126657"/>
    <w:rsid w:val="00132B3A"/>
    <w:rsid w:val="00134A08"/>
    <w:rsid w:val="00135272"/>
    <w:rsid w:val="0013541F"/>
    <w:rsid w:val="00144168"/>
    <w:rsid w:val="00144B5D"/>
    <w:rsid w:val="00145C23"/>
    <w:rsid w:val="00151361"/>
    <w:rsid w:val="001516A6"/>
    <w:rsid w:val="00151C46"/>
    <w:rsid w:val="00152105"/>
    <w:rsid w:val="0015276B"/>
    <w:rsid w:val="00152A63"/>
    <w:rsid w:val="001535BC"/>
    <w:rsid w:val="00153D6B"/>
    <w:rsid w:val="0015763D"/>
    <w:rsid w:val="001606EC"/>
    <w:rsid w:val="0016191D"/>
    <w:rsid w:val="00162A48"/>
    <w:rsid w:val="00163BC0"/>
    <w:rsid w:val="001706DC"/>
    <w:rsid w:val="00170BF6"/>
    <w:rsid w:val="001718C4"/>
    <w:rsid w:val="00174200"/>
    <w:rsid w:val="0017755E"/>
    <w:rsid w:val="0018284E"/>
    <w:rsid w:val="0018471B"/>
    <w:rsid w:val="00185BEF"/>
    <w:rsid w:val="001909A8"/>
    <w:rsid w:val="00191C46"/>
    <w:rsid w:val="00192518"/>
    <w:rsid w:val="00192CE3"/>
    <w:rsid w:val="001947F0"/>
    <w:rsid w:val="00195681"/>
    <w:rsid w:val="001959D2"/>
    <w:rsid w:val="00197AFB"/>
    <w:rsid w:val="001A173C"/>
    <w:rsid w:val="001A2394"/>
    <w:rsid w:val="001A278D"/>
    <w:rsid w:val="001A2F36"/>
    <w:rsid w:val="001A3E6C"/>
    <w:rsid w:val="001A5A37"/>
    <w:rsid w:val="001A62CD"/>
    <w:rsid w:val="001A7305"/>
    <w:rsid w:val="001A79FF"/>
    <w:rsid w:val="001B04F1"/>
    <w:rsid w:val="001B1FB6"/>
    <w:rsid w:val="001B28FC"/>
    <w:rsid w:val="001B4DAA"/>
    <w:rsid w:val="001B6473"/>
    <w:rsid w:val="001C14AF"/>
    <w:rsid w:val="001C5FC2"/>
    <w:rsid w:val="001C6299"/>
    <w:rsid w:val="001C696F"/>
    <w:rsid w:val="001C76C4"/>
    <w:rsid w:val="001C7A27"/>
    <w:rsid w:val="001C7C0D"/>
    <w:rsid w:val="001C7C6F"/>
    <w:rsid w:val="001D190A"/>
    <w:rsid w:val="001D2583"/>
    <w:rsid w:val="001D3004"/>
    <w:rsid w:val="001D3583"/>
    <w:rsid w:val="001D4B19"/>
    <w:rsid w:val="001D4F4D"/>
    <w:rsid w:val="001D654A"/>
    <w:rsid w:val="001E56F3"/>
    <w:rsid w:val="001E57A9"/>
    <w:rsid w:val="001E5F87"/>
    <w:rsid w:val="001E67F0"/>
    <w:rsid w:val="001E74B7"/>
    <w:rsid w:val="001F0557"/>
    <w:rsid w:val="001F09CD"/>
    <w:rsid w:val="001F0F1B"/>
    <w:rsid w:val="001F1D42"/>
    <w:rsid w:val="001F35B7"/>
    <w:rsid w:val="001F46D3"/>
    <w:rsid w:val="001F5684"/>
    <w:rsid w:val="001F58C1"/>
    <w:rsid w:val="001F6571"/>
    <w:rsid w:val="001F69ED"/>
    <w:rsid w:val="001F6C32"/>
    <w:rsid w:val="001F7BFC"/>
    <w:rsid w:val="001F7D99"/>
    <w:rsid w:val="0020012C"/>
    <w:rsid w:val="00200861"/>
    <w:rsid w:val="00200F9B"/>
    <w:rsid w:val="00202136"/>
    <w:rsid w:val="0020443C"/>
    <w:rsid w:val="002070FA"/>
    <w:rsid w:val="00213786"/>
    <w:rsid w:val="00213CAF"/>
    <w:rsid w:val="00215830"/>
    <w:rsid w:val="002161CD"/>
    <w:rsid w:val="002225CF"/>
    <w:rsid w:val="00222A48"/>
    <w:rsid w:val="00222D0D"/>
    <w:rsid w:val="00222FD3"/>
    <w:rsid w:val="00224675"/>
    <w:rsid w:val="002266C1"/>
    <w:rsid w:val="002307DE"/>
    <w:rsid w:val="00231CA4"/>
    <w:rsid w:val="002348D6"/>
    <w:rsid w:val="00234C42"/>
    <w:rsid w:val="00236891"/>
    <w:rsid w:val="00243A59"/>
    <w:rsid w:val="00243E31"/>
    <w:rsid w:val="00245BB4"/>
    <w:rsid w:val="002463BF"/>
    <w:rsid w:val="0024662B"/>
    <w:rsid w:val="0025038F"/>
    <w:rsid w:val="00250F28"/>
    <w:rsid w:val="002511E7"/>
    <w:rsid w:val="002515B5"/>
    <w:rsid w:val="00252161"/>
    <w:rsid w:val="00252A3C"/>
    <w:rsid w:val="002537BA"/>
    <w:rsid w:val="00254722"/>
    <w:rsid w:val="002551D9"/>
    <w:rsid w:val="00255808"/>
    <w:rsid w:val="00260C29"/>
    <w:rsid w:val="00260CAC"/>
    <w:rsid w:val="00260F7B"/>
    <w:rsid w:val="00270806"/>
    <w:rsid w:val="00271208"/>
    <w:rsid w:val="002712C7"/>
    <w:rsid w:val="002730E3"/>
    <w:rsid w:val="002734F2"/>
    <w:rsid w:val="0027582B"/>
    <w:rsid w:val="00275FDD"/>
    <w:rsid w:val="002775C7"/>
    <w:rsid w:val="002812FA"/>
    <w:rsid w:val="00281DE4"/>
    <w:rsid w:val="00282EAA"/>
    <w:rsid w:val="002834EC"/>
    <w:rsid w:val="002835F3"/>
    <w:rsid w:val="00283E3D"/>
    <w:rsid w:val="00285460"/>
    <w:rsid w:val="0028632E"/>
    <w:rsid w:val="002909C4"/>
    <w:rsid w:val="00290F43"/>
    <w:rsid w:val="0029167D"/>
    <w:rsid w:val="002918F7"/>
    <w:rsid w:val="00292AEA"/>
    <w:rsid w:val="002932E0"/>
    <w:rsid w:val="00294C7A"/>
    <w:rsid w:val="002952DF"/>
    <w:rsid w:val="002955FE"/>
    <w:rsid w:val="00297E2E"/>
    <w:rsid w:val="00297FD8"/>
    <w:rsid w:val="002A305B"/>
    <w:rsid w:val="002A442C"/>
    <w:rsid w:val="002A5C4F"/>
    <w:rsid w:val="002B1DBE"/>
    <w:rsid w:val="002B4DCA"/>
    <w:rsid w:val="002B7C09"/>
    <w:rsid w:val="002C00DA"/>
    <w:rsid w:val="002C1C52"/>
    <w:rsid w:val="002C1DAC"/>
    <w:rsid w:val="002C2886"/>
    <w:rsid w:val="002C39D6"/>
    <w:rsid w:val="002C7379"/>
    <w:rsid w:val="002D4DA9"/>
    <w:rsid w:val="002D7F4F"/>
    <w:rsid w:val="002E008D"/>
    <w:rsid w:val="002E019B"/>
    <w:rsid w:val="002E1C90"/>
    <w:rsid w:val="002E53DB"/>
    <w:rsid w:val="002F37DD"/>
    <w:rsid w:val="002F37E6"/>
    <w:rsid w:val="002F3E82"/>
    <w:rsid w:val="002F3FE2"/>
    <w:rsid w:val="002F426C"/>
    <w:rsid w:val="002F42EA"/>
    <w:rsid w:val="002F4353"/>
    <w:rsid w:val="002F6523"/>
    <w:rsid w:val="003015A5"/>
    <w:rsid w:val="0030420E"/>
    <w:rsid w:val="00304819"/>
    <w:rsid w:val="0030611F"/>
    <w:rsid w:val="00306326"/>
    <w:rsid w:val="0030715C"/>
    <w:rsid w:val="00307DDC"/>
    <w:rsid w:val="00310BE6"/>
    <w:rsid w:val="00310CEB"/>
    <w:rsid w:val="00312001"/>
    <w:rsid w:val="00313708"/>
    <w:rsid w:val="00315143"/>
    <w:rsid w:val="00315A20"/>
    <w:rsid w:val="003179C8"/>
    <w:rsid w:val="003203C8"/>
    <w:rsid w:val="003204F8"/>
    <w:rsid w:val="003213F6"/>
    <w:rsid w:val="00321FAF"/>
    <w:rsid w:val="00322476"/>
    <w:rsid w:val="00322835"/>
    <w:rsid w:val="003249F9"/>
    <w:rsid w:val="00326058"/>
    <w:rsid w:val="003266C6"/>
    <w:rsid w:val="0032763C"/>
    <w:rsid w:val="0033208A"/>
    <w:rsid w:val="00332263"/>
    <w:rsid w:val="00332CE0"/>
    <w:rsid w:val="00333EC2"/>
    <w:rsid w:val="00336581"/>
    <w:rsid w:val="00340CC8"/>
    <w:rsid w:val="003430A5"/>
    <w:rsid w:val="003434AB"/>
    <w:rsid w:val="0034450D"/>
    <w:rsid w:val="003458C5"/>
    <w:rsid w:val="003461CD"/>
    <w:rsid w:val="00346EDF"/>
    <w:rsid w:val="0034733E"/>
    <w:rsid w:val="00347A2A"/>
    <w:rsid w:val="00352721"/>
    <w:rsid w:val="003547F2"/>
    <w:rsid w:val="0037227B"/>
    <w:rsid w:val="00376457"/>
    <w:rsid w:val="00377ED6"/>
    <w:rsid w:val="00381B24"/>
    <w:rsid w:val="00384B0F"/>
    <w:rsid w:val="003907D7"/>
    <w:rsid w:val="00391508"/>
    <w:rsid w:val="00395894"/>
    <w:rsid w:val="00397173"/>
    <w:rsid w:val="00397D26"/>
    <w:rsid w:val="003A2546"/>
    <w:rsid w:val="003A3301"/>
    <w:rsid w:val="003B0497"/>
    <w:rsid w:val="003B0AE2"/>
    <w:rsid w:val="003B142B"/>
    <w:rsid w:val="003B142D"/>
    <w:rsid w:val="003B2D99"/>
    <w:rsid w:val="003B3B5F"/>
    <w:rsid w:val="003B42D8"/>
    <w:rsid w:val="003B6D22"/>
    <w:rsid w:val="003C302C"/>
    <w:rsid w:val="003C43FD"/>
    <w:rsid w:val="003C49C5"/>
    <w:rsid w:val="003C5B44"/>
    <w:rsid w:val="003C75CF"/>
    <w:rsid w:val="003D172C"/>
    <w:rsid w:val="003D1D86"/>
    <w:rsid w:val="003D48F6"/>
    <w:rsid w:val="003D53C6"/>
    <w:rsid w:val="003D7EAF"/>
    <w:rsid w:val="003E0F05"/>
    <w:rsid w:val="003E6ED0"/>
    <w:rsid w:val="003F1699"/>
    <w:rsid w:val="003F1841"/>
    <w:rsid w:val="003F2784"/>
    <w:rsid w:val="003F2CFA"/>
    <w:rsid w:val="003F3A67"/>
    <w:rsid w:val="003F618D"/>
    <w:rsid w:val="0040017E"/>
    <w:rsid w:val="00400F35"/>
    <w:rsid w:val="00404BA4"/>
    <w:rsid w:val="00405237"/>
    <w:rsid w:val="00405778"/>
    <w:rsid w:val="00406965"/>
    <w:rsid w:val="004071D7"/>
    <w:rsid w:val="0041089E"/>
    <w:rsid w:val="004110E6"/>
    <w:rsid w:val="00411E3E"/>
    <w:rsid w:val="004122EB"/>
    <w:rsid w:val="004136E4"/>
    <w:rsid w:val="00414833"/>
    <w:rsid w:val="00417640"/>
    <w:rsid w:val="00420087"/>
    <w:rsid w:val="00420736"/>
    <w:rsid w:val="004210A7"/>
    <w:rsid w:val="00421336"/>
    <w:rsid w:val="004213EC"/>
    <w:rsid w:val="0042188A"/>
    <w:rsid w:val="00421B3D"/>
    <w:rsid w:val="00421E81"/>
    <w:rsid w:val="00423575"/>
    <w:rsid w:val="00423A19"/>
    <w:rsid w:val="0042417F"/>
    <w:rsid w:val="00430D15"/>
    <w:rsid w:val="0043650F"/>
    <w:rsid w:val="004409C5"/>
    <w:rsid w:val="00440FFA"/>
    <w:rsid w:val="00441045"/>
    <w:rsid w:val="00441CCC"/>
    <w:rsid w:val="00442061"/>
    <w:rsid w:val="004430FB"/>
    <w:rsid w:val="00446696"/>
    <w:rsid w:val="00446F37"/>
    <w:rsid w:val="00447373"/>
    <w:rsid w:val="00447D16"/>
    <w:rsid w:val="00453477"/>
    <w:rsid w:val="004536F2"/>
    <w:rsid w:val="00454BD0"/>
    <w:rsid w:val="00460163"/>
    <w:rsid w:val="0046056A"/>
    <w:rsid w:val="0046134F"/>
    <w:rsid w:val="00463AF6"/>
    <w:rsid w:val="004668C9"/>
    <w:rsid w:val="00467A86"/>
    <w:rsid w:val="00472262"/>
    <w:rsid w:val="0047363A"/>
    <w:rsid w:val="00475157"/>
    <w:rsid w:val="00475B68"/>
    <w:rsid w:val="00475D81"/>
    <w:rsid w:val="0047663B"/>
    <w:rsid w:val="00481F9B"/>
    <w:rsid w:val="0048358C"/>
    <w:rsid w:val="0048565A"/>
    <w:rsid w:val="004859B6"/>
    <w:rsid w:val="00487986"/>
    <w:rsid w:val="00491137"/>
    <w:rsid w:val="00493822"/>
    <w:rsid w:val="004A1974"/>
    <w:rsid w:val="004A2929"/>
    <w:rsid w:val="004A7D50"/>
    <w:rsid w:val="004B1B36"/>
    <w:rsid w:val="004B1ED4"/>
    <w:rsid w:val="004B2DBC"/>
    <w:rsid w:val="004B367E"/>
    <w:rsid w:val="004B66B7"/>
    <w:rsid w:val="004C0EB6"/>
    <w:rsid w:val="004C1B5D"/>
    <w:rsid w:val="004C2983"/>
    <w:rsid w:val="004C6992"/>
    <w:rsid w:val="004C6D33"/>
    <w:rsid w:val="004C70DA"/>
    <w:rsid w:val="004D2538"/>
    <w:rsid w:val="004D2879"/>
    <w:rsid w:val="004D2C4B"/>
    <w:rsid w:val="004D3345"/>
    <w:rsid w:val="004D6023"/>
    <w:rsid w:val="004E00FA"/>
    <w:rsid w:val="004E18FE"/>
    <w:rsid w:val="004E1C4C"/>
    <w:rsid w:val="004E3CC6"/>
    <w:rsid w:val="004E5048"/>
    <w:rsid w:val="004E5239"/>
    <w:rsid w:val="004F15F0"/>
    <w:rsid w:val="004F2436"/>
    <w:rsid w:val="004F2C89"/>
    <w:rsid w:val="004F3BE6"/>
    <w:rsid w:val="004F3CE8"/>
    <w:rsid w:val="004F4E8B"/>
    <w:rsid w:val="004F6230"/>
    <w:rsid w:val="004F6865"/>
    <w:rsid w:val="004F6EC8"/>
    <w:rsid w:val="004F7381"/>
    <w:rsid w:val="00500176"/>
    <w:rsid w:val="005012FC"/>
    <w:rsid w:val="005038FF"/>
    <w:rsid w:val="00504552"/>
    <w:rsid w:val="00506765"/>
    <w:rsid w:val="005104D9"/>
    <w:rsid w:val="005130F4"/>
    <w:rsid w:val="00513ABC"/>
    <w:rsid w:val="00514CC9"/>
    <w:rsid w:val="0051798B"/>
    <w:rsid w:val="00520362"/>
    <w:rsid w:val="005210A7"/>
    <w:rsid w:val="00522E43"/>
    <w:rsid w:val="00523FFE"/>
    <w:rsid w:val="005242D2"/>
    <w:rsid w:val="005245CB"/>
    <w:rsid w:val="0052564E"/>
    <w:rsid w:val="00526BF0"/>
    <w:rsid w:val="005312C7"/>
    <w:rsid w:val="0053602A"/>
    <w:rsid w:val="0053612D"/>
    <w:rsid w:val="005436E4"/>
    <w:rsid w:val="00545616"/>
    <w:rsid w:val="00545A76"/>
    <w:rsid w:val="00545F94"/>
    <w:rsid w:val="005542F5"/>
    <w:rsid w:val="00554B82"/>
    <w:rsid w:val="00556126"/>
    <w:rsid w:val="00556D88"/>
    <w:rsid w:val="00557022"/>
    <w:rsid w:val="00557355"/>
    <w:rsid w:val="005577FA"/>
    <w:rsid w:val="00560F36"/>
    <w:rsid w:val="00561234"/>
    <w:rsid w:val="005614FA"/>
    <w:rsid w:val="00561922"/>
    <w:rsid w:val="00563E58"/>
    <w:rsid w:val="0056429B"/>
    <w:rsid w:val="00565A5C"/>
    <w:rsid w:val="00565A8E"/>
    <w:rsid w:val="0056728C"/>
    <w:rsid w:val="00567DAD"/>
    <w:rsid w:val="00571200"/>
    <w:rsid w:val="00571D87"/>
    <w:rsid w:val="005738C4"/>
    <w:rsid w:val="00573922"/>
    <w:rsid w:val="00573F8D"/>
    <w:rsid w:val="00575B7A"/>
    <w:rsid w:val="005835CE"/>
    <w:rsid w:val="005868BA"/>
    <w:rsid w:val="0058723D"/>
    <w:rsid w:val="0058783C"/>
    <w:rsid w:val="00590207"/>
    <w:rsid w:val="005916F0"/>
    <w:rsid w:val="00593A11"/>
    <w:rsid w:val="00593D65"/>
    <w:rsid w:val="00595A05"/>
    <w:rsid w:val="00597C2A"/>
    <w:rsid w:val="005A1601"/>
    <w:rsid w:val="005A3E35"/>
    <w:rsid w:val="005A5BB0"/>
    <w:rsid w:val="005A675C"/>
    <w:rsid w:val="005A68E6"/>
    <w:rsid w:val="005B33FC"/>
    <w:rsid w:val="005B5500"/>
    <w:rsid w:val="005C1972"/>
    <w:rsid w:val="005D31FD"/>
    <w:rsid w:val="005D40D2"/>
    <w:rsid w:val="005D4438"/>
    <w:rsid w:val="005D6672"/>
    <w:rsid w:val="005D6B48"/>
    <w:rsid w:val="005E25E1"/>
    <w:rsid w:val="005E2DC5"/>
    <w:rsid w:val="005E35CC"/>
    <w:rsid w:val="005E48A4"/>
    <w:rsid w:val="005E5C0C"/>
    <w:rsid w:val="005E683E"/>
    <w:rsid w:val="005E7653"/>
    <w:rsid w:val="005F461E"/>
    <w:rsid w:val="005F7C15"/>
    <w:rsid w:val="006004DB"/>
    <w:rsid w:val="00601AEF"/>
    <w:rsid w:val="00606F6E"/>
    <w:rsid w:val="006071E1"/>
    <w:rsid w:val="0061025B"/>
    <w:rsid w:val="00612577"/>
    <w:rsid w:val="00612CDF"/>
    <w:rsid w:val="00613670"/>
    <w:rsid w:val="00613E5D"/>
    <w:rsid w:val="00616192"/>
    <w:rsid w:val="00620E36"/>
    <w:rsid w:val="0062113E"/>
    <w:rsid w:val="00621A34"/>
    <w:rsid w:val="00621BA6"/>
    <w:rsid w:val="00622153"/>
    <w:rsid w:val="006235F3"/>
    <w:rsid w:val="00624C1A"/>
    <w:rsid w:val="00624CAC"/>
    <w:rsid w:val="00624F08"/>
    <w:rsid w:val="006265EB"/>
    <w:rsid w:val="00632BAF"/>
    <w:rsid w:val="00640E50"/>
    <w:rsid w:val="00641C36"/>
    <w:rsid w:val="0064455B"/>
    <w:rsid w:val="0064461A"/>
    <w:rsid w:val="006476CB"/>
    <w:rsid w:val="00647760"/>
    <w:rsid w:val="006500F3"/>
    <w:rsid w:val="006502A4"/>
    <w:rsid w:val="0065185B"/>
    <w:rsid w:val="00651F2E"/>
    <w:rsid w:val="006542D7"/>
    <w:rsid w:val="006543ED"/>
    <w:rsid w:val="00654465"/>
    <w:rsid w:val="00654C46"/>
    <w:rsid w:val="00655438"/>
    <w:rsid w:val="006604AE"/>
    <w:rsid w:val="00661F8D"/>
    <w:rsid w:val="0066322C"/>
    <w:rsid w:val="00663FA4"/>
    <w:rsid w:val="00664670"/>
    <w:rsid w:val="0066793E"/>
    <w:rsid w:val="006703DD"/>
    <w:rsid w:val="006706BC"/>
    <w:rsid w:val="006711C6"/>
    <w:rsid w:val="00671D4E"/>
    <w:rsid w:val="00673560"/>
    <w:rsid w:val="00673DA8"/>
    <w:rsid w:val="00677035"/>
    <w:rsid w:val="00680458"/>
    <w:rsid w:val="006836EE"/>
    <w:rsid w:val="00685E03"/>
    <w:rsid w:val="00686F7A"/>
    <w:rsid w:val="006874F8"/>
    <w:rsid w:val="0069090E"/>
    <w:rsid w:val="00690F42"/>
    <w:rsid w:val="0069235F"/>
    <w:rsid w:val="006939BB"/>
    <w:rsid w:val="00694870"/>
    <w:rsid w:val="00694998"/>
    <w:rsid w:val="00694E2E"/>
    <w:rsid w:val="00695133"/>
    <w:rsid w:val="0069593C"/>
    <w:rsid w:val="00695A0B"/>
    <w:rsid w:val="006976E9"/>
    <w:rsid w:val="006A1BC9"/>
    <w:rsid w:val="006A1E2A"/>
    <w:rsid w:val="006A38D1"/>
    <w:rsid w:val="006A599C"/>
    <w:rsid w:val="006A6B23"/>
    <w:rsid w:val="006A6B89"/>
    <w:rsid w:val="006A7087"/>
    <w:rsid w:val="006A780E"/>
    <w:rsid w:val="006B0AED"/>
    <w:rsid w:val="006B1066"/>
    <w:rsid w:val="006B57DE"/>
    <w:rsid w:val="006B6809"/>
    <w:rsid w:val="006B6D3E"/>
    <w:rsid w:val="006B7533"/>
    <w:rsid w:val="006C2405"/>
    <w:rsid w:val="006C2C47"/>
    <w:rsid w:val="006C4378"/>
    <w:rsid w:val="006C4469"/>
    <w:rsid w:val="006C48EF"/>
    <w:rsid w:val="006C4F90"/>
    <w:rsid w:val="006C51B8"/>
    <w:rsid w:val="006D2CE0"/>
    <w:rsid w:val="006D677A"/>
    <w:rsid w:val="006D776C"/>
    <w:rsid w:val="006D7B26"/>
    <w:rsid w:val="006E0355"/>
    <w:rsid w:val="006E0E42"/>
    <w:rsid w:val="006E2885"/>
    <w:rsid w:val="006E2942"/>
    <w:rsid w:val="006E7B58"/>
    <w:rsid w:val="006F2894"/>
    <w:rsid w:val="006F2983"/>
    <w:rsid w:val="006F2B9F"/>
    <w:rsid w:val="006F2E95"/>
    <w:rsid w:val="006F3998"/>
    <w:rsid w:val="006F3BFB"/>
    <w:rsid w:val="006F4251"/>
    <w:rsid w:val="00701427"/>
    <w:rsid w:val="00701524"/>
    <w:rsid w:val="00701DF5"/>
    <w:rsid w:val="00703E23"/>
    <w:rsid w:val="007067DC"/>
    <w:rsid w:val="00707855"/>
    <w:rsid w:val="00707DDB"/>
    <w:rsid w:val="00711EA9"/>
    <w:rsid w:val="007127F3"/>
    <w:rsid w:val="00712B64"/>
    <w:rsid w:val="00713791"/>
    <w:rsid w:val="007161A1"/>
    <w:rsid w:val="0072090E"/>
    <w:rsid w:val="007221D4"/>
    <w:rsid w:val="00722819"/>
    <w:rsid w:val="00723FAF"/>
    <w:rsid w:val="00724F5F"/>
    <w:rsid w:val="00724FB4"/>
    <w:rsid w:val="00731C54"/>
    <w:rsid w:val="007405C9"/>
    <w:rsid w:val="007449F1"/>
    <w:rsid w:val="00744DC8"/>
    <w:rsid w:val="00745543"/>
    <w:rsid w:val="00746139"/>
    <w:rsid w:val="0075019A"/>
    <w:rsid w:val="0075188C"/>
    <w:rsid w:val="00753011"/>
    <w:rsid w:val="00754D6B"/>
    <w:rsid w:val="00756429"/>
    <w:rsid w:val="007578EE"/>
    <w:rsid w:val="00757F90"/>
    <w:rsid w:val="0076010A"/>
    <w:rsid w:val="0076059B"/>
    <w:rsid w:val="00760AD0"/>
    <w:rsid w:val="00761616"/>
    <w:rsid w:val="00761F36"/>
    <w:rsid w:val="00766E66"/>
    <w:rsid w:val="00770199"/>
    <w:rsid w:val="00771125"/>
    <w:rsid w:val="00771C8F"/>
    <w:rsid w:val="0077455C"/>
    <w:rsid w:val="00776110"/>
    <w:rsid w:val="0077676B"/>
    <w:rsid w:val="00776D82"/>
    <w:rsid w:val="0078111A"/>
    <w:rsid w:val="00781A33"/>
    <w:rsid w:val="007831DF"/>
    <w:rsid w:val="00790813"/>
    <w:rsid w:val="00790B1B"/>
    <w:rsid w:val="00794202"/>
    <w:rsid w:val="007942FF"/>
    <w:rsid w:val="00796688"/>
    <w:rsid w:val="00796841"/>
    <w:rsid w:val="007974EF"/>
    <w:rsid w:val="007A05C3"/>
    <w:rsid w:val="007A1C71"/>
    <w:rsid w:val="007A2C68"/>
    <w:rsid w:val="007A45DA"/>
    <w:rsid w:val="007A6312"/>
    <w:rsid w:val="007A797B"/>
    <w:rsid w:val="007A7AB8"/>
    <w:rsid w:val="007B0654"/>
    <w:rsid w:val="007B0C3E"/>
    <w:rsid w:val="007B266D"/>
    <w:rsid w:val="007B2840"/>
    <w:rsid w:val="007B3ACB"/>
    <w:rsid w:val="007B4542"/>
    <w:rsid w:val="007B4710"/>
    <w:rsid w:val="007B6462"/>
    <w:rsid w:val="007B673B"/>
    <w:rsid w:val="007B75D5"/>
    <w:rsid w:val="007C042B"/>
    <w:rsid w:val="007C06BA"/>
    <w:rsid w:val="007C2248"/>
    <w:rsid w:val="007C2D1F"/>
    <w:rsid w:val="007C59A3"/>
    <w:rsid w:val="007C59F0"/>
    <w:rsid w:val="007C5F39"/>
    <w:rsid w:val="007C5FC5"/>
    <w:rsid w:val="007C6F4F"/>
    <w:rsid w:val="007D0C77"/>
    <w:rsid w:val="007D46C4"/>
    <w:rsid w:val="007D514E"/>
    <w:rsid w:val="007D54F4"/>
    <w:rsid w:val="007D5784"/>
    <w:rsid w:val="007D636C"/>
    <w:rsid w:val="007E03C0"/>
    <w:rsid w:val="007E2144"/>
    <w:rsid w:val="007E35B1"/>
    <w:rsid w:val="007E7041"/>
    <w:rsid w:val="007E7139"/>
    <w:rsid w:val="007F26AD"/>
    <w:rsid w:val="007F2C3F"/>
    <w:rsid w:val="007F3794"/>
    <w:rsid w:val="007F40D8"/>
    <w:rsid w:val="007F5C27"/>
    <w:rsid w:val="007F624C"/>
    <w:rsid w:val="007F6344"/>
    <w:rsid w:val="00800555"/>
    <w:rsid w:val="0080057A"/>
    <w:rsid w:val="0080295A"/>
    <w:rsid w:val="00803996"/>
    <w:rsid w:val="0080499D"/>
    <w:rsid w:val="008067B3"/>
    <w:rsid w:val="0080721F"/>
    <w:rsid w:val="00812247"/>
    <w:rsid w:val="00812F03"/>
    <w:rsid w:val="008144E2"/>
    <w:rsid w:val="00816042"/>
    <w:rsid w:val="00816E4F"/>
    <w:rsid w:val="00820999"/>
    <w:rsid w:val="008209F9"/>
    <w:rsid w:val="00820E2A"/>
    <w:rsid w:val="00821AED"/>
    <w:rsid w:val="0082338E"/>
    <w:rsid w:val="0082441F"/>
    <w:rsid w:val="0082641A"/>
    <w:rsid w:val="0082650A"/>
    <w:rsid w:val="00827A64"/>
    <w:rsid w:val="0083011B"/>
    <w:rsid w:val="0083411F"/>
    <w:rsid w:val="008360B4"/>
    <w:rsid w:val="00840E56"/>
    <w:rsid w:val="008416B6"/>
    <w:rsid w:val="00842DBE"/>
    <w:rsid w:val="00842FE2"/>
    <w:rsid w:val="0084375A"/>
    <w:rsid w:val="0084445A"/>
    <w:rsid w:val="00845A0D"/>
    <w:rsid w:val="00846AC4"/>
    <w:rsid w:val="00851BBC"/>
    <w:rsid w:val="00851DD6"/>
    <w:rsid w:val="00852250"/>
    <w:rsid w:val="008553C5"/>
    <w:rsid w:val="0085660F"/>
    <w:rsid w:val="00856973"/>
    <w:rsid w:val="00857D67"/>
    <w:rsid w:val="0086165E"/>
    <w:rsid w:val="00863CA6"/>
    <w:rsid w:val="00864AFA"/>
    <w:rsid w:val="00864FB1"/>
    <w:rsid w:val="00864FE1"/>
    <w:rsid w:val="0086574D"/>
    <w:rsid w:val="00872A95"/>
    <w:rsid w:val="00872F1E"/>
    <w:rsid w:val="00873C0B"/>
    <w:rsid w:val="00873E81"/>
    <w:rsid w:val="008750DD"/>
    <w:rsid w:val="0087688E"/>
    <w:rsid w:val="00880D3B"/>
    <w:rsid w:val="00882942"/>
    <w:rsid w:val="00884E3D"/>
    <w:rsid w:val="00885740"/>
    <w:rsid w:val="00886089"/>
    <w:rsid w:val="00887925"/>
    <w:rsid w:val="008918DD"/>
    <w:rsid w:val="008927A8"/>
    <w:rsid w:val="00892F3F"/>
    <w:rsid w:val="0089338E"/>
    <w:rsid w:val="00893BC5"/>
    <w:rsid w:val="00894A1D"/>
    <w:rsid w:val="00897F54"/>
    <w:rsid w:val="008A0346"/>
    <w:rsid w:val="008A06CB"/>
    <w:rsid w:val="008A0782"/>
    <w:rsid w:val="008A27AF"/>
    <w:rsid w:val="008A29FB"/>
    <w:rsid w:val="008A32A5"/>
    <w:rsid w:val="008A37D9"/>
    <w:rsid w:val="008A392E"/>
    <w:rsid w:val="008A39AC"/>
    <w:rsid w:val="008A6A0D"/>
    <w:rsid w:val="008A7F1B"/>
    <w:rsid w:val="008A7FF7"/>
    <w:rsid w:val="008B1ABE"/>
    <w:rsid w:val="008B22C4"/>
    <w:rsid w:val="008B2BE3"/>
    <w:rsid w:val="008B30ED"/>
    <w:rsid w:val="008B4E15"/>
    <w:rsid w:val="008B4F73"/>
    <w:rsid w:val="008C0E69"/>
    <w:rsid w:val="008C4AD2"/>
    <w:rsid w:val="008C57C9"/>
    <w:rsid w:val="008C738E"/>
    <w:rsid w:val="008D28EC"/>
    <w:rsid w:val="008D601F"/>
    <w:rsid w:val="008D690E"/>
    <w:rsid w:val="008D6F24"/>
    <w:rsid w:val="008E00F7"/>
    <w:rsid w:val="008E6CA4"/>
    <w:rsid w:val="008E6EA7"/>
    <w:rsid w:val="008F0670"/>
    <w:rsid w:val="008F0BBF"/>
    <w:rsid w:val="008F1F72"/>
    <w:rsid w:val="008F38CC"/>
    <w:rsid w:val="008F4CD4"/>
    <w:rsid w:val="008F51F4"/>
    <w:rsid w:val="009032B6"/>
    <w:rsid w:val="00906A94"/>
    <w:rsid w:val="00910D63"/>
    <w:rsid w:val="00910F48"/>
    <w:rsid w:val="00913FFC"/>
    <w:rsid w:val="0091620B"/>
    <w:rsid w:val="0091757F"/>
    <w:rsid w:val="009218AA"/>
    <w:rsid w:val="009243E2"/>
    <w:rsid w:val="00924638"/>
    <w:rsid w:val="0092515A"/>
    <w:rsid w:val="00930C3D"/>
    <w:rsid w:val="009310B6"/>
    <w:rsid w:val="009312AB"/>
    <w:rsid w:val="009313F0"/>
    <w:rsid w:val="00932F3F"/>
    <w:rsid w:val="0093408C"/>
    <w:rsid w:val="00935464"/>
    <w:rsid w:val="00940B5D"/>
    <w:rsid w:val="00943530"/>
    <w:rsid w:val="00944D05"/>
    <w:rsid w:val="00945490"/>
    <w:rsid w:val="009460CD"/>
    <w:rsid w:val="00947BE2"/>
    <w:rsid w:val="0095011F"/>
    <w:rsid w:val="009523DF"/>
    <w:rsid w:val="00952893"/>
    <w:rsid w:val="00955D9F"/>
    <w:rsid w:val="00955E81"/>
    <w:rsid w:val="00956384"/>
    <w:rsid w:val="00957134"/>
    <w:rsid w:val="009611BD"/>
    <w:rsid w:val="00961F9A"/>
    <w:rsid w:val="00962316"/>
    <w:rsid w:val="0096266B"/>
    <w:rsid w:val="00962822"/>
    <w:rsid w:val="00963351"/>
    <w:rsid w:val="00964DA2"/>
    <w:rsid w:val="00966BE9"/>
    <w:rsid w:val="0096772C"/>
    <w:rsid w:val="009702C0"/>
    <w:rsid w:val="009737EC"/>
    <w:rsid w:val="00974894"/>
    <w:rsid w:val="00977FF4"/>
    <w:rsid w:val="00980FFC"/>
    <w:rsid w:val="0098214E"/>
    <w:rsid w:val="009830B0"/>
    <w:rsid w:val="0098669D"/>
    <w:rsid w:val="00990149"/>
    <w:rsid w:val="00991E7C"/>
    <w:rsid w:val="00993606"/>
    <w:rsid w:val="00993AEF"/>
    <w:rsid w:val="00994447"/>
    <w:rsid w:val="00994CC1"/>
    <w:rsid w:val="00995F95"/>
    <w:rsid w:val="0099661A"/>
    <w:rsid w:val="0099699B"/>
    <w:rsid w:val="0099781D"/>
    <w:rsid w:val="009A1664"/>
    <w:rsid w:val="009A1727"/>
    <w:rsid w:val="009A18A5"/>
    <w:rsid w:val="009A388B"/>
    <w:rsid w:val="009A51DA"/>
    <w:rsid w:val="009A5DF9"/>
    <w:rsid w:val="009A7AC5"/>
    <w:rsid w:val="009B0400"/>
    <w:rsid w:val="009B21CE"/>
    <w:rsid w:val="009B5895"/>
    <w:rsid w:val="009B7CC5"/>
    <w:rsid w:val="009C04CA"/>
    <w:rsid w:val="009C0BBB"/>
    <w:rsid w:val="009C2ED6"/>
    <w:rsid w:val="009C3FC2"/>
    <w:rsid w:val="009C4D93"/>
    <w:rsid w:val="009C788C"/>
    <w:rsid w:val="009D09FE"/>
    <w:rsid w:val="009D2F02"/>
    <w:rsid w:val="009D4E83"/>
    <w:rsid w:val="009D511C"/>
    <w:rsid w:val="009E01E6"/>
    <w:rsid w:val="009E0819"/>
    <w:rsid w:val="009E0C0A"/>
    <w:rsid w:val="009E1A1C"/>
    <w:rsid w:val="009E1DEC"/>
    <w:rsid w:val="009E2849"/>
    <w:rsid w:val="009E2FB8"/>
    <w:rsid w:val="009E38B9"/>
    <w:rsid w:val="009E500F"/>
    <w:rsid w:val="009E68FA"/>
    <w:rsid w:val="009E6E20"/>
    <w:rsid w:val="009F1285"/>
    <w:rsid w:val="009F1EFA"/>
    <w:rsid w:val="009F2CFB"/>
    <w:rsid w:val="009F306E"/>
    <w:rsid w:val="009F35A0"/>
    <w:rsid w:val="009F457C"/>
    <w:rsid w:val="009F457E"/>
    <w:rsid w:val="009F67EB"/>
    <w:rsid w:val="00A00399"/>
    <w:rsid w:val="00A00B7E"/>
    <w:rsid w:val="00A00D13"/>
    <w:rsid w:val="00A01493"/>
    <w:rsid w:val="00A01CE4"/>
    <w:rsid w:val="00A02B6B"/>
    <w:rsid w:val="00A04665"/>
    <w:rsid w:val="00A04F66"/>
    <w:rsid w:val="00A06991"/>
    <w:rsid w:val="00A07975"/>
    <w:rsid w:val="00A07CA6"/>
    <w:rsid w:val="00A07FB5"/>
    <w:rsid w:val="00A11275"/>
    <w:rsid w:val="00A11F1C"/>
    <w:rsid w:val="00A16178"/>
    <w:rsid w:val="00A17C07"/>
    <w:rsid w:val="00A17DC3"/>
    <w:rsid w:val="00A2135A"/>
    <w:rsid w:val="00A3159A"/>
    <w:rsid w:val="00A33B0F"/>
    <w:rsid w:val="00A4031B"/>
    <w:rsid w:val="00A439FF"/>
    <w:rsid w:val="00A44B4C"/>
    <w:rsid w:val="00A45CCA"/>
    <w:rsid w:val="00A47E29"/>
    <w:rsid w:val="00A501C5"/>
    <w:rsid w:val="00A51D09"/>
    <w:rsid w:val="00A5452B"/>
    <w:rsid w:val="00A5460B"/>
    <w:rsid w:val="00A54DAD"/>
    <w:rsid w:val="00A55B3B"/>
    <w:rsid w:val="00A567E8"/>
    <w:rsid w:val="00A56B08"/>
    <w:rsid w:val="00A57192"/>
    <w:rsid w:val="00A60DED"/>
    <w:rsid w:val="00A60E5C"/>
    <w:rsid w:val="00A64A0B"/>
    <w:rsid w:val="00A65102"/>
    <w:rsid w:val="00A657C3"/>
    <w:rsid w:val="00A663BA"/>
    <w:rsid w:val="00A66EB0"/>
    <w:rsid w:val="00A73121"/>
    <w:rsid w:val="00A75975"/>
    <w:rsid w:val="00A767E2"/>
    <w:rsid w:val="00A8095C"/>
    <w:rsid w:val="00A80E56"/>
    <w:rsid w:val="00A815DB"/>
    <w:rsid w:val="00A816F3"/>
    <w:rsid w:val="00A81F10"/>
    <w:rsid w:val="00A81FC8"/>
    <w:rsid w:val="00A8234D"/>
    <w:rsid w:val="00A851CA"/>
    <w:rsid w:val="00A91AC5"/>
    <w:rsid w:val="00A93C05"/>
    <w:rsid w:val="00A9443B"/>
    <w:rsid w:val="00A94763"/>
    <w:rsid w:val="00A94EDB"/>
    <w:rsid w:val="00A95D05"/>
    <w:rsid w:val="00AA07A9"/>
    <w:rsid w:val="00AA32CF"/>
    <w:rsid w:val="00AA4DC4"/>
    <w:rsid w:val="00AA5188"/>
    <w:rsid w:val="00AA5912"/>
    <w:rsid w:val="00AA69D3"/>
    <w:rsid w:val="00AA7E2C"/>
    <w:rsid w:val="00AA7FE3"/>
    <w:rsid w:val="00AB03D2"/>
    <w:rsid w:val="00AB2C17"/>
    <w:rsid w:val="00AB6111"/>
    <w:rsid w:val="00AC51E4"/>
    <w:rsid w:val="00AD3628"/>
    <w:rsid w:val="00AD5028"/>
    <w:rsid w:val="00AE0AE9"/>
    <w:rsid w:val="00AE2428"/>
    <w:rsid w:val="00AE2506"/>
    <w:rsid w:val="00AE4AC7"/>
    <w:rsid w:val="00AE4E48"/>
    <w:rsid w:val="00AE53D6"/>
    <w:rsid w:val="00AE59E0"/>
    <w:rsid w:val="00AE6549"/>
    <w:rsid w:val="00AE6DC2"/>
    <w:rsid w:val="00AE7893"/>
    <w:rsid w:val="00AF2FFC"/>
    <w:rsid w:val="00AF351A"/>
    <w:rsid w:val="00AF7805"/>
    <w:rsid w:val="00B01C8D"/>
    <w:rsid w:val="00B026F1"/>
    <w:rsid w:val="00B07669"/>
    <w:rsid w:val="00B07898"/>
    <w:rsid w:val="00B1090B"/>
    <w:rsid w:val="00B122A4"/>
    <w:rsid w:val="00B157DB"/>
    <w:rsid w:val="00B157E2"/>
    <w:rsid w:val="00B15E2C"/>
    <w:rsid w:val="00B21AFD"/>
    <w:rsid w:val="00B21EB2"/>
    <w:rsid w:val="00B23221"/>
    <w:rsid w:val="00B24345"/>
    <w:rsid w:val="00B260C1"/>
    <w:rsid w:val="00B30432"/>
    <w:rsid w:val="00B30DAB"/>
    <w:rsid w:val="00B315B1"/>
    <w:rsid w:val="00B35CE8"/>
    <w:rsid w:val="00B37DE4"/>
    <w:rsid w:val="00B37DFF"/>
    <w:rsid w:val="00B41936"/>
    <w:rsid w:val="00B4387F"/>
    <w:rsid w:val="00B45575"/>
    <w:rsid w:val="00B4784C"/>
    <w:rsid w:val="00B509D1"/>
    <w:rsid w:val="00B50CBE"/>
    <w:rsid w:val="00B539C2"/>
    <w:rsid w:val="00B60DDE"/>
    <w:rsid w:val="00B63E25"/>
    <w:rsid w:val="00B64AA9"/>
    <w:rsid w:val="00B65404"/>
    <w:rsid w:val="00B66032"/>
    <w:rsid w:val="00B66BDF"/>
    <w:rsid w:val="00B7645B"/>
    <w:rsid w:val="00B77868"/>
    <w:rsid w:val="00B8040F"/>
    <w:rsid w:val="00B83D0B"/>
    <w:rsid w:val="00B83F9F"/>
    <w:rsid w:val="00B8468E"/>
    <w:rsid w:val="00B87D6D"/>
    <w:rsid w:val="00B91499"/>
    <w:rsid w:val="00B919AE"/>
    <w:rsid w:val="00B91F36"/>
    <w:rsid w:val="00B9239F"/>
    <w:rsid w:val="00B9416F"/>
    <w:rsid w:val="00BA04B8"/>
    <w:rsid w:val="00BA3617"/>
    <w:rsid w:val="00BA4049"/>
    <w:rsid w:val="00BA47FA"/>
    <w:rsid w:val="00BA629D"/>
    <w:rsid w:val="00BB0C15"/>
    <w:rsid w:val="00BB2B1D"/>
    <w:rsid w:val="00BB2CFE"/>
    <w:rsid w:val="00BB394D"/>
    <w:rsid w:val="00BB56E1"/>
    <w:rsid w:val="00BB6296"/>
    <w:rsid w:val="00BB6D0D"/>
    <w:rsid w:val="00BB7CC5"/>
    <w:rsid w:val="00BC1756"/>
    <w:rsid w:val="00BC1E3D"/>
    <w:rsid w:val="00BC2C6D"/>
    <w:rsid w:val="00BC4767"/>
    <w:rsid w:val="00BC7D0F"/>
    <w:rsid w:val="00BD0B6D"/>
    <w:rsid w:val="00BD12CC"/>
    <w:rsid w:val="00BD1D60"/>
    <w:rsid w:val="00BD1DFA"/>
    <w:rsid w:val="00BD3B1B"/>
    <w:rsid w:val="00BD4B4C"/>
    <w:rsid w:val="00BD5C8C"/>
    <w:rsid w:val="00BE059F"/>
    <w:rsid w:val="00BE0A01"/>
    <w:rsid w:val="00BE1458"/>
    <w:rsid w:val="00BE1EB9"/>
    <w:rsid w:val="00BE53AE"/>
    <w:rsid w:val="00BE5904"/>
    <w:rsid w:val="00BE5B5C"/>
    <w:rsid w:val="00BF3815"/>
    <w:rsid w:val="00BF3CEB"/>
    <w:rsid w:val="00BF5923"/>
    <w:rsid w:val="00BF65BE"/>
    <w:rsid w:val="00BF67C1"/>
    <w:rsid w:val="00C002E3"/>
    <w:rsid w:val="00C0115D"/>
    <w:rsid w:val="00C0212B"/>
    <w:rsid w:val="00C06AF9"/>
    <w:rsid w:val="00C06DC2"/>
    <w:rsid w:val="00C10975"/>
    <w:rsid w:val="00C117E9"/>
    <w:rsid w:val="00C119A9"/>
    <w:rsid w:val="00C12402"/>
    <w:rsid w:val="00C13905"/>
    <w:rsid w:val="00C14918"/>
    <w:rsid w:val="00C1650B"/>
    <w:rsid w:val="00C174F3"/>
    <w:rsid w:val="00C202D3"/>
    <w:rsid w:val="00C221F8"/>
    <w:rsid w:val="00C239C5"/>
    <w:rsid w:val="00C25887"/>
    <w:rsid w:val="00C25CD4"/>
    <w:rsid w:val="00C27A95"/>
    <w:rsid w:val="00C3393E"/>
    <w:rsid w:val="00C342FD"/>
    <w:rsid w:val="00C364A7"/>
    <w:rsid w:val="00C37A35"/>
    <w:rsid w:val="00C37B75"/>
    <w:rsid w:val="00C410DD"/>
    <w:rsid w:val="00C41D5B"/>
    <w:rsid w:val="00C43053"/>
    <w:rsid w:val="00C44CEC"/>
    <w:rsid w:val="00C51807"/>
    <w:rsid w:val="00C56C2D"/>
    <w:rsid w:val="00C56F80"/>
    <w:rsid w:val="00C57734"/>
    <w:rsid w:val="00C57D38"/>
    <w:rsid w:val="00C60457"/>
    <w:rsid w:val="00C60909"/>
    <w:rsid w:val="00C616C2"/>
    <w:rsid w:val="00C620B9"/>
    <w:rsid w:val="00C67FE4"/>
    <w:rsid w:val="00C727EA"/>
    <w:rsid w:val="00C73217"/>
    <w:rsid w:val="00C738C8"/>
    <w:rsid w:val="00C746CD"/>
    <w:rsid w:val="00C74DE3"/>
    <w:rsid w:val="00C7503B"/>
    <w:rsid w:val="00C76BE3"/>
    <w:rsid w:val="00C81690"/>
    <w:rsid w:val="00C81E1D"/>
    <w:rsid w:val="00C83AEA"/>
    <w:rsid w:val="00C84457"/>
    <w:rsid w:val="00C8559D"/>
    <w:rsid w:val="00C9008F"/>
    <w:rsid w:val="00C91AD3"/>
    <w:rsid w:val="00C91CA4"/>
    <w:rsid w:val="00C91F44"/>
    <w:rsid w:val="00C93169"/>
    <w:rsid w:val="00C9550A"/>
    <w:rsid w:val="00CA1D75"/>
    <w:rsid w:val="00CA1DF9"/>
    <w:rsid w:val="00CA60C0"/>
    <w:rsid w:val="00CB1001"/>
    <w:rsid w:val="00CB14CC"/>
    <w:rsid w:val="00CB3FB7"/>
    <w:rsid w:val="00CB6298"/>
    <w:rsid w:val="00CB687D"/>
    <w:rsid w:val="00CC03FD"/>
    <w:rsid w:val="00CC265F"/>
    <w:rsid w:val="00CC44EE"/>
    <w:rsid w:val="00CC5101"/>
    <w:rsid w:val="00CC5AFE"/>
    <w:rsid w:val="00CC5D46"/>
    <w:rsid w:val="00CC638A"/>
    <w:rsid w:val="00CC7365"/>
    <w:rsid w:val="00CC7786"/>
    <w:rsid w:val="00CD1F92"/>
    <w:rsid w:val="00CD27D7"/>
    <w:rsid w:val="00CD3193"/>
    <w:rsid w:val="00CD68A9"/>
    <w:rsid w:val="00CD6AB7"/>
    <w:rsid w:val="00CE19D2"/>
    <w:rsid w:val="00CE25CA"/>
    <w:rsid w:val="00CE5FD4"/>
    <w:rsid w:val="00CE79F1"/>
    <w:rsid w:val="00CF06F4"/>
    <w:rsid w:val="00CF1102"/>
    <w:rsid w:val="00CF326B"/>
    <w:rsid w:val="00CF496F"/>
    <w:rsid w:val="00CF4DA3"/>
    <w:rsid w:val="00CF61B3"/>
    <w:rsid w:val="00CF7DF9"/>
    <w:rsid w:val="00D00869"/>
    <w:rsid w:val="00D01A9B"/>
    <w:rsid w:val="00D02C9F"/>
    <w:rsid w:val="00D076DD"/>
    <w:rsid w:val="00D1032C"/>
    <w:rsid w:val="00D104E2"/>
    <w:rsid w:val="00D10D16"/>
    <w:rsid w:val="00D1291B"/>
    <w:rsid w:val="00D144FD"/>
    <w:rsid w:val="00D16B72"/>
    <w:rsid w:val="00D16F38"/>
    <w:rsid w:val="00D2320F"/>
    <w:rsid w:val="00D26569"/>
    <w:rsid w:val="00D30297"/>
    <w:rsid w:val="00D307B1"/>
    <w:rsid w:val="00D317CC"/>
    <w:rsid w:val="00D331FE"/>
    <w:rsid w:val="00D35A5C"/>
    <w:rsid w:val="00D379A1"/>
    <w:rsid w:val="00D42E9A"/>
    <w:rsid w:val="00D42F8D"/>
    <w:rsid w:val="00D4364D"/>
    <w:rsid w:val="00D51D4C"/>
    <w:rsid w:val="00D53AF3"/>
    <w:rsid w:val="00D565A1"/>
    <w:rsid w:val="00D57CF7"/>
    <w:rsid w:val="00D63433"/>
    <w:rsid w:val="00D63A61"/>
    <w:rsid w:val="00D63E68"/>
    <w:rsid w:val="00D66C66"/>
    <w:rsid w:val="00D71483"/>
    <w:rsid w:val="00D7182E"/>
    <w:rsid w:val="00D719BE"/>
    <w:rsid w:val="00D73954"/>
    <w:rsid w:val="00D74E90"/>
    <w:rsid w:val="00D75FA9"/>
    <w:rsid w:val="00D770D2"/>
    <w:rsid w:val="00D81041"/>
    <w:rsid w:val="00D838EF"/>
    <w:rsid w:val="00D87607"/>
    <w:rsid w:val="00D87DB5"/>
    <w:rsid w:val="00D902B9"/>
    <w:rsid w:val="00D93293"/>
    <w:rsid w:val="00D95F59"/>
    <w:rsid w:val="00DA24C2"/>
    <w:rsid w:val="00DA26B4"/>
    <w:rsid w:val="00DA2C36"/>
    <w:rsid w:val="00DA62A9"/>
    <w:rsid w:val="00DB27AC"/>
    <w:rsid w:val="00DB283C"/>
    <w:rsid w:val="00DB4F5E"/>
    <w:rsid w:val="00DB6E4F"/>
    <w:rsid w:val="00DB7631"/>
    <w:rsid w:val="00DC15D1"/>
    <w:rsid w:val="00DC220F"/>
    <w:rsid w:val="00DC2D2B"/>
    <w:rsid w:val="00DD00A8"/>
    <w:rsid w:val="00DD18A5"/>
    <w:rsid w:val="00DD29D1"/>
    <w:rsid w:val="00DD3B2C"/>
    <w:rsid w:val="00DD4176"/>
    <w:rsid w:val="00DD4B85"/>
    <w:rsid w:val="00DE1D92"/>
    <w:rsid w:val="00DE260F"/>
    <w:rsid w:val="00DE2DD3"/>
    <w:rsid w:val="00DE32BD"/>
    <w:rsid w:val="00DE42BA"/>
    <w:rsid w:val="00DE4ADD"/>
    <w:rsid w:val="00DE4C0F"/>
    <w:rsid w:val="00DE66FD"/>
    <w:rsid w:val="00DF054E"/>
    <w:rsid w:val="00DF15DA"/>
    <w:rsid w:val="00DF2AB2"/>
    <w:rsid w:val="00DF2FFD"/>
    <w:rsid w:val="00DF7FA4"/>
    <w:rsid w:val="00E00DD8"/>
    <w:rsid w:val="00E01DA4"/>
    <w:rsid w:val="00E02157"/>
    <w:rsid w:val="00E03E3F"/>
    <w:rsid w:val="00E04CAC"/>
    <w:rsid w:val="00E05B32"/>
    <w:rsid w:val="00E07831"/>
    <w:rsid w:val="00E10617"/>
    <w:rsid w:val="00E13CC8"/>
    <w:rsid w:val="00E140B0"/>
    <w:rsid w:val="00E14148"/>
    <w:rsid w:val="00E16C67"/>
    <w:rsid w:val="00E176DE"/>
    <w:rsid w:val="00E17F02"/>
    <w:rsid w:val="00E216C9"/>
    <w:rsid w:val="00E23DDB"/>
    <w:rsid w:val="00E24E83"/>
    <w:rsid w:val="00E27A18"/>
    <w:rsid w:val="00E27AFA"/>
    <w:rsid w:val="00E30966"/>
    <w:rsid w:val="00E33D84"/>
    <w:rsid w:val="00E36342"/>
    <w:rsid w:val="00E367D0"/>
    <w:rsid w:val="00E36ECC"/>
    <w:rsid w:val="00E3731D"/>
    <w:rsid w:val="00E4130A"/>
    <w:rsid w:val="00E415ED"/>
    <w:rsid w:val="00E42604"/>
    <w:rsid w:val="00E455A1"/>
    <w:rsid w:val="00E45882"/>
    <w:rsid w:val="00E4633F"/>
    <w:rsid w:val="00E47ADE"/>
    <w:rsid w:val="00E5120A"/>
    <w:rsid w:val="00E513EF"/>
    <w:rsid w:val="00E51C26"/>
    <w:rsid w:val="00E51CD8"/>
    <w:rsid w:val="00E54E94"/>
    <w:rsid w:val="00E56F21"/>
    <w:rsid w:val="00E60FAF"/>
    <w:rsid w:val="00E616BB"/>
    <w:rsid w:val="00E61B94"/>
    <w:rsid w:val="00E6345F"/>
    <w:rsid w:val="00E64F86"/>
    <w:rsid w:val="00E65D2E"/>
    <w:rsid w:val="00E74146"/>
    <w:rsid w:val="00E74F78"/>
    <w:rsid w:val="00E75672"/>
    <w:rsid w:val="00E762FB"/>
    <w:rsid w:val="00E81E5D"/>
    <w:rsid w:val="00E82807"/>
    <w:rsid w:val="00E82EE1"/>
    <w:rsid w:val="00E84590"/>
    <w:rsid w:val="00E87805"/>
    <w:rsid w:val="00E90B5B"/>
    <w:rsid w:val="00E90ED7"/>
    <w:rsid w:val="00E91530"/>
    <w:rsid w:val="00E95C55"/>
    <w:rsid w:val="00E96259"/>
    <w:rsid w:val="00E96B14"/>
    <w:rsid w:val="00E975B3"/>
    <w:rsid w:val="00E97DEF"/>
    <w:rsid w:val="00EA1319"/>
    <w:rsid w:val="00EA261B"/>
    <w:rsid w:val="00EA60E9"/>
    <w:rsid w:val="00EB2298"/>
    <w:rsid w:val="00EB4377"/>
    <w:rsid w:val="00EB4A0D"/>
    <w:rsid w:val="00EB4C54"/>
    <w:rsid w:val="00EB55FB"/>
    <w:rsid w:val="00EB58C5"/>
    <w:rsid w:val="00EC0314"/>
    <w:rsid w:val="00EC3DF3"/>
    <w:rsid w:val="00EC50E7"/>
    <w:rsid w:val="00EC5350"/>
    <w:rsid w:val="00EC635E"/>
    <w:rsid w:val="00EC63CE"/>
    <w:rsid w:val="00EC6846"/>
    <w:rsid w:val="00ED052F"/>
    <w:rsid w:val="00ED37D7"/>
    <w:rsid w:val="00ED6CC7"/>
    <w:rsid w:val="00EE28C2"/>
    <w:rsid w:val="00EE571D"/>
    <w:rsid w:val="00EE5C00"/>
    <w:rsid w:val="00EE7886"/>
    <w:rsid w:val="00EF1192"/>
    <w:rsid w:val="00EF1A07"/>
    <w:rsid w:val="00EF2AF9"/>
    <w:rsid w:val="00F0308D"/>
    <w:rsid w:val="00F059B2"/>
    <w:rsid w:val="00F05ADE"/>
    <w:rsid w:val="00F061C2"/>
    <w:rsid w:val="00F069AD"/>
    <w:rsid w:val="00F1034C"/>
    <w:rsid w:val="00F10D0A"/>
    <w:rsid w:val="00F1185A"/>
    <w:rsid w:val="00F12B15"/>
    <w:rsid w:val="00F13E8F"/>
    <w:rsid w:val="00F14007"/>
    <w:rsid w:val="00F1565C"/>
    <w:rsid w:val="00F201CC"/>
    <w:rsid w:val="00F20ECB"/>
    <w:rsid w:val="00F22826"/>
    <w:rsid w:val="00F24E15"/>
    <w:rsid w:val="00F25289"/>
    <w:rsid w:val="00F25E3D"/>
    <w:rsid w:val="00F30DA9"/>
    <w:rsid w:val="00F31519"/>
    <w:rsid w:val="00F44FCB"/>
    <w:rsid w:val="00F4561D"/>
    <w:rsid w:val="00F50449"/>
    <w:rsid w:val="00F52375"/>
    <w:rsid w:val="00F53D02"/>
    <w:rsid w:val="00F544DC"/>
    <w:rsid w:val="00F55648"/>
    <w:rsid w:val="00F57065"/>
    <w:rsid w:val="00F602FC"/>
    <w:rsid w:val="00F62C05"/>
    <w:rsid w:val="00F64C9F"/>
    <w:rsid w:val="00F65B3C"/>
    <w:rsid w:val="00F65F18"/>
    <w:rsid w:val="00F66818"/>
    <w:rsid w:val="00F67968"/>
    <w:rsid w:val="00F70943"/>
    <w:rsid w:val="00F72745"/>
    <w:rsid w:val="00F7612F"/>
    <w:rsid w:val="00F767E6"/>
    <w:rsid w:val="00F76F97"/>
    <w:rsid w:val="00F775E0"/>
    <w:rsid w:val="00F8286B"/>
    <w:rsid w:val="00F84E8D"/>
    <w:rsid w:val="00F85804"/>
    <w:rsid w:val="00F92350"/>
    <w:rsid w:val="00F942B8"/>
    <w:rsid w:val="00F9568B"/>
    <w:rsid w:val="00F958B9"/>
    <w:rsid w:val="00FA0149"/>
    <w:rsid w:val="00FA284B"/>
    <w:rsid w:val="00FA2983"/>
    <w:rsid w:val="00FA48D5"/>
    <w:rsid w:val="00FA5751"/>
    <w:rsid w:val="00FA5DC9"/>
    <w:rsid w:val="00FA63CB"/>
    <w:rsid w:val="00FB0BCA"/>
    <w:rsid w:val="00FB1BF4"/>
    <w:rsid w:val="00FB2DEA"/>
    <w:rsid w:val="00FB46FC"/>
    <w:rsid w:val="00FB494A"/>
    <w:rsid w:val="00FB5BD4"/>
    <w:rsid w:val="00FC001B"/>
    <w:rsid w:val="00FC0EFF"/>
    <w:rsid w:val="00FC3050"/>
    <w:rsid w:val="00FC7BF1"/>
    <w:rsid w:val="00FD1157"/>
    <w:rsid w:val="00FD18AC"/>
    <w:rsid w:val="00FD3543"/>
    <w:rsid w:val="00FD3AAA"/>
    <w:rsid w:val="00FD432A"/>
    <w:rsid w:val="00FD4C17"/>
    <w:rsid w:val="00FD5C3C"/>
    <w:rsid w:val="00FD6203"/>
    <w:rsid w:val="00FE0EB0"/>
    <w:rsid w:val="00FE40C6"/>
    <w:rsid w:val="00FE5B4A"/>
    <w:rsid w:val="00FE6097"/>
    <w:rsid w:val="00FF04B9"/>
    <w:rsid w:val="00FF263E"/>
    <w:rsid w:val="00FF4CFA"/>
    <w:rsid w:val="00FF6F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2DAE"/>
  <w15:chartTrackingRefBased/>
  <w15:docId w15:val="{B2B9ED92-FE93-4A7E-BBEF-81EEECBB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Titre1">
    <w:name w:val="heading 1"/>
    <w:basedOn w:val="Normal"/>
    <w:next w:val="Titre2"/>
    <w:link w:val="Titre1C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6B6D3E"/>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6B6D3E"/>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6B6D3E"/>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6B6D3E"/>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D3E"/>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6B6D3E"/>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6B6D3E"/>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6B6D3E"/>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6B6D3E"/>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6B6D3E"/>
    <w:rPr>
      <w:vertAlign w:val="superscript"/>
      <w:lang w:val="en-GB"/>
    </w:rPr>
  </w:style>
  <w:style w:type="paragraph" w:customStyle="1" w:styleId="Footnote">
    <w:name w:val="Footnote"/>
    <w:basedOn w:val="Notedebasdepage"/>
    <w:semiHidden/>
    <w:qFormat/>
    <w:rsid w:val="006B6D3E"/>
    <w:rPr>
      <w:szCs w:val="18"/>
    </w:rPr>
  </w:style>
  <w:style w:type="paragraph" w:styleId="En-tte">
    <w:name w:val="header"/>
    <w:basedOn w:val="Normal"/>
    <w:link w:val="En-tteCar"/>
    <w:semiHidden/>
    <w:rsid w:val="006B6D3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semiHidden/>
    <w:rsid w:val="006B6D3E"/>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rsid w:val="006B6D3E"/>
    <w:pPr>
      <w:tabs>
        <w:tab w:val="center" w:pos="4680"/>
        <w:tab w:val="right" w:pos="9360"/>
      </w:tabs>
    </w:pPr>
    <w:rPr>
      <w:sz w:val="20"/>
    </w:rPr>
  </w:style>
  <w:style w:type="character" w:customStyle="1" w:styleId="PieddepageCar">
    <w:name w:val="Pied de page Car"/>
    <w:basedOn w:val="Policepardfaut"/>
    <w:link w:val="Pieddepage"/>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Notedebasdepage">
    <w:name w:val="footnote text"/>
    <w:basedOn w:val="Normal"/>
    <w:link w:val="NotedebasdepageCar"/>
    <w:uiPriority w:val="99"/>
    <w:semiHidden/>
    <w:unhideWhenUsed/>
    <w:rsid w:val="006B6D3E"/>
    <w:pPr>
      <w:jc w:val="left"/>
    </w:pPr>
    <w:rPr>
      <w:sz w:val="18"/>
      <w:szCs w:val="20"/>
    </w:rPr>
  </w:style>
  <w:style w:type="character" w:customStyle="1" w:styleId="NotedebasdepageCar">
    <w:name w:val="Note de bas de page Car"/>
    <w:basedOn w:val="Policepardfaut"/>
    <w:link w:val="Notedebasdepage"/>
    <w:uiPriority w:val="99"/>
    <w:semiHidden/>
    <w:rsid w:val="006B6D3E"/>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6B6D3E"/>
    <w:rPr>
      <w:sz w:val="22"/>
      <w:szCs w:val="22"/>
      <w:lang w:val="en-GB"/>
    </w:rPr>
  </w:style>
  <w:style w:type="character" w:styleId="Marquedecommentaire">
    <w:name w:val="annotation reference"/>
    <w:basedOn w:val="Policepardfaut"/>
    <w:uiPriority w:val="99"/>
    <w:semiHidden/>
    <w:unhideWhenUsed/>
    <w:rsid w:val="006B6D3E"/>
    <w:rPr>
      <w:sz w:val="16"/>
      <w:szCs w:val="16"/>
      <w:lang w:val="en-GB"/>
    </w:rPr>
  </w:style>
  <w:style w:type="paragraph" w:styleId="Commentaire">
    <w:name w:val="annotation text"/>
    <w:basedOn w:val="Normal"/>
    <w:link w:val="CommentaireCar"/>
    <w:uiPriority w:val="99"/>
    <w:semiHidden/>
    <w:rsid w:val="006B6D3E"/>
    <w:rPr>
      <w:sz w:val="20"/>
      <w:szCs w:val="20"/>
    </w:rPr>
  </w:style>
  <w:style w:type="character" w:customStyle="1" w:styleId="CommentaireCar">
    <w:name w:val="Commentaire Car"/>
    <w:basedOn w:val="Policepardfaut"/>
    <w:link w:val="Commentaire"/>
    <w:uiPriority w:val="99"/>
    <w:semiHidden/>
    <w:rsid w:val="006B6D3E"/>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6B6D3E"/>
    <w:rPr>
      <w:b/>
      <w:bCs/>
    </w:rPr>
  </w:style>
  <w:style w:type="character" w:customStyle="1" w:styleId="ObjetducommentaireCar">
    <w:name w:val="Objet du commentaire Car"/>
    <w:basedOn w:val="CommentaireCar"/>
    <w:link w:val="Objetducommentaire"/>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6B6D3E"/>
    <w:pPr>
      <w:contextualSpacing/>
    </w:pPr>
  </w:style>
  <w:style w:type="numbering" w:customStyle="1" w:styleId="ListCBD">
    <w:name w:val="ListCBD"/>
    <w:basedOn w:val="Aucuneliste"/>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M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numPr>
        <w:numId w:val="2"/>
      </w:numPr>
      <w:contextualSpacing/>
    </w:pPr>
  </w:style>
  <w:style w:type="paragraph" w:styleId="Listepuces2">
    <w:name w:val="List Bullet 2"/>
    <w:basedOn w:val="Normal"/>
    <w:uiPriority w:val="99"/>
    <w:semiHidden/>
    <w:unhideWhenUsed/>
    <w:rsid w:val="006B6D3E"/>
    <w:pPr>
      <w:numPr>
        <w:numId w:val="3"/>
      </w:numPr>
      <w:contextualSpacing/>
    </w:pPr>
  </w:style>
  <w:style w:type="paragraph" w:styleId="Listepuces3">
    <w:name w:val="List Bullet 3"/>
    <w:basedOn w:val="Normal"/>
    <w:uiPriority w:val="99"/>
    <w:semiHidden/>
    <w:unhideWhenUsed/>
    <w:rsid w:val="006B6D3E"/>
    <w:pPr>
      <w:numPr>
        <w:numId w:val="4"/>
      </w:numPr>
      <w:contextualSpacing/>
    </w:pPr>
  </w:style>
  <w:style w:type="paragraph" w:styleId="Listepuces4">
    <w:name w:val="List Bullet 4"/>
    <w:basedOn w:val="Normal"/>
    <w:uiPriority w:val="99"/>
    <w:semiHidden/>
    <w:unhideWhenUsed/>
    <w:rsid w:val="006B6D3E"/>
    <w:pPr>
      <w:numPr>
        <w:numId w:val="5"/>
      </w:numPr>
      <w:contextualSpacing/>
    </w:pPr>
  </w:style>
  <w:style w:type="paragraph" w:styleId="Listepuces5">
    <w:name w:val="List Bullet 5"/>
    <w:basedOn w:val="Normal"/>
    <w:uiPriority w:val="99"/>
    <w:semiHidden/>
    <w:unhideWhenUsed/>
    <w:rsid w:val="006B6D3E"/>
    <w:pPr>
      <w:numPr>
        <w:numId w:val="6"/>
      </w:numPr>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numPr>
        <w:numId w:val="10"/>
      </w:numPr>
      <w:contextualSpacing/>
    </w:pPr>
  </w:style>
  <w:style w:type="paragraph" w:styleId="Listenumros2">
    <w:name w:val="List Number 2"/>
    <w:basedOn w:val="Normal"/>
    <w:uiPriority w:val="99"/>
    <w:semiHidden/>
    <w:unhideWhenUsed/>
    <w:rsid w:val="006B6D3E"/>
    <w:pPr>
      <w:numPr>
        <w:numId w:val="11"/>
      </w:numPr>
      <w:contextualSpacing/>
    </w:pPr>
  </w:style>
  <w:style w:type="paragraph" w:styleId="Listenumros3">
    <w:name w:val="List Number 3"/>
    <w:basedOn w:val="Normal"/>
    <w:uiPriority w:val="99"/>
    <w:semiHidden/>
    <w:unhideWhenUsed/>
    <w:rsid w:val="006B6D3E"/>
    <w:pPr>
      <w:numPr>
        <w:numId w:val="12"/>
      </w:numPr>
      <w:contextualSpacing/>
    </w:pPr>
  </w:style>
  <w:style w:type="paragraph" w:styleId="Listenumros4">
    <w:name w:val="List Number 4"/>
    <w:basedOn w:val="Normal"/>
    <w:uiPriority w:val="99"/>
    <w:semiHidden/>
    <w:unhideWhenUsed/>
    <w:rsid w:val="006B6D3E"/>
    <w:pPr>
      <w:numPr>
        <w:numId w:val="13"/>
      </w:numPr>
      <w:contextualSpacing/>
    </w:pPr>
  </w:style>
  <w:style w:type="paragraph" w:styleId="Listenumros5">
    <w:name w:val="List Number 5"/>
    <w:basedOn w:val="Normal"/>
    <w:uiPriority w:val="99"/>
    <w:semiHidden/>
    <w:unhideWhenUsed/>
    <w:rsid w:val="006B6D3E"/>
    <w:pPr>
      <w:numPr>
        <w:numId w:val="14"/>
      </w:numPr>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Policepardfaut"/>
    <w:uiPriority w:val="99"/>
    <w:semiHidden/>
    <w:unhideWhenUsed/>
    <w:rsid w:val="006B6D3E"/>
    <w:rPr>
      <w:u w:val="dotted"/>
      <w:lang w:val="en-GB"/>
    </w:rPr>
  </w:style>
  <w:style w:type="character" w:customStyle="1" w:styleId="SmartLink1">
    <w:name w:val="SmartLink1"/>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en-GB"/>
    </w:rPr>
  </w:style>
  <w:style w:type="character" w:styleId="Mentionnonrsolue">
    <w:name w:val="Unresolved Mention"/>
    <w:basedOn w:val="Policepardfaut"/>
    <w:uiPriority w:val="99"/>
    <w:semiHidden/>
    <w:unhideWhenUsed/>
    <w:rsid w:val="001A79FF"/>
    <w:rPr>
      <w:color w:val="605E5C"/>
      <w:shd w:val="clear" w:color="auto" w:fill="E1DFDD"/>
    </w:rPr>
  </w:style>
  <w:style w:type="numbering" w:customStyle="1" w:styleId="ListCBD1">
    <w:name w:val="ListCBD1"/>
    <w:uiPriority w:val="99"/>
    <w:rsid w:val="00EB55FB"/>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D74E90"/>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cop/default.shtml?id=1366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ch.cbd.int/protocol/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p-mop-09/cp-mop-09-dec-13-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p-mop-11/cp-mop-11-dec-07-fr.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mop/?m=cp-mop-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3-fr.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P/RA/AHTEG/2025/1/INF/1" TargetMode="External"/><Relationship Id="rId3" Type="http://schemas.openxmlformats.org/officeDocument/2006/relationships/hyperlink" Target="https://www.cbd.int/documents/CBD/CP/RA/AHTEG/2025/1/3" TargetMode="External"/><Relationship Id="rId7" Type="http://schemas.openxmlformats.org/officeDocument/2006/relationships/hyperlink" Target="https://www.cbd.int/documents/CBD/CP/MOP/11/9" TargetMode="External"/><Relationship Id="rId2" Type="http://schemas.openxmlformats.org/officeDocument/2006/relationships/hyperlink" Target="https://www.cbd.int/documents/CBD/SBSTTA/27/6" TargetMode="External"/><Relationship Id="rId1" Type="http://schemas.openxmlformats.org/officeDocument/2006/relationships/hyperlink" Target="https://www.cbd.int/documents/CBD/CP/RA/AHTEG/2025/1/3" TargetMode="External"/><Relationship Id="rId6" Type="http://schemas.openxmlformats.org/officeDocument/2006/relationships/hyperlink" Target="https://www.cbd.int/decisions/?id=11024" TargetMode="External"/><Relationship Id="rId5" Type="http://schemas.openxmlformats.org/officeDocument/2006/relationships/hyperlink" Target="https://www.cbd.int/meetings/CP-MOP-11?doc=66d7738288f003f192e511c7" TargetMode="External"/><Relationship Id="rId4" Type="http://schemas.openxmlformats.org/officeDocument/2006/relationships/hyperlink" Target="https://www.cbd.int/tsc/tscm/subregionalcentres" TargetMode="External"/><Relationship Id="rId9" Type="http://schemas.openxmlformats.org/officeDocument/2006/relationships/hyperlink" Target="https://www.cbd.int/documents/CBD/CP/RA/AHTEG/2025/1/IN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LOUGHLI\OneDrive%20-%20United%20Nations\Desktop\Working%20on%20plane%20(AHTEG%20+%20SBSTTA)\sbstta-27-template-en%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E8BD1E6E-7CC8-4425-B9BB-876BD7CB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C:\Users\AMCLOUGHLI\OneDrive - United Nations\Desktop\Working on plane (AHTEG + SBSTTA)\sbstta-27-template-en (1).dotm</Template>
  <TotalTime>273</TotalTime>
  <Pages>5</Pages>
  <Words>2099</Words>
  <Characters>11546</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 on 24 October 2025</vt:lpstr>
      <vt:lpstr>Risk assessment and risk management of living modified organisms</vt:lpstr>
    </vt:vector>
  </TitlesOfParts>
  <Company/>
  <LinksUpToDate>false</LinksUpToDate>
  <CharactersWithSpaces>13618</CharactersWithSpaces>
  <SharedDoc>false</SharedDoc>
  <HLinks>
    <vt:vector size="90" baseType="variant">
      <vt:variant>
        <vt:i4>7405681</vt:i4>
      </vt:variant>
      <vt:variant>
        <vt:i4>15</vt:i4>
      </vt:variant>
      <vt:variant>
        <vt:i4>0</vt:i4>
      </vt:variant>
      <vt:variant>
        <vt:i4>5</vt:i4>
      </vt:variant>
      <vt:variant>
        <vt:lpwstr>https://www.cbd.int/decisions/mop/?m=cp-mop-11</vt:lpwstr>
      </vt:variant>
      <vt:variant>
        <vt:lpwstr/>
      </vt:variant>
      <vt:variant>
        <vt:i4>3145838</vt:i4>
      </vt:variant>
      <vt:variant>
        <vt:i4>12</vt:i4>
      </vt:variant>
      <vt:variant>
        <vt:i4>0</vt:i4>
      </vt:variant>
      <vt:variant>
        <vt:i4>5</vt:i4>
      </vt:variant>
      <vt:variant>
        <vt:lpwstr>https://www.cbd.int/decisions/?id=13668</vt:lpwstr>
      </vt:variant>
      <vt:variant>
        <vt:lpwstr/>
      </vt:variant>
      <vt:variant>
        <vt:i4>7798832</vt:i4>
      </vt:variant>
      <vt:variant>
        <vt:i4>9</vt:i4>
      </vt:variant>
      <vt:variant>
        <vt:i4>0</vt:i4>
      </vt:variant>
      <vt:variant>
        <vt:i4>5</vt:i4>
      </vt:variant>
      <vt:variant>
        <vt:lpwstr>https://www.cbd.int/doc/decisions/cp-mop-09/cp-mop-09-dec-13-en.pdf</vt:lpwstr>
      </vt:variant>
      <vt:variant>
        <vt:lpwstr/>
      </vt:variant>
      <vt:variant>
        <vt:i4>7798832</vt:i4>
      </vt:variant>
      <vt:variant>
        <vt:i4>6</vt:i4>
      </vt:variant>
      <vt:variant>
        <vt:i4>0</vt:i4>
      </vt:variant>
      <vt:variant>
        <vt:i4>5</vt:i4>
      </vt:variant>
      <vt:variant>
        <vt:lpwstr>https://www.cbd.int/doc/decisions/cp-mop-09/cp-mop-09-dec-13-en.pdf</vt:lpwstr>
      </vt:variant>
      <vt:variant>
        <vt:lpwstr/>
      </vt:variant>
      <vt:variant>
        <vt:i4>7536689</vt:i4>
      </vt:variant>
      <vt:variant>
        <vt:i4>3</vt:i4>
      </vt:variant>
      <vt:variant>
        <vt:i4>0</vt:i4>
      </vt:variant>
      <vt:variant>
        <vt:i4>5</vt:i4>
      </vt:variant>
      <vt:variant>
        <vt:lpwstr>https://www.cbd.int/doc/decisions/cp-mop-11/cp-mop-11-dec-07-en.pdf</vt:lpwstr>
      </vt:variant>
      <vt:variant>
        <vt:lpwstr/>
      </vt:variant>
      <vt:variant>
        <vt:i4>7798832</vt:i4>
      </vt:variant>
      <vt:variant>
        <vt:i4>0</vt:i4>
      </vt:variant>
      <vt:variant>
        <vt:i4>0</vt:i4>
      </vt:variant>
      <vt:variant>
        <vt:i4>5</vt:i4>
      </vt:variant>
      <vt:variant>
        <vt:lpwstr>https://www.cbd.int/doc/decisions/cp-mop-09/cp-mop-09-dec-13-en.pdf</vt:lpwstr>
      </vt:variant>
      <vt:variant>
        <vt:lpwstr/>
      </vt:variant>
      <vt:variant>
        <vt:i4>2752564</vt:i4>
      </vt:variant>
      <vt:variant>
        <vt:i4>21</vt:i4>
      </vt:variant>
      <vt:variant>
        <vt:i4>0</vt:i4>
      </vt:variant>
      <vt:variant>
        <vt:i4>5</vt:i4>
      </vt:variant>
      <vt:variant>
        <vt:lpwstr>https://www.cbd.int/documents/CBD/CP/RA/AHTEG/2025/1/INF/2</vt:lpwstr>
      </vt:variant>
      <vt:variant>
        <vt:lpwstr/>
      </vt:variant>
      <vt:variant>
        <vt:i4>2687028</vt:i4>
      </vt:variant>
      <vt:variant>
        <vt:i4>18</vt:i4>
      </vt:variant>
      <vt:variant>
        <vt:i4>0</vt:i4>
      </vt:variant>
      <vt:variant>
        <vt:i4>5</vt:i4>
      </vt:variant>
      <vt:variant>
        <vt:lpwstr>https://www.cbd.int/documents/CBD/CP/RA/AHTEG/2025/1/INF/1</vt:lpwstr>
      </vt:variant>
      <vt:variant>
        <vt:lpwstr/>
      </vt:variant>
      <vt:variant>
        <vt:i4>7405681</vt:i4>
      </vt:variant>
      <vt:variant>
        <vt:i4>15</vt:i4>
      </vt:variant>
      <vt:variant>
        <vt:i4>0</vt:i4>
      </vt:variant>
      <vt:variant>
        <vt:i4>5</vt:i4>
      </vt:variant>
      <vt:variant>
        <vt:lpwstr>https://www.cbd.int/decisions/mop/?m=cp-mop-11</vt:lpwstr>
      </vt:variant>
      <vt:variant>
        <vt:lpwstr/>
      </vt:variant>
      <vt:variant>
        <vt:i4>3539048</vt:i4>
      </vt:variant>
      <vt:variant>
        <vt:i4>12</vt:i4>
      </vt:variant>
      <vt:variant>
        <vt:i4>0</vt:i4>
      </vt:variant>
      <vt:variant>
        <vt:i4>5</vt:i4>
      </vt:variant>
      <vt:variant>
        <vt:lpwstr>https://www.cbd.int/decisions/?id=11024</vt:lpwstr>
      </vt:variant>
      <vt:variant>
        <vt:lpwstr/>
      </vt:variant>
      <vt:variant>
        <vt:i4>7077988</vt:i4>
      </vt:variant>
      <vt:variant>
        <vt:i4>9</vt:i4>
      </vt:variant>
      <vt:variant>
        <vt:i4>0</vt:i4>
      </vt:variant>
      <vt:variant>
        <vt:i4>5</vt:i4>
      </vt:variant>
      <vt:variant>
        <vt:lpwstr>https://www.cbd.int/tsc/tscm/subregionalcentres</vt:lpwstr>
      </vt:variant>
      <vt:variant>
        <vt:lpwstr/>
      </vt:variant>
      <vt:variant>
        <vt:i4>2359413</vt:i4>
      </vt:variant>
      <vt:variant>
        <vt:i4>6</vt:i4>
      </vt:variant>
      <vt:variant>
        <vt:i4>0</vt:i4>
      </vt:variant>
      <vt:variant>
        <vt:i4>5</vt:i4>
      </vt:variant>
      <vt:variant>
        <vt:lpwstr>https://www.cbd.int/documents/CBD/CP/RA/AHTEG/2025/1/3</vt:lpwstr>
      </vt:variant>
      <vt:variant>
        <vt:lpwstr/>
      </vt:variant>
      <vt:variant>
        <vt:i4>4587590</vt:i4>
      </vt:variant>
      <vt:variant>
        <vt:i4>3</vt:i4>
      </vt:variant>
      <vt:variant>
        <vt:i4>0</vt:i4>
      </vt:variant>
      <vt:variant>
        <vt:i4>5</vt:i4>
      </vt:variant>
      <vt:variant>
        <vt:lpwstr>https://www.cbd.int/documents/CBD/SBSTTA/27/6</vt:lpwstr>
      </vt:variant>
      <vt:variant>
        <vt:lpwstr/>
      </vt:variant>
      <vt:variant>
        <vt:i4>2359413</vt:i4>
      </vt:variant>
      <vt:variant>
        <vt:i4>0</vt:i4>
      </vt:variant>
      <vt:variant>
        <vt:i4>0</vt:i4>
      </vt:variant>
      <vt:variant>
        <vt:i4>5</vt:i4>
      </vt:variant>
      <vt:variant>
        <vt:lpwstr>https://www.cbd.int/documents/CBD/CP/RA/AHTEG/2025/1/3</vt:lpwstr>
      </vt:variant>
      <vt:variant>
        <vt:lpwstr/>
      </vt:variant>
      <vt:variant>
        <vt:i4>4587590</vt:i4>
      </vt:variant>
      <vt:variant>
        <vt:i4>0</vt:i4>
      </vt:variant>
      <vt:variant>
        <vt:i4>0</vt:i4>
      </vt:variant>
      <vt:variant>
        <vt:i4>5</vt:i4>
      </vt:variant>
      <vt:variant>
        <vt:lpwstr>https://www.cbd.int/documents/CBD/SBSTTA/27/6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Reviewer</cp:lastModifiedBy>
  <cp:revision>11</cp:revision>
  <dcterms:created xsi:type="dcterms:W3CDTF">2025-11-18T09:12:00Z</dcterms:created>
  <dcterms:modified xsi:type="dcterms:W3CDTF">2025-11-18T14:07:00Z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