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D792C" w14:paraId="139A89C9" w14:textId="77777777" w:rsidTr="001065E9">
        <w:trPr>
          <w:trHeight w:val="850"/>
        </w:trPr>
        <w:tc>
          <w:tcPr>
            <w:tcW w:w="975" w:type="dxa"/>
            <w:vAlign w:val="bottom"/>
          </w:tcPr>
          <w:p w14:paraId="558375E6" w14:textId="77777777" w:rsidR="005012FC" w:rsidRPr="00D16F38" w:rsidRDefault="005012FC" w:rsidP="005012FC">
            <w:pPr>
              <w:pStyle w:val="AASmallLogo"/>
            </w:pPr>
            <w:r w:rsidRPr="00B1090B">
              <w:rPr>
                <w:noProof/>
                <w:lang w:eastAsia="en-CA"/>
                <w14:ligatures w14:val="standardContextual"/>
              </w:rPr>
              <w:drawing>
                <wp:inline distT="0" distB="0" distL="0" distR="0" wp14:anchorId="108C7E4C" wp14:editId="78D5F55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16F38">
              <w:t xml:space="preserve"> </w:t>
            </w:r>
          </w:p>
          <w:p w14:paraId="2F4ED89D" w14:textId="77777777" w:rsidR="001065E9" w:rsidRPr="00D16F38" w:rsidRDefault="001065E9" w:rsidP="005012FC">
            <w:pPr>
              <w:pStyle w:val="AASmallLogo"/>
            </w:pPr>
          </w:p>
        </w:tc>
        <w:tc>
          <w:tcPr>
            <w:tcW w:w="1434" w:type="dxa"/>
            <w:noWrap/>
            <w:vAlign w:val="bottom"/>
          </w:tcPr>
          <w:p w14:paraId="33C486C3" w14:textId="54A8589A" w:rsidR="00DD792C" w:rsidRPr="00DD792C" w:rsidRDefault="00DD792C" w:rsidP="00DD792C">
            <w:pPr>
              <w:spacing w:before="60"/>
              <w:rPr>
                <w:rFonts w:eastAsia="SimHei"/>
                <w:sz w:val="20"/>
                <w:szCs w:val="20"/>
                <w:lang w:eastAsia="zh-CN"/>
              </w:rPr>
            </w:pPr>
            <w:r w:rsidRPr="00DD792C">
              <w:rPr>
                <w:rFonts w:eastAsia="SimHei"/>
                <w:noProof/>
                <w:sz w:val="20"/>
                <w:szCs w:val="20"/>
                <w:lang w:eastAsia="zh-CN"/>
              </w:rPr>
              <w:drawing>
                <wp:anchor distT="0" distB="0" distL="114300" distR="114300" simplePos="0" relativeHeight="251659264" behindDoc="0" locked="0" layoutInCell="1" allowOverlap="1" wp14:anchorId="6A5FF288" wp14:editId="7DE84815">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D792C">
              <w:rPr>
                <w:rFonts w:eastAsia="SimHei" w:hint="eastAsia"/>
                <w:sz w:val="20"/>
                <w:szCs w:val="20"/>
                <w:lang w:eastAsia="zh-CN"/>
              </w:rPr>
              <w:t>联合国</w:t>
            </w:r>
          </w:p>
          <w:p w14:paraId="7ED8D3A0" w14:textId="1572A63B" w:rsidR="005012FC" w:rsidRPr="00D16F38" w:rsidRDefault="00DD792C" w:rsidP="00DD792C">
            <w:pPr>
              <w:pStyle w:val="AASmallLogo"/>
            </w:pPr>
            <w:r w:rsidRPr="00DD792C">
              <w:rPr>
                <w:rFonts w:eastAsia="SimHei" w:hint="eastAsia"/>
                <w:sz w:val="20"/>
                <w:szCs w:val="20"/>
                <w:lang w:eastAsia="zh-CN"/>
              </w:rPr>
              <w:t>环境规划署</w:t>
            </w:r>
          </w:p>
          <w:p w14:paraId="5F3BA419" w14:textId="77777777" w:rsidR="001065E9" w:rsidRPr="00D16F38" w:rsidRDefault="001065E9" w:rsidP="005012FC">
            <w:pPr>
              <w:pStyle w:val="AASmallLogo"/>
            </w:pPr>
          </w:p>
        </w:tc>
        <w:tc>
          <w:tcPr>
            <w:tcW w:w="8073" w:type="dxa"/>
            <w:vAlign w:val="bottom"/>
          </w:tcPr>
          <w:p w14:paraId="0E134068" w14:textId="18E42B64" w:rsidR="001065E9" w:rsidRPr="00D16F38" w:rsidRDefault="009C0BBB" w:rsidP="00B1090B">
            <w:pPr>
              <w:pStyle w:val="ABSymbol"/>
              <w:rPr>
                <w:lang w:eastAsia="zh-CN"/>
              </w:rPr>
            </w:pPr>
            <w:r w:rsidRPr="00B1090B">
              <w:rPr>
                <w:sz w:val="40"/>
              </w:rPr>
              <w:t>CBD</w:t>
            </w:r>
            <w:r w:rsidR="005012FC" w:rsidRPr="00D16F38">
              <w:t>/</w:t>
            </w:r>
            <w:r w:rsidRPr="00B1090B">
              <w:t>SBSTTA</w:t>
            </w:r>
            <w:r w:rsidR="005012FC" w:rsidRPr="00D16F38">
              <w:t>/</w:t>
            </w:r>
            <w:r w:rsidR="0060541B">
              <w:rPr>
                <w:rFonts w:hint="eastAsia"/>
                <w:lang w:eastAsia="zh-CN"/>
              </w:rPr>
              <w:t>REC/</w:t>
            </w:r>
            <w:r w:rsidRPr="00612CDF">
              <w:t>27/</w:t>
            </w:r>
            <w:r w:rsidR="0060541B">
              <w:rPr>
                <w:rFonts w:hint="eastAsia"/>
                <w:lang w:eastAsia="zh-CN"/>
              </w:rPr>
              <w:t>7</w:t>
            </w:r>
          </w:p>
        </w:tc>
      </w:tr>
    </w:tbl>
    <w:p w14:paraId="2AA499BF" w14:textId="77777777" w:rsidR="009F67EB" w:rsidRPr="00D16F38"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D792C" w14:paraId="09B77170" w14:textId="77777777" w:rsidTr="00DD792C">
        <w:trPr>
          <w:trHeight w:val="2016"/>
        </w:trPr>
        <w:tc>
          <w:tcPr>
            <w:tcW w:w="7370" w:type="dxa"/>
          </w:tcPr>
          <w:p w14:paraId="07AAF0EF" w14:textId="6AB269D2" w:rsidR="005012FC" w:rsidRPr="00D16F38" w:rsidRDefault="005012FC" w:rsidP="005012FC">
            <w:pPr>
              <w:pStyle w:val="ACLargeLogo"/>
            </w:pPr>
            <w:r w:rsidRPr="00D16F38">
              <w:t xml:space="preserve"> </w:t>
            </w:r>
            <w:r w:rsidR="00DD792C" w:rsidRPr="00DD792C">
              <w:rPr>
                <w:b/>
                <w:noProof/>
                <w:sz w:val="24"/>
                <w:lang w:val="en-US" w:eastAsia="zh-CN"/>
              </w:rPr>
              <w:drawing>
                <wp:inline distT="0" distB="0" distL="0" distR="0" wp14:anchorId="59928F8E" wp14:editId="669A147F">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p w14:paraId="43E9AB4F" w14:textId="77777777" w:rsidR="001065E9" w:rsidRPr="00D16F38" w:rsidRDefault="001065E9" w:rsidP="005012FC">
            <w:pPr>
              <w:pStyle w:val="ACLargeLogo"/>
            </w:pPr>
          </w:p>
        </w:tc>
        <w:tc>
          <w:tcPr>
            <w:tcW w:w="3112" w:type="dxa"/>
          </w:tcPr>
          <w:p w14:paraId="765DCF29" w14:textId="385E09E9" w:rsidR="005012FC" w:rsidRPr="00DD792C" w:rsidRDefault="005012FC" w:rsidP="005012FC">
            <w:pPr>
              <w:pStyle w:val="AEDistrNormal"/>
              <w:rPr>
                <w:sz w:val="24"/>
              </w:rPr>
            </w:pPr>
            <w:r w:rsidRPr="00DD792C">
              <w:rPr>
                <w:sz w:val="24"/>
              </w:rPr>
              <w:t xml:space="preserve">Distr.: </w:t>
            </w:r>
            <w:r w:rsidR="0060541B">
              <w:rPr>
                <w:rFonts w:hint="eastAsia"/>
                <w:sz w:val="24"/>
                <w:lang w:eastAsia="zh-CN"/>
              </w:rPr>
              <w:t>General</w:t>
            </w:r>
          </w:p>
          <w:p w14:paraId="07E15374" w14:textId="39357636" w:rsidR="005012FC" w:rsidRPr="00DD792C" w:rsidRDefault="00612CDF" w:rsidP="005012FC">
            <w:pPr>
              <w:pStyle w:val="AEDistrNormal"/>
              <w:rPr>
                <w:sz w:val="24"/>
              </w:rPr>
            </w:pPr>
            <w:r w:rsidRPr="00DD792C">
              <w:rPr>
                <w:sz w:val="24"/>
              </w:rPr>
              <w:t>2</w:t>
            </w:r>
            <w:r w:rsidR="008D0159">
              <w:rPr>
                <w:rFonts w:hint="eastAsia"/>
                <w:sz w:val="24"/>
                <w:lang w:eastAsia="zh-CN"/>
              </w:rPr>
              <w:t>4</w:t>
            </w:r>
            <w:r w:rsidRPr="00DD792C">
              <w:rPr>
                <w:sz w:val="24"/>
              </w:rPr>
              <w:t xml:space="preserve"> </w:t>
            </w:r>
            <w:r w:rsidR="00573922" w:rsidRPr="00DD792C">
              <w:rPr>
                <w:sz w:val="24"/>
              </w:rPr>
              <w:t>October</w:t>
            </w:r>
            <w:r w:rsidR="00E513EF" w:rsidRPr="00DD792C">
              <w:rPr>
                <w:sz w:val="24"/>
              </w:rPr>
              <w:t xml:space="preserve"> 2025</w:t>
            </w:r>
          </w:p>
          <w:p w14:paraId="6A4B50D8" w14:textId="07C46E2A" w:rsidR="005012FC" w:rsidRPr="00DD792C" w:rsidRDefault="00DD792C" w:rsidP="005012FC">
            <w:pPr>
              <w:pStyle w:val="AEDistrNormal"/>
              <w:rPr>
                <w:sz w:val="24"/>
                <w:lang w:eastAsia="zh-CN"/>
              </w:rPr>
            </w:pPr>
            <w:r w:rsidRPr="00DD792C">
              <w:rPr>
                <w:rFonts w:hint="eastAsia"/>
                <w:sz w:val="24"/>
                <w:lang w:eastAsia="zh-CN"/>
              </w:rPr>
              <w:t>Chinese</w:t>
            </w:r>
          </w:p>
          <w:p w14:paraId="66696826" w14:textId="77777777" w:rsidR="005012FC" w:rsidRPr="00DD792C" w:rsidRDefault="005012FC" w:rsidP="005012FC">
            <w:pPr>
              <w:pStyle w:val="AEDistrNormal"/>
              <w:rPr>
                <w:sz w:val="24"/>
              </w:rPr>
            </w:pPr>
            <w:r w:rsidRPr="00DD792C">
              <w:rPr>
                <w:sz w:val="24"/>
              </w:rPr>
              <w:t xml:space="preserve">Original: English </w:t>
            </w:r>
          </w:p>
          <w:p w14:paraId="74CD7968" w14:textId="77777777" w:rsidR="001065E9" w:rsidRPr="00DD792C" w:rsidRDefault="001065E9" w:rsidP="005012FC">
            <w:pPr>
              <w:pStyle w:val="AEDistrNormal6pt"/>
              <w:rPr>
                <w:sz w:val="24"/>
              </w:rPr>
            </w:pPr>
          </w:p>
        </w:tc>
      </w:tr>
    </w:tbl>
    <w:p w14:paraId="5D878378" w14:textId="77777777" w:rsidR="001065E9" w:rsidRPr="00D16F38" w:rsidRDefault="001065E9" w:rsidP="001065E9">
      <w:pPr>
        <w:pStyle w:val="AISpacer"/>
      </w:pPr>
    </w:p>
    <w:p w14:paraId="07049227" w14:textId="77777777" w:rsidR="00DD792C" w:rsidRPr="00DD792C" w:rsidRDefault="00DD792C" w:rsidP="00DD792C">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DD792C">
        <w:rPr>
          <w:b/>
          <w:bCs/>
          <w:kern w:val="22"/>
          <w:sz w:val="24"/>
          <w:szCs w:val="24"/>
          <w:lang w:val="en-CA" w:eastAsia="zh-CN"/>
        </w:rPr>
        <w:t>科学、技术和工艺咨询附属机构</w:t>
      </w:r>
    </w:p>
    <w:p w14:paraId="556796D7" w14:textId="77777777" w:rsidR="00DD792C" w:rsidRPr="00DD792C" w:rsidRDefault="00DD792C" w:rsidP="00DD792C">
      <w:pPr>
        <w:tabs>
          <w:tab w:val="clear" w:pos="567"/>
          <w:tab w:val="clear" w:pos="1134"/>
          <w:tab w:val="clear" w:pos="1701"/>
          <w:tab w:val="clear" w:pos="2268"/>
        </w:tabs>
        <w:spacing w:line="240" w:lineRule="atLeast"/>
        <w:rPr>
          <w:b/>
          <w:bCs/>
          <w:caps/>
          <w:snapToGrid w:val="0"/>
          <w:sz w:val="24"/>
          <w:szCs w:val="24"/>
          <w:lang w:eastAsia="zh-CN"/>
        </w:rPr>
      </w:pPr>
      <w:r w:rsidRPr="00DD792C">
        <w:rPr>
          <w:b/>
          <w:bCs/>
          <w:caps/>
          <w:snapToGrid w:val="0"/>
          <w:sz w:val="24"/>
          <w:szCs w:val="24"/>
          <w:lang w:eastAsia="zh-CN"/>
        </w:rPr>
        <w:t>第二十七次会议</w:t>
      </w:r>
    </w:p>
    <w:p w14:paraId="0212AA8C" w14:textId="77777777" w:rsidR="00DD792C" w:rsidRPr="00DD792C" w:rsidRDefault="00DD792C" w:rsidP="00DD792C">
      <w:pPr>
        <w:keepNext/>
        <w:keepLines/>
        <w:tabs>
          <w:tab w:val="left" w:pos="2835"/>
          <w:tab w:val="left" w:pos="3402"/>
        </w:tabs>
        <w:spacing w:line="240" w:lineRule="atLeast"/>
        <w:ind w:left="567" w:hanging="567"/>
        <w:jc w:val="left"/>
        <w:outlineLvl w:val="0"/>
        <w:rPr>
          <w:bCs/>
          <w:caps/>
          <w:snapToGrid w:val="0"/>
          <w:sz w:val="24"/>
          <w:szCs w:val="24"/>
          <w:lang w:eastAsia="zh-CN"/>
        </w:rPr>
      </w:pPr>
      <w:r w:rsidRPr="00DD792C">
        <w:rPr>
          <w:rFonts w:eastAsia="Times New Roman"/>
          <w:bCs/>
          <w:kern w:val="22"/>
          <w:sz w:val="24"/>
          <w:szCs w:val="24"/>
          <w:lang w:val="en-CA" w:eastAsia="zh-CN"/>
        </w:rPr>
        <w:t>202</w:t>
      </w:r>
      <w:r w:rsidRPr="00DD792C">
        <w:rPr>
          <w:rFonts w:eastAsia="DengXian"/>
          <w:bCs/>
          <w:kern w:val="22"/>
          <w:sz w:val="24"/>
          <w:szCs w:val="24"/>
          <w:lang w:val="en-CA" w:eastAsia="zh-CN"/>
        </w:rPr>
        <w:t>5</w:t>
      </w:r>
      <w:r w:rsidRPr="00DD792C">
        <w:rPr>
          <w:bCs/>
          <w:kern w:val="22"/>
          <w:sz w:val="24"/>
          <w:szCs w:val="24"/>
          <w:lang w:val="en-CA" w:eastAsia="zh-CN"/>
        </w:rPr>
        <w:t>年</w:t>
      </w:r>
      <w:r w:rsidRPr="00DD792C">
        <w:rPr>
          <w:bCs/>
          <w:kern w:val="22"/>
          <w:sz w:val="24"/>
          <w:szCs w:val="24"/>
          <w:lang w:val="en-CA" w:eastAsia="zh-CN"/>
        </w:rPr>
        <w:t>10</w:t>
      </w:r>
      <w:r w:rsidRPr="00DD792C">
        <w:rPr>
          <w:bCs/>
          <w:kern w:val="22"/>
          <w:sz w:val="24"/>
          <w:szCs w:val="24"/>
          <w:lang w:val="en-CA" w:eastAsia="zh-CN"/>
        </w:rPr>
        <w:t>月</w:t>
      </w:r>
      <w:r w:rsidRPr="00DD792C">
        <w:rPr>
          <w:bCs/>
          <w:kern w:val="22"/>
          <w:sz w:val="24"/>
          <w:szCs w:val="24"/>
          <w:lang w:val="en-CA" w:eastAsia="zh-CN"/>
        </w:rPr>
        <w:t>20</w:t>
      </w:r>
      <w:r w:rsidRPr="00DD792C">
        <w:rPr>
          <w:bCs/>
          <w:kern w:val="22"/>
          <w:sz w:val="24"/>
          <w:szCs w:val="24"/>
          <w:lang w:val="en-CA" w:eastAsia="zh-CN"/>
        </w:rPr>
        <w:t>日至</w:t>
      </w:r>
      <w:r w:rsidRPr="00DD792C">
        <w:rPr>
          <w:bCs/>
          <w:kern w:val="22"/>
          <w:sz w:val="24"/>
          <w:szCs w:val="24"/>
          <w:lang w:val="en-CA" w:eastAsia="zh-CN"/>
        </w:rPr>
        <w:t>24</w:t>
      </w:r>
      <w:r w:rsidRPr="00DD792C">
        <w:rPr>
          <w:bCs/>
          <w:kern w:val="22"/>
          <w:sz w:val="24"/>
          <w:szCs w:val="24"/>
          <w:lang w:val="en-CA" w:eastAsia="zh-CN"/>
        </w:rPr>
        <w:t>日，</w:t>
      </w:r>
      <w:r w:rsidRPr="00DD792C">
        <w:rPr>
          <w:bCs/>
          <w:caps/>
          <w:snapToGrid w:val="0"/>
          <w:sz w:val="24"/>
          <w:szCs w:val="24"/>
          <w:lang w:eastAsia="zh-CN"/>
        </w:rPr>
        <w:t>巴拿马城</w:t>
      </w:r>
    </w:p>
    <w:p w14:paraId="21257AAD" w14:textId="3123B917" w:rsidR="00DD792C" w:rsidRDefault="00DD792C" w:rsidP="00DD792C">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DD792C">
        <w:rPr>
          <w:kern w:val="22"/>
          <w:sz w:val="24"/>
          <w:szCs w:val="24"/>
          <w:lang w:val="en-CA" w:eastAsia="zh-CN"/>
        </w:rPr>
        <w:t>议程项目</w:t>
      </w:r>
      <w:r>
        <w:rPr>
          <w:rFonts w:hint="eastAsia"/>
          <w:kern w:val="22"/>
          <w:sz w:val="24"/>
          <w:szCs w:val="24"/>
          <w:lang w:val="en-CA" w:eastAsia="zh-CN"/>
        </w:rPr>
        <w:t>7</w:t>
      </w:r>
    </w:p>
    <w:p w14:paraId="0E3DEDE4" w14:textId="2863EC9E" w:rsidR="00DD792C" w:rsidRDefault="00DD792C" w:rsidP="00DD792C">
      <w:pPr>
        <w:tabs>
          <w:tab w:val="clear" w:pos="567"/>
          <w:tab w:val="clear" w:pos="1134"/>
          <w:tab w:val="clear" w:pos="1701"/>
          <w:tab w:val="clear" w:pos="2268"/>
        </w:tabs>
        <w:snapToGrid w:val="0"/>
        <w:spacing w:line="240" w:lineRule="atLeast"/>
        <w:ind w:right="2010"/>
        <w:jc w:val="left"/>
        <w:rPr>
          <w:b/>
          <w:bCs/>
          <w:kern w:val="22"/>
          <w:sz w:val="24"/>
          <w:szCs w:val="24"/>
          <w:lang w:eastAsia="zh-CN"/>
        </w:rPr>
      </w:pPr>
      <w:r w:rsidRPr="00DD792C">
        <w:rPr>
          <w:rFonts w:hint="eastAsia"/>
          <w:b/>
          <w:bCs/>
          <w:kern w:val="22"/>
          <w:sz w:val="24"/>
          <w:szCs w:val="24"/>
          <w:lang w:eastAsia="zh-CN"/>
        </w:rPr>
        <w:t>风险评估与风险管理</w:t>
      </w:r>
      <w:r w:rsidR="004D37F1">
        <w:rPr>
          <w:rFonts w:hint="eastAsia"/>
          <w:b/>
          <w:bCs/>
          <w:kern w:val="22"/>
          <w:sz w:val="24"/>
          <w:szCs w:val="24"/>
          <w:lang w:eastAsia="zh-CN"/>
        </w:rPr>
        <w:t xml:space="preserve"> </w:t>
      </w:r>
    </w:p>
    <w:p w14:paraId="68DB8B7F" w14:textId="77777777" w:rsidR="00DD792C" w:rsidRPr="00DD792C" w:rsidRDefault="00DD792C" w:rsidP="00DD792C">
      <w:pPr>
        <w:tabs>
          <w:tab w:val="clear" w:pos="567"/>
          <w:tab w:val="clear" w:pos="1134"/>
          <w:tab w:val="clear" w:pos="1701"/>
          <w:tab w:val="clear" w:pos="2268"/>
        </w:tabs>
        <w:snapToGrid w:val="0"/>
        <w:spacing w:line="240" w:lineRule="atLeast"/>
        <w:ind w:right="2010"/>
        <w:jc w:val="left"/>
        <w:rPr>
          <w:b/>
          <w:bCs/>
          <w:kern w:val="22"/>
          <w:sz w:val="24"/>
          <w:szCs w:val="24"/>
          <w:lang w:val="en-CA" w:eastAsia="zh-CN"/>
        </w:rPr>
      </w:pPr>
    </w:p>
    <w:p w14:paraId="21C5BEFD" w14:textId="12749D62" w:rsidR="0060541B" w:rsidRPr="0060541B" w:rsidRDefault="0060541B" w:rsidP="00DD792C">
      <w:pPr>
        <w:pStyle w:val="CBDTitle"/>
        <w:keepNext w:val="0"/>
        <w:ind w:left="562"/>
        <w:rPr>
          <w:rFonts w:eastAsia="SimHei"/>
          <w:lang w:eastAsia="zh-CN"/>
        </w:rPr>
      </w:pPr>
      <w:r w:rsidRPr="0060541B">
        <w:rPr>
          <w:rFonts w:eastAsia="SimHei"/>
          <w:lang w:eastAsia="zh-CN"/>
        </w:rPr>
        <w:t>2025</w:t>
      </w:r>
      <w:r w:rsidRPr="0060541B">
        <w:rPr>
          <w:rFonts w:eastAsia="SimHei"/>
          <w:lang w:eastAsia="zh-CN"/>
        </w:rPr>
        <w:t>年</w:t>
      </w:r>
      <w:r w:rsidRPr="0060541B">
        <w:rPr>
          <w:rFonts w:eastAsia="SimHei"/>
          <w:lang w:eastAsia="zh-CN"/>
        </w:rPr>
        <w:t>10</w:t>
      </w:r>
      <w:r w:rsidRPr="0060541B">
        <w:rPr>
          <w:rFonts w:eastAsia="SimHei"/>
          <w:lang w:eastAsia="zh-CN"/>
        </w:rPr>
        <w:t>月</w:t>
      </w:r>
      <w:r w:rsidRPr="0060541B">
        <w:rPr>
          <w:rFonts w:eastAsia="SimHei"/>
          <w:lang w:eastAsia="zh-CN"/>
        </w:rPr>
        <w:t>24</w:t>
      </w:r>
      <w:r w:rsidRPr="0060541B">
        <w:rPr>
          <w:rFonts w:eastAsia="SimHei"/>
          <w:lang w:eastAsia="zh-CN"/>
        </w:rPr>
        <w:t>日科学、技术和工艺咨询附属机构通过的建议</w:t>
      </w:r>
    </w:p>
    <w:p w14:paraId="3913836A" w14:textId="31253072" w:rsidR="00DD792C" w:rsidRPr="0060541B" w:rsidRDefault="0060541B" w:rsidP="00DD792C">
      <w:pPr>
        <w:pStyle w:val="CBDTitle"/>
        <w:keepNext w:val="0"/>
        <w:ind w:left="562"/>
        <w:rPr>
          <w:sz w:val="24"/>
          <w:szCs w:val="24"/>
          <w:lang w:eastAsia="zh-CN"/>
        </w:rPr>
      </w:pPr>
      <w:r w:rsidRPr="0060541B">
        <w:rPr>
          <w:rFonts w:hint="eastAsia"/>
          <w:sz w:val="24"/>
          <w:szCs w:val="24"/>
          <w:lang w:eastAsia="zh-CN"/>
        </w:rPr>
        <w:t xml:space="preserve">27/7. </w:t>
      </w:r>
      <w:r w:rsidR="00DD792C" w:rsidRPr="0060541B">
        <w:rPr>
          <w:rFonts w:hint="eastAsia"/>
          <w:sz w:val="24"/>
          <w:szCs w:val="24"/>
          <w:lang w:eastAsia="zh-CN"/>
        </w:rPr>
        <w:t>改性活生物体</w:t>
      </w:r>
      <w:r w:rsidR="00634F0E" w:rsidRPr="0060541B">
        <w:rPr>
          <w:rFonts w:hint="eastAsia"/>
          <w:sz w:val="24"/>
          <w:szCs w:val="24"/>
          <w:lang w:eastAsia="zh-CN"/>
        </w:rPr>
        <w:t>的</w:t>
      </w:r>
      <w:r w:rsidR="00DD792C" w:rsidRPr="0060541B">
        <w:rPr>
          <w:rFonts w:hint="eastAsia"/>
          <w:sz w:val="24"/>
          <w:szCs w:val="24"/>
          <w:lang w:eastAsia="zh-CN"/>
        </w:rPr>
        <w:t>风险评估</w:t>
      </w:r>
      <w:r w:rsidR="00634F0E" w:rsidRPr="0060541B">
        <w:rPr>
          <w:rFonts w:hint="eastAsia"/>
          <w:sz w:val="24"/>
          <w:szCs w:val="24"/>
          <w:lang w:eastAsia="zh-CN"/>
        </w:rPr>
        <w:t>与</w:t>
      </w:r>
      <w:r w:rsidR="00DD792C" w:rsidRPr="0060541B">
        <w:rPr>
          <w:rFonts w:hint="eastAsia"/>
          <w:sz w:val="24"/>
          <w:szCs w:val="24"/>
          <w:lang w:eastAsia="zh-CN"/>
        </w:rPr>
        <w:t>风险管理</w:t>
      </w:r>
    </w:p>
    <w:p w14:paraId="3C65EDCE" w14:textId="2EADEAAC"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490" w:firstLine="490"/>
        <w:rPr>
          <w:rFonts w:ascii="KaiTi" w:eastAsia="KaiTi" w:hAnsi="KaiTi"/>
          <w:b w:val="0"/>
          <w:bCs/>
          <w:iCs/>
          <w:sz w:val="24"/>
          <w:lang w:eastAsia="zh-CN"/>
        </w:rPr>
      </w:pPr>
      <w:r w:rsidRPr="00DD792C">
        <w:rPr>
          <w:rFonts w:ascii="KaiTi" w:eastAsia="KaiTi" w:hAnsi="KaiTi" w:hint="eastAsia"/>
          <w:b w:val="0"/>
          <w:bCs/>
          <w:iCs/>
          <w:sz w:val="24"/>
          <w:lang w:eastAsia="zh-CN"/>
        </w:rPr>
        <w:t>科学、技术和工艺咨询附属机构</w:t>
      </w:r>
      <w:r w:rsidR="00BA52EB">
        <w:rPr>
          <w:rFonts w:ascii="KaiTi" w:eastAsia="KaiTi" w:hAnsi="KaiTi" w:hint="eastAsia"/>
          <w:b w:val="0"/>
          <w:bCs/>
          <w:iCs/>
          <w:sz w:val="24"/>
          <w:lang w:eastAsia="zh-CN"/>
        </w:rPr>
        <w:t>，</w:t>
      </w:r>
    </w:p>
    <w:p w14:paraId="2D60C996" w14:textId="1E650E23"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490" w:firstLine="490"/>
        <w:rPr>
          <w:b w:val="0"/>
          <w:bCs/>
          <w:sz w:val="24"/>
          <w:lang w:eastAsia="zh-CN"/>
        </w:rPr>
      </w:pPr>
      <w:r w:rsidRPr="00DD792C">
        <w:rPr>
          <w:rFonts w:ascii="KaiTi" w:eastAsia="KaiTi" w:hAnsi="KaiTi" w:hint="eastAsia"/>
          <w:b w:val="0"/>
          <w:bCs/>
          <w:sz w:val="24"/>
          <w:lang w:eastAsia="zh-CN"/>
        </w:rPr>
        <w:t>建议</w:t>
      </w:r>
      <w:r w:rsidRPr="00DD792C">
        <w:rPr>
          <w:rFonts w:hint="eastAsia"/>
          <w:b w:val="0"/>
          <w:bCs/>
          <w:sz w:val="24"/>
          <w:lang w:eastAsia="zh-CN"/>
        </w:rPr>
        <w:t>作为卡塔赫纳生物安全议定书</w:t>
      </w:r>
      <w:r w:rsidRPr="00DD792C">
        <w:rPr>
          <w:b w:val="0"/>
          <w:bCs/>
          <w:sz w:val="24"/>
          <w:vertAlign w:val="superscript"/>
          <w:lang w:eastAsia="zh-CN"/>
        </w:rPr>
        <w:footnoteReference w:id="1"/>
      </w:r>
      <w:r w:rsidRPr="00DD792C">
        <w:rPr>
          <w:rFonts w:hint="eastAsia"/>
          <w:b w:val="0"/>
          <w:bCs/>
          <w:sz w:val="24"/>
          <w:lang w:eastAsia="zh-CN"/>
        </w:rPr>
        <w:t>缔约方会议的缔约方大会第十二次会议通过一项内容大致如下</w:t>
      </w:r>
      <w:r w:rsidR="00634F0E">
        <w:rPr>
          <w:rFonts w:hint="eastAsia"/>
          <w:b w:val="0"/>
          <w:bCs/>
          <w:sz w:val="24"/>
          <w:lang w:eastAsia="zh-CN"/>
        </w:rPr>
        <w:t>的</w:t>
      </w:r>
      <w:r w:rsidR="00634F0E" w:rsidRPr="00DD792C">
        <w:rPr>
          <w:rFonts w:hint="eastAsia"/>
          <w:b w:val="0"/>
          <w:bCs/>
          <w:sz w:val="24"/>
          <w:lang w:eastAsia="zh-CN"/>
        </w:rPr>
        <w:t>决定</w:t>
      </w:r>
      <w:r w:rsidRPr="00DD792C">
        <w:rPr>
          <w:rFonts w:hint="eastAsia"/>
          <w:b w:val="0"/>
          <w:bCs/>
          <w:sz w:val="24"/>
          <w:lang w:eastAsia="zh-CN"/>
        </w:rPr>
        <w:t>：</w:t>
      </w:r>
      <w:r w:rsidRPr="00DD792C">
        <w:rPr>
          <w:b w:val="0"/>
          <w:bCs/>
          <w:sz w:val="24"/>
          <w:lang w:eastAsia="zh-CN"/>
        </w:rPr>
        <w:t xml:space="preserve"> </w:t>
      </w:r>
    </w:p>
    <w:p w14:paraId="7522397C" w14:textId="06CE1EFC"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rFonts w:ascii="KaiTi" w:eastAsia="KaiTi" w:hAnsi="KaiTi"/>
          <w:b w:val="0"/>
          <w:bCs/>
          <w:sz w:val="24"/>
          <w:lang w:eastAsia="zh-CN"/>
        </w:rPr>
      </w:pPr>
      <w:r w:rsidRPr="00DD792C">
        <w:rPr>
          <w:rFonts w:ascii="KaiTi" w:eastAsia="KaiTi" w:hAnsi="KaiTi" w:hint="eastAsia"/>
          <w:b w:val="0"/>
          <w:bCs/>
          <w:sz w:val="24"/>
          <w:lang w:eastAsia="zh-CN"/>
        </w:rPr>
        <w:t>作为卡塔赫纳议定书缔约方会议的缔约方大会，</w:t>
      </w:r>
    </w:p>
    <w:p w14:paraId="3D043A84" w14:textId="5DE3798D"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i/>
          <w:iCs/>
          <w:sz w:val="24"/>
          <w:lang w:eastAsia="zh-CN"/>
        </w:rPr>
      </w:pPr>
      <w:r w:rsidRPr="00DD792C">
        <w:rPr>
          <w:rFonts w:ascii="KaiTi" w:eastAsia="KaiTi" w:hAnsi="KaiTi" w:hint="eastAsia"/>
          <w:b w:val="0"/>
          <w:bCs/>
          <w:sz w:val="24"/>
          <w:lang w:eastAsia="zh-CN"/>
        </w:rPr>
        <w:t>回顾</w:t>
      </w:r>
      <w:r w:rsidRPr="00DD792C">
        <w:rPr>
          <w:rFonts w:hint="eastAsia"/>
          <w:b w:val="0"/>
          <w:bCs/>
          <w:sz w:val="24"/>
          <w:lang w:eastAsia="zh-CN"/>
        </w:rPr>
        <w:t>2018</w:t>
      </w:r>
      <w:r w:rsidRPr="00DD792C">
        <w:rPr>
          <w:rFonts w:hint="eastAsia"/>
          <w:b w:val="0"/>
          <w:bCs/>
          <w:sz w:val="24"/>
          <w:lang w:eastAsia="zh-CN"/>
        </w:rPr>
        <w:t>年</w:t>
      </w:r>
      <w:r w:rsidRPr="00DD792C">
        <w:rPr>
          <w:rFonts w:hint="eastAsia"/>
          <w:b w:val="0"/>
          <w:bCs/>
          <w:sz w:val="24"/>
          <w:lang w:eastAsia="zh-CN"/>
        </w:rPr>
        <w:t>11</w:t>
      </w:r>
      <w:r w:rsidRPr="00DD792C">
        <w:rPr>
          <w:rFonts w:hint="eastAsia"/>
          <w:b w:val="0"/>
          <w:bCs/>
          <w:sz w:val="24"/>
          <w:lang w:eastAsia="zh-CN"/>
        </w:rPr>
        <w:t>月</w:t>
      </w:r>
      <w:r w:rsidRPr="00DD792C">
        <w:rPr>
          <w:rFonts w:hint="eastAsia"/>
          <w:b w:val="0"/>
          <w:bCs/>
          <w:sz w:val="24"/>
          <w:lang w:eastAsia="zh-CN"/>
        </w:rPr>
        <w:t>28</w:t>
      </w:r>
      <w:r w:rsidRPr="00DD792C">
        <w:rPr>
          <w:rFonts w:hint="eastAsia"/>
          <w:b w:val="0"/>
          <w:bCs/>
          <w:sz w:val="24"/>
          <w:lang w:eastAsia="zh-CN"/>
        </w:rPr>
        <w:t>日第</w:t>
      </w:r>
      <w:hyperlink r:id="rId14" w:history="1">
        <w:r w:rsidRPr="008D0159">
          <w:rPr>
            <w:rStyle w:val="Hyperlink"/>
            <w:rFonts w:hint="eastAsia"/>
            <w:b w:val="0"/>
            <w:bCs/>
            <w:sz w:val="24"/>
            <w:lang w:eastAsia="zh-CN"/>
          </w:rPr>
          <w:t>CP-9/13</w:t>
        </w:r>
      </w:hyperlink>
      <w:r w:rsidRPr="00DD792C">
        <w:rPr>
          <w:rFonts w:hint="eastAsia"/>
          <w:b w:val="0"/>
          <w:bCs/>
          <w:sz w:val="24"/>
          <w:lang w:eastAsia="zh-CN"/>
        </w:rPr>
        <w:t>号决定</w:t>
      </w:r>
      <w:r w:rsidR="00634F0E">
        <w:rPr>
          <w:rFonts w:hint="eastAsia"/>
          <w:b w:val="0"/>
          <w:bCs/>
          <w:sz w:val="24"/>
          <w:lang w:eastAsia="zh-CN"/>
        </w:rPr>
        <w:t>和</w:t>
      </w:r>
      <w:r w:rsidRPr="00DD792C">
        <w:rPr>
          <w:rFonts w:hint="eastAsia"/>
          <w:b w:val="0"/>
          <w:bCs/>
          <w:sz w:val="24"/>
          <w:lang w:eastAsia="zh-CN"/>
        </w:rPr>
        <w:t>2024</w:t>
      </w:r>
      <w:r w:rsidRPr="00DD792C">
        <w:rPr>
          <w:rFonts w:hint="eastAsia"/>
          <w:b w:val="0"/>
          <w:bCs/>
          <w:sz w:val="24"/>
          <w:lang w:eastAsia="zh-CN"/>
        </w:rPr>
        <w:t>年</w:t>
      </w:r>
      <w:r w:rsidRPr="00DD792C">
        <w:rPr>
          <w:rFonts w:hint="eastAsia"/>
          <w:b w:val="0"/>
          <w:bCs/>
          <w:sz w:val="24"/>
          <w:lang w:eastAsia="zh-CN"/>
        </w:rPr>
        <w:t>10</w:t>
      </w:r>
      <w:r w:rsidRPr="00DD792C">
        <w:rPr>
          <w:rFonts w:hint="eastAsia"/>
          <w:b w:val="0"/>
          <w:bCs/>
          <w:sz w:val="24"/>
          <w:lang w:eastAsia="zh-CN"/>
        </w:rPr>
        <w:t>月</w:t>
      </w:r>
      <w:r w:rsidRPr="00DD792C">
        <w:rPr>
          <w:rFonts w:hint="eastAsia"/>
          <w:b w:val="0"/>
          <w:bCs/>
          <w:sz w:val="24"/>
          <w:lang w:eastAsia="zh-CN"/>
        </w:rPr>
        <w:t>30</w:t>
      </w:r>
      <w:r w:rsidRPr="00DD792C">
        <w:rPr>
          <w:rFonts w:hint="eastAsia"/>
          <w:b w:val="0"/>
          <w:bCs/>
          <w:sz w:val="24"/>
          <w:lang w:eastAsia="zh-CN"/>
        </w:rPr>
        <w:t>日第</w:t>
      </w:r>
      <w:hyperlink r:id="rId15" w:history="1">
        <w:r w:rsidRPr="008D0159">
          <w:rPr>
            <w:rStyle w:val="Hyperlink"/>
            <w:rFonts w:hint="eastAsia"/>
            <w:b w:val="0"/>
            <w:bCs/>
            <w:sz w:val="24"/>
            <w:lang w:eastAsia="zh-CN"/>
          </w:rPr>
          <w:t>CP-11/7</w:t>
        </w:r>
      </w:hyperlink>
      <w:r w:rsidRPr="00DD792C">
        <w:rPr>
          <w:rFonts w:hint="eastAsia"/>
          <w:b w:val="0"/>
          <w:bCs/>
          <w:sz w:val="24"/>
          <w:lang w:eastAsia="zh-CN"/>
        </w:rPr>
        <w:t>号决定，</w:t>
      </w:r>
    </w:p>
    <w:p w14:paraId="770692FF" w14:textId="3CA7A4BC" w:rsid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DD792C">
        <w:rPr>
          <w:b w:val="0"/>
          <w:bCs/>
          <w:sz w:val="24"/>
          <w:lang w:eastAsia="zh-CN"/>
        </w:rPr>
        <w:t>1.</w:t>
      </w:r>
      <w:r w:rsidRPr="00DD792C">
        <w:rPr>
          <w:b w:val="0"/>
          <w:bCs/>
          <w:i/>
          <w:iCs/>
          <w:sz w:val="24"/>
          <w:lang w:eastAsia="zh-CN"/>
        </w:rPr>
        <w:tab/>
      </w:r>
      <w:r w:rsidRPr="00DD792C">
        <w:rPr>
          <w:rFonts w:ascii="KaiTi" w:eastAsia="KaiTi" w:hAnsi="KaiTi" w:hint="eastAsia"/>
          <w:b w:val="0"/>
          <w:bCs/>
          <w:sz w:val="24"/>
          <w:lang w:eastAsia="zh-CN"/>
        </w:rPr>
        <w:t>表示赞赏</w:t>
      </w:r>
      <w:r w:rsidRPr="00DD792C">
        <w:rPr>
          <w:rFonts w:hint="eastAsia"/>
          <w:b w:val="0"/>
          <w:bCs/>
          <w:sz w:val="24"/>
          <w:lang w:eastAsia="zh-CN"/>
        </w:rPr>
        <w:t>风险评估特设技术专家组</w:t>
      </w:r>
      <w:r w:rsidRPr="00DD792C">
        <w:rPr>
          <w:b w:val="0"/>
          <w:bCs/>
          <w:sz w:val="24"/>
          <w:vertAlign w:val="superscript"/>
          <w:lang w:eastAsia="zh-CN"/>
        </w:rPr>
        <w:footnoteReference w:id="2"/>
      </w:r>
      <w:r w:rsidRPr="00DD792C">
        <w:rPr>
          <w:rFonts w:hint="eastAsia"/>
          <w:b w:val="0"/>
          <w:bCs/>
          <w:sz w:val="24"/>
          <w:lang w:eastAsia="zh-CN"/>
        </w:rPr>
        <w:t>的工作以及将第</w:t>
      </w:r>
      <w:hyperlink r:id="rId16" w:history="1">
        <w:r w:rsidRPr="008D0159">
          <w:rPr>
            <w:rStyle w:val="Hyperlink"/>
            <w:b w:val="0"/>
            <w:bCs/>
            <w:sz w:val="24"/>
            <w:lang w:eastAsia="zh-CN"/>
          </w:rPr>
          <w:t>CP-9/13</w:t>
        </w:r>
      </w:hyperlink>
      <w:r w:rsidRPr="00DD792C">
        <w:rPr>
          <w:rFonts w:hint="eastAsia"/>
          <w:b w:val="0"/>
          <w:bCs/>
          <w:sz w:val="24"/>
          <w:lang w:eastAsia="zh-CN"/>
        </w:rPr>
        <w:t>号决定附件一所列标准应用于缔约方就改性活生物体风险评估具体专题</w:t>
      </w:r>
      <w:r w:rsidRPr="00DD792C">
        <w:rPr>
          <w:b w:val="0"/>
          <w:bCs/>
          <w:sz w:val="24"/>
          <w:vertAlign w:val="superscript"/>
          <w:lang w:eastAsia="zh-CN"/>
        </w:rPr>
        <w:footnoteReference w:id="3"/>
      </w:r>
      <w:r w:rsidRPr="00DD792C">
        <w:rPr>
          <w:rFonts w:hint="eastAsia"/>
          <w:b w:val="0"/>
          <w:bCs/>
          <w:sz w:val="24"/>
          <w:lang w:eastAsia="zh-CN"/>
        </w:rPr>
        <w:t>的进一步指导需求和优先事项提出的风险评估专题；</w:t>
      </w:r>
    </w:p>
    <w:p w14:paraId="19041BF5" w14:textId="7BE1C8DD" w:rsidR="00DD792C" w:rsidRPr="00AF78A8"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sidRPr="00AF78A8">
        <w:rPr>
          <w:b w:val="0"/>
          <w:bCs/>
          <w:sz w:val="24"/>
          <w:szCs w:val="24"/>
          <w:lang w:eastAsia="zh-CN"/>
        </w:rPr>
        <w:t>[2</w:t>
      </w:r>
      <w:r w:rsidRPr="00AF78A8">
        <w:rPr>
          <w:b w:val="0"/>
          <w:bCs/>
          <w:i/>
          <w:iCs/>
          <w:sz w:val="24"/>
          <w:szCs w:val="24"/>
          <w:lang w:eastAsia="zh-CN"/>
        </w:rPr>
        <w:t>.</w:t>
      </w:r>
      <w:r w:rsidRPr="00AF78A8">
        <w:rPr>
          <w:b w:val="0"/>
          <w:bCs/>
          <w:i/>
          <w:iCs/>
          <w:sz w:val="24"/>
          <w:szCs w:val="24"/>
          <w:lang w:eastAsia="zh-CN"/>
        </w:rPr>
        <w:tab/>
      </w:r>
      <w:r w:rsidRPr="00AF78A8">
        <w:rPr>
          <w:rFonts w:ascii="KaiTi" w:eastAsia="KaiTi" w:hAnsi="KaiTi" w:hint="eastAsia"/>
          <w:b w:val="0"/>
          <w:bCs/>
          <w:sz w:val="24"/>
          <w:szCs w:val="24"/>
          <w:lang w:eastAsia="zh-CN"/>
        </w:rPr>
        <w:t>决定</w:t>
      </w:r>
      <w:r w:rsidRPr="00AF78A8">
        <w:rPr>
          <w:rFonts w:hint="eastAsia"/>
          <w:b w:val="0"/>
          <w:bCs/>
          <w:sz w:val="24"/>
          <w:szCs w:val="24"/>
          <w:lang w:eastAsia="zh-CN"/>
        </w:rPr>
        <w:t>根据《卡塔赫纳生物安全议定书》</w:t>
      </w:r>
      <w:r w:rsidRPr="00AF78A8">
        <w:rPr>
          <w:b w:val="0"/>
          <w:bCs/>
          <w:sz w:val="24"/>
          <w:szCs w:val="24"/>
          <w:vertAlign w:val="superscript"/>
          <w:lang w:eastAsia="zh-CN"/>
        </w:rPr>
        <w:footnoteReference w:id="4"/>
      </w:r>
      <w:r w:rsidRPr="00AF78A8">
        <w:rPr>
          <w:rFonts w:hint="eastAsia"/>
          <w:b w:val="0"/>
          <w:bCs/>
          <w:sz w:val="24"/>
          <w:szCs w:val="24"/>
          <w:lang w:eastAsia="zh-CN"/>
        </w:rPr>
        <w:t>附件三，就</w:t>
      </w:r>
      <w:r w:rsidRPr="00AF78A8">
        <w:rPr>
          <w:rFonts w:hint="eastAsia"/>
          <w:b w:val="0"/>
          <w:bCs/>
          <w:sz w:val="24"/>
          <w:szCs w:val="24"/>
          <w:lang w:eastAsia="zh-CN"/>
        </w:rPr>
        <w:t>[</w:t>
      </w:r>
      <w:r w:rsidRPr="00AF78A8">
        <w:rPr>
          <w:rFonts w:hint="eastAsia"/>
          <w:b w:val="0"/>
          <w:bCs/>
          <w:sz w:val="24"/>
          <w:szCs w:val="24"/>
          <w:lang w:eastAsia="zh-CN"/>
        </w:rPr>
        <w:t>改性活藻类、</w:t>
      </w:r>
      <w:r w:rsidRPr="00AF78A8">
        <w:rPr>
          <w:rFonts w:hint="eastAsia"/>
          <w:b w:val="0"/>
          <w:bCs/>
          <w:sz w:val="24"/>
          <w:szCs w:val="24"/>
          <w:lang w:eastAsia="zh-CN"/>
        </w:rPr>
        <w:t>][</w:t>
      </w:r>
      <w:r w:rsidRPr="00AF78A8">
        <w:rPr>
          <w:rFonts w:hint="eastAsia"/>
          <w:b w:val="0"/>
          <w:bCs/>
          <w:sz w:val="24"/>
          <w:szCs w:val="24"/>
          <w:lang w:eastAsia="zh-CN"/>
        </w:rPr>
        <w:t>改性活鱼类、</w:t>
      </w:r>
      <w:r w:rsidRPr="00AF78A8">
        <w:rPr>
          <w:rFonts w:hint="eastAsia"/>
          <w:b w:val="0"/>
          <w:bCs/>
          <w:sz w:val="24"/>
          <w:szCs w:val="24"/>
          <w:lang w:eastAsia="zh-CN"/>
        </w:rPr>
        <w:t>][</w:t>
      </w:r>
      <w:r w:rsidRPr="00AF78A8">
        <w:rPr>
          <w:rFonts w:hint="eastAsia"/>
          <w:b w:val="0"/>
          <w:bCs/>
          <w:sz w:val="24"/>
          <w:szCs w:val="24"/>
          <w:lang w:eastAsia="zh-CN"/>
        </w:rPr>
        <w:t>改质活微生物、</w:t>
      </w:r>
      <w:r w:rsidRPr="00AF78A8">
        <w:rPr>
          <w:rFonts w:hint="eastAsia"/>
          <w:b w:val="0"/>
          <w:bCs/>
          <w:sz w:val="24"/>
          <w:szCs w:val="24"/>
          <w:lang w:eastAsia="zh-CN"/>
        </w:rPr>
        <w:t>][</w:t>
      </w:r>
      <w:r w:rsidR="00AF78A8" w:rsidRPr="00AF78A8">
        <w:rPr>
          <w:rFonts w:hint="eastAsia"/>
          <w:b w:val="0"/>
          <w:bCs/>
          <w:sz w:val="24"/>
          <w:szCs w:val="24"/>
          <w:lang w:eastAsia="zh-CN"/>
        </w:rPr>
        <w:t xml:space="preserve"> </w:t>
      </w:r>
      <w:r w:rsidR="00AF78A8" w:rsidRPr="00AF78A8">
        <w:rPr>
          <w:rFonts w:hint="eastAsia"/>
          <w:b w:val="0"/>
          <w:bCs/>
          <w:sz w:val="24"/>
          <w:szCs w:val="24"/>
          <w:lang w:eastAsia="zh-CN"/>
        </w:rPr>
        <w:t>表达用于害虫或病原体控制的基因组编辑机制的改性活生物体</w:t>
      </w:r>
      <w:r w:rsidRPr="00AF78A8">
        <w:rPr>
          <w:rFonts w:hint="eastAsia"/>
          <w:b w:val="0"/>
          <w:bCs/>
          <w:sz w:val="24"/>
          <w:szCs w:val="24"/>
          <w:lang w:eastAsia="zh-CN"/>
        </w:rPr>
        <w:t>、</w:t>
      </w:r>
      <w:r w:rsidRPr="00AF78A8">
        <w:rPr>
          <w:rFonts w:hint="eastAsia"/>
          <w:b w:val="0"/>
          <w:bCs/>
          <w:sz w:val="24"/>
          <w:szCs w:val="24"/>
          <w:lang w:eastAsia="zh-CN"/>
        </w:rPr>
        <w:t>][</w:t>
      </w:r>
      <w:r w:rsidRPr="00AF78A8">
        <w:rPr>
          <w:rFonts w:hint="eastAsia"/>
          <w:b w:val="0"/>
          <w:bCs/>
          <w:sz w:val="24"/>
          <w:szCs w:val="24"/>
          <w:lang w:eastAsia="zh-CN"/>
        </w:rPr>
        <w:t>遗传结构和改性活生物的长期和累积效应、</w:t>
      </w:r>
      <w:r w:rsidRPr="00AF78A8">
        <w:rPr>
          <w:rFonts w:hint="eastAsia"/>
          <w:b w:val="0"/>
          <w:bCs/>
          <w:sz w:val="24"/>
          <w:szCs w:val="24"/>
          <w:lang w:eastAsia="zh-CN"/>
        </w:rPr>
        <w:t>][</w:t>
      </w:r>
      <w:r w:rsidRPr="00AF78A8">
        <w:rPr>
          <w:rFonts w:hint="eastAsia"/>
          <w:b w:val="0"/>
          <w:bCs/>
          <w:sz w:val="24"/>
          <w:szCs w:val="24"/>
          <w:lang w:eastAsia="zh-CN"/>
        </w:rPr>
        <w:t>将保护目标</w:t>
      </w:r>
      <w:r w:rsidR="00634F0E" w:rsidRPr="00AF78A8">
        <w:rPr>
          <w:rFonts w:hint="eastAsia"/>
          <w:b w:val="0"/>
          <w:bCs/>
          <w:sz w:val="24"/>
          <w:szCs w:val="24"/>
          <w:lang w:eastAsia="zh-CN"/>
        </w:rPr>
        <w:t>转化为</w:t>
      </w:r>
      <w:r w:rsidRPr="00AF78A8">
        <w:rPr>
          <w:rFonts w:hint="eastAsia"/>
          <w:b w:val="0"/>
          <w:bCs/>
          <w:sz w:val="24"/>
          <w:szCs w:val="24"/>
          <w:lang w:eastAsia="zh-CN"/>
        </w:rPr>
        <w:t>相关评估和测量终点、</w:t>
      </w:r>
      <w:r w:rsidRPr="00AF78A8">
        <w:rPr>
          <w:rFonts w:hint="eastAsia"/>
          <w:b w:val="0"/>
          <w:bCs/>
          <w:sz w:val="24"/>
          <w:szCs w:val="24"/>
          <w:lang w:eastAsia="zh-CN"/>
        </w:rPr>
        <w:t>][</w:t>
      </w:r>
      <w:r w:rsidRPr="00AF78A8">
        <w:rPr>
          <w:rFonts w:hint="eastAsia"/>
          <w:b w:val="0"/>
          <w:bCs/>
          <w:sz w:val="24"/>
          <w:szCs w:val="24"/>
          <w:lang w:eastAsia="zh-CN"/>
        </w:rPr>
        <w:t>在原产地和传统农业系统中使用改性活</w:t>
      </w:r>
      <w:r w:rsidR="007004C8" w:rsidRPr="00AF78A8">
        <w:rPr>
          <w:rFonts w:hint="eastAsia"/>
          <w:b w:val="0"/>
          <w:bCs/>
          <w:sz w:val="24"/>
          <w:szCs w:val="24"/>
          <w:lang w:eastAsia="zh-CN"/>
        </w:rPr>
        <w:t>生物</w:t>
      </w:r>
      <w:r w:rsidRPr="00AF78A8">
        <w:rPr>
          <w:rFonts w:hint="eastAsia"/>
          <w:b w:val="0"/>
          <w:bCs/>
          <w:sz w:val="24"/>
          <w:szCs w:val="24"/>
          <w:lang w:eastAsia="zh-CN"/>
        </w:rPr>
        <w:t>体</w:t>
      </w:r>
      <w:r w:rsidRPr="00AF78A8">
        <w:rPr>
          <w:rFonts w:hint="eastAsia"/>
          <w:b w:val="0"/>
          <w:bCs/>
          <w:sz w:val="24"/>
          <w:szCs w:val="24"/>
          <w:lang w:eastAsia="zh-CN"/>
        </w:rPr>
        <w:t>]</w:t>
      </w:r>
      <w:r w:rsidRPr="00AF78A8">
        <w:rPr>
          <w:rFonts w:hint="eastAsia"/>
          <w:b w:val="0"/>
          <w:bCs/>
          <w:sz w:val="24"/>
          <w:szCs w:val="24"/>
          <w:lang w:eastAsia="zh-CN"/>
        </w:rPr>
        <w:t>等主题，最多再编制两份自愿指导材料，同时避免与现有指导材料重复，并酌情补充现有指导材料；</w:t>
      </w:r>
      <w:r w:rsidRPr="00AF78A8">
        <w:rPr>
          <w:rFonts w:hint="eastAsia"/>
          <w:b w:val="0"/>
          <w:bCs/>
          <w:sz w:val="24"/>
          <w:szCs w:val="24"/>
          <w:lang w:eastAsia="zh-CN"/>
        </w:rPr>
        <w:t>]</w:t>
      </w:r>
    </w:p>
    <w:p w14:paraId="4DB14E29" w14:textId="06F8CB87"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u w:val="single"/>
          <w:lang w:eastAsia="zh-CN"/>
        </w:rPr>
      </w:pPr>
      <w:r w:rsidRPr="00DD792C">
        <w:rPr>
          <w:b w:val="0"/>
          <w:bCs/>
          <w:sz w:val="24"/>
          <w:lang w:eastAsia="zh-CN"/>
        </w:rPr>
        <w:lastRenderedPageBreak/>
        <w:t>[3</w:t>
      </w:r>
      <w:r w:rsidRPr="00DD792C">
        <w:rPr>
          <w:b w:val="0"/>
          <w:bCs/>
          <w:i/>
          <w:iCs/>
          <w:sz w:val="24"/>
          <w:lang w:eastAsia="zh-CN"/>
        </w:rPr>
        <w:t>.</w:t>
      </w:r>
      <w:r w:rsidRPr="00DD792C">
        <w:rPr>
          <w:rFonts w:hint="eastAsia"/>
          <w:b w:val="0"/>
          <w:bCs/>
          <w:i/>
          <w:iCs/>
          <w:sz w:val="24"/>
          <w:lang w:eastAsia="zh-CN"/>
        </w:rPr>
        <w:t xml:space="preserve">    </w:t>
      </w:r>
      <w:r>
        <w:rPr>
          <w:rFonts w:ascii="KaiTi" w:eastAsia="KaiTi" w:hAnsi="KaiTi" w:hint="eastAsia"/>
          <w:b w:val="0"/>
          <w:bCs/>
          <w:sz w:val="24"/>
          <w:lang w:eastAsia="zh-CN"/>
        </w:rPr>
        <w:t>又</w:t>
      </w:r>
      <w:r w:rsidRPr="00DD792C">
        <w:rPr>
          <w:rFonts w:ascii="KaiTi" w:eastAsia="KaiTi" w:hAnsi="KaiTi" w:hint="eastAsia"/>
          <w:b w:val="0"/>
          <w:bCs/>
          <w:sz w:val="24"/>
          <w:lang w:eastAsia="zh-CN"/>
        </w:rPr>
        <w:t>决定</w:t>
      </w:r>
      <w:r w:rsidR="00AF78A8" w:rsidRPr="00DD792C">
        <w:rPr>
          <w:rFonts w:hint="eastAsia"/>
          <w:b w:val="0"/>
          <w:bCs/>
          <w:sz w:val="24"/>
          <w:lang w:eastAsia="zh-CN"/>
        </w:rPr>
        <w:t>利用关于这一专题的现有信息、方法和指导材料，包括根据《卡塔赫纳议定书》编制的信息、方法及指导材料，如《生物安全技术丛书</w:t>
      </w:r>
      <w:r w:rsidR="00AF78A8" w:rsidRPr="00DD792C">
        <w:rPr>
          <w:rFonts w:hint="eastAsia"/>
          <w:b w:val="0"/>
          <w:bCs/>
          <w:sz w:val="24"/>
          <w:lang w:eastAsia="zh-CN"/>
        </w:rPr>
        <w:t>07</w:t>
      </w:r>
      <w:r w:rsidR="00AF78A8" w:rsidRPr="00DD792C">
        <w:rPr>
          <w:rFonts w:hint="eastAsia"/>
          <w:b w:val="0"/>
          <w:bCs/>
          <w:sz w:val="24"/>
          <w:lang w:eastAsia="zh-CN"/>
        </w:rPr>
        <w:t>》</w:t>
      </w:r>
      <w:r w:rsidR="00AF78A8">
        <w:rPr>
          <w:rFonts w:hint="eastAsia"/>
          <w:b w:val="0"/>
          <w:bCs/>
          <w:sz w:val="24"/>
          <w:lang w:eastAsia="zh-CN"/>
        </w:rPr>
        <w:t>，</w:t>
      </w:r>
      <w:r w:rsidRPr="00DD792C">
        <w:rPr>
          <w:rFonts w:hint="eastAsia"/>
          <w:b w:val="0"/>
          <w:bCs/>
          <w:sz w:val="24"/>
          <w:lang w:eastAsia="zh-CN"/>
        </w:rPr>
        <w:t>扩大改性活生物体风险评估和风险管理方面的能力建设工作，</w:t>
      </w:r>
      <w:r w:rsidRPr="00DD792C">
        <w:rPr>
          <w:rFonts w:hint="eastAsia"/>
          <w:b w:val="0"/>
          <w:bCs/>
          <w:sz w:val="24"/>
          <w:lang w:eastAsia="zh-CN"/>
        </w:rPr>
        <w:t>]</w:t>
      </w:r>
      <w:r w:rsidRPr="00DD792C">
        <w:rPr>
          <w:rFonts w:hint="eastAsia"/>
          <w:b w:val="0"/>
          <w:bCs/>
          <w:sz w:val="24"/>
          <w:lang w:eastAsia="zh-CN"/>
        </w:rPr>
        <w:t>；</w:t>
      </w:r>
    </w:p>
    <w:p w14:paraId="261051AA" w14:textId="7E15165A"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DD792C">
        <w:rPr>
          <w:b w:val="0"/>
          <w:bCs/>
          <w:sz w:val="24"/>
          <w:lang w:eastAsia="zh-CN"/>
        </w:rPr>
        <w:t>[3</w:t>
      </w:r>
      <w:r w:rsidR="00AF78A8">
        <w:rPr>
          <w:rFonts w:hint="eastAsia"/>
          <w:b w:val="0"/>
          <w:bCs/>
          <w:sz w:val="24"/>
          <w:lang w:eastAsia="zh-CN"/>
        </w:rPr>
        <w:t xml:space="preserve">. </w:t>
      </w:r>
      <w:r w:rsidRPr="00DD792C">
        <w:rPr>
          <w:rFonts w:hint="eastAsia"/>
          <w:b w:val="0"/>
          <w:bCs/>
          <w:sz w:val="24"/>
          <w:lang w:eastAsia="zh-CN"/>
        </w:rPr>
        <w:t>备选案文</w:t>
      </w:r>
      <w:r w:rsidRPr="00DD792C">
        <w:rPr>
          <w:rFonts w:hint="eastAsia"/>
          <w:b w:val="0"/>
          <w:bCs/>
          <w:sz w:val="24"/>
          <w:lang w:eastAsia="zh-CN"/>
        </w:rPr>
        <w:t xml:space="preserve"> </w:t>
      </w:r>
      <w:r w:rsidR="00472526">
        <w:rPr>
          <w:rFonts w:ascii="KaiTi" w:eastAsia="KaiTi" w:hAnsi="KaiTi" w:hint="eastAsia"/>
          <w:b w:val="0"/>
          <w:bCs/>
          <w:sz w:val="24"/>
          <w:lang w:eastAsia="zh-CN"/>
        </w:rPr>
        <w:t>又</w:t>
      </w:r>
      <w:r w:rsidRPr="00DD792C">
        <w:rPr>
          <w:rFonts w:ascii="KaiTi" w:eastAsia="KaiTi" w:hAnsi="KaiTi" w:hint="eastAsia"/>
          <w:b w:val="0"/>
          <w:bCs/>
          <w:sz w:val="24"/>
          <w:lang w:eastAsia="zh-CN"/>
        </w:rPr>
        <w:t>决定</w:t>
      </w:r>
      <w:r w:rsidRPr="00DD792C">
        <w:rPr>
          <w:rFonts w:hint="eastAsia"/>
          <w:b w:val="0"/>
          <w:bCs/>
          <w:sz w:val="24"/>
          <w:lang w:eastAsia="zh-CN"/>
        </w:rPr>
        <w:t>利用现有信息、指导材料和《生物安全技术丛书</w:t>
      </w:r>
      <w:r w:rsidRPr="00DD792C">
        <w:rPr>
          <w:rFonts w:hint="eastAsia"/>
          <w:b w:val="0"/>
          <w:bCs/>
          <w:sz w:val="24"/>
          <w:lang w:eastAsia="zh-CN"/>
        </w:rPr>
        <w:t>07</w:t>
      </w:r>
      <w:r w:rsidRPr="00DD792C">
        <w:rPr>
          <w:rFonts w:hint="eastAsia"/>
          <w:b w:val="0"/>
          <w:bCs/>
          <w:sz w:val="24"/>
          <w:lang w:eastAsia="zh-CN"/>
        </w:rPr>
        <w:t>》所述的改性活生物体风险评估方法，扩大改性活生物风险评估和风险管理方面的能力建设工作；</w:t>
      </w:r>
      <w:r w:rsidRPr="00DD792C">
        <w:rPr>
          <w:rFonts w:hint="eastAsia"/>
          <w:b w:val="0"/>
          <w:bCs/>
          <w:sz w:val="24"/>
          <w:lang w:eastAsia="zh-CN"/>
        </w:rPr>
        <w:t>]</w:t>
      </w:r>
    </w:p>
    <w:p w14:paraId="5B19A745" w14:textId="77777777"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DD792C">
        <w:rPr>
          <w:b w:val="0"/>
          <w:bCs/>
          <w:sz w:val="24"/>
          <w:lang w:eastAsia="zh-CN"/>
        </w:rPr>
        <w:t>[4.</w:t>
      </w:r>
      <w:r w:rsidRPr="00DD792C">
        <w:rPr>
          <w:b w:val="0"/>
          <w:bCs/>
          <w:i/>
          <w:iCs/>
          <w:sz w:val="24"/>
          <w:lang w:eastAsia="zh-CN"/>
        </w:rPr>
        <w:tab/>
      </w:r>
      <w:r w:rsidRPr="00DD792C">
        <w:rPr>
          <w:rFonts w:ascii="KaiTi" w:eastAsia="KaiTi" w:hAnsi="KaiTi" w:hint="eastAsia"/>
          <w:b w:val="0"/>
          <w:bCs/>
          <w:sz w:val="24"/>
          <w:lang w:eastAsia="zh-CN"/>
        </w:rPr>
        <w:t>还决定</w:t>
      </w:r>
      <w:r w:rsidRPr="00DD792C">
        <w:rPr>
          <w:rFonts w:hint="eastAsia"/>
          <w:b w:val="0"/>
          <w:bCs/>
          <w:sz w:val="24"/>
          <w:lang w:eastAsia="zh-CN"/>
        </w:rPr>
        <w:t>设立一个新的风险评估特设技术专家组，其职权范围载于本决定附件；</w:t>
      </w:r>
      <w:r w:rsidRPr="00DD792C">
        <w:rPr>
          <w:rFonts w:hint="eastAsia"/>
          <w:b w:val="0"/>
          <w:bCs/>
          <w:sz w:val="24"/>
          <w:lang w:eastAsia="zh-CN"/>
        </w:rPr>
        <w:t>]</w:t>
      </w:r>
    </w:p>
    <w:p w14:paraId="0232EAF8" w14:textId="7014FBFD"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u w:val="single"/>
          <w:lang w:eastAsia="zh-CN"/>
        </w:rPr>
      </w:pPr>
      <w:r w:rsidRPr="00DD792C">
        <w:rPr>
          <w:b w:val="0"/>
          <w:bCs/>
          <w:sz w:val="24"/>
          <w:lang w:eastAsia="zh-CN"/>
        </w:rPr>
        <w:t>[5.</w:t>
      </w:r>
      <w:r w:rsidRPr="00DD792C">
        <w:rPr>
          <w:b w:val="0"/>
          <w:bCs/>
          <w:i/>
          <w:iCs/>
          <w:sz w:val="24"/>
          <w:lang w:eastAsia="zh-CN"/>
        </w:rPr>
        <w:tab/>
      </w:r>
      <w:r w:rsidRPr="00DD792C">
        <w:rPr>
          <w:rFonts w:ascii="KaiTi" w:eastAsia="KaiTi" w:hAnsi="KaiTi" w:hint="eastAsia"/>
          <w:b w:val="0"/>
          <w:bCs/>
          <w:sz w:val="24"/>
          <w:lang w:eastAsia="zh-CN"/>
        </w:rPr>
        <w:t>邀请</w:t>
      </w:r>
      <w:r w:rsidRPr="00DD792C">
        <w:rPr>
          <w:rFonts w:hint="eastAsia"/>
          <w:b w:val="0"/>
          <w:bCs/>
          <w:sz w:val="24"/>
          <w:lang w:eastAsia="zh-CN"/>
        </w:rPr>
        <w:t>缔约方、其他</w:t>
      </w:r>
      <w:r w:rsidR="00AF78A8">
        <w:rPr>
          <w:rFonts w:hint="eastAsia"/>
          <w:b w:val="0"/>
          <w:bCs/>
          <w:sz w:val="24"/>
          <w:lang w:eastAsia="zh-CN"/>
        </w:rPr>
        <w:t>国家</w:t>
      </w:r>
      <w:r w:rsidRPr="00DD792C">
        <w:rPr>
          <w:rFonts w:hint="eastAsia"/>
          <w:b w:val="0"/>
          <w:bCs/>
          <w:sz w:val="24"/>
          <w:lang w:eastAsia="zh-CN"/>
        </w:rPr>
        <w:t>政府、土著人民和地方社区、妇女、青年、学术界和相关组织提交相关信息，</w:t>
      </w:r>
      <w:r w:rsidR="00AF78A8">
        <w:rPr>
          <w:rFonts w:hint="eastAsia"/>
          <w:b w:val="0"/>
          <w:bCs/>
          <w:sz w:val="24"/>
          <w:lang w:eastAsia="zh-CN"/>
        </w:rPr>
        <w:t>例如</w:t>
      </w:r>
      <w:r w:rsidRPr="00DD792C">
        <w:rPr>
          <w:rFonts w:hint="eastAsia"/>
          <w:b w:val="0"/>
          <w:bCs/>
          <w:sz w:val="24"/>
          <w:lang w:eastAsia="zh-CN"/>
        </w:rPr>
        <w:t>国家和区域风险评估经验和选定专题风险评估的现有资源，支持风险评估特设技术专家组的工作；</w:t>
      </w:r>
      <w:r w:rsidRPr="00DD792C">
        <w:rPr>
          <w:rFonts w:hint="eastAsia"/>
          <w:b w:val="0"/>
          <w:bCs/>
          <w:sz w:val="24"/>
          <w:lang w:eastAsia="zh-CN"/>
        </w:rPr>
        <w:t>]</w:t>
      </w:r>
    </w:p>
    <w:p w14:paraId="766CEAF5" w14:textId="4468E914"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DD792C">
        <w:rPr>
          <w:b w:val="0"/>
          <w:bCs/>
          <w:sz w:val="24"/>
          <w:lang w:eastAsia="zh-CN"/>
        </w:rPr>
        <w:t>[6.</w:t>
      </w:r>
      <w:r w:rsidRPr="00DD792C">
        <w:rPr>
          <w:b w:val="0"/>
          <w:bCs/>
          <w:i/>
          <w:iCs/>
          <w:sz w:val="24"/>
          <w:lang w:eastAsia="zh-CN"/>
        </w:rPr>
        <w:tab/>
      </w:r>
      <w:r w:rsidRPr="00DD792C">
        <w:rPr>
          <w:rFonts w:ascii="KaiTi" w:eastAsia="KaiTi" w:hAnsi="KaiTi" w:hint="eastAsia"/>
          <w:b w:val="0"/>
          <w:bCs/>
          <w:sz w:val="24"/>
          <w:lang w:eastAsia="zh-CN"/>
        </w:rPr>
        <w:t>决定</w:t>
      </w:r>
      <w:r w:rsidRPr="00DD792C">
        <w:rPr>
          <w:rFonts w:hint="eastAsia"/>
          <w:b w:val="0"/>
          <w:bCs/>
          <w:sz w:val="24"/>
          <w:lang w:eastAsia="zh-CN"/>
        </w:rPr>
        <w:t>延长风险评估和风险管理不限成员名额在线论坛</w:t>
      </w:r>
      <w:r w:rsidR="00E3421A">
        <w:rPr>
          <w:rFonts w:hint="eastAsia"/>
          <w:b w:val="0"/>
          <w:bCs/>
          <w:sz w:val="24"/>
          <w:lang w:eastAsia="zh-CN"/>
        </w:rPr>
        <w:t>的期限</w:t>
      </w:r>
      <w:r w:rsidRPr="00DD792C">
        <w:rPr>
          <w:rFonts w:hint="eastAsia"/>
          <w:b w:val="0"/>
          <w:bCs/>
          <w:sz w:val="24"/>
          <w:lang w:eastAsia="zh-CN"/>
        </w:rPr>
        <w:t>，以支持风险评估特设技术专家组的工作；</w:t>
      </w:r>
      <w:r w:rsidRPr="00DD792C">
        <w:rPr>
          <w:rFonts w:hint="eastAsia"/>
          <w:b w:val="0"/>
          <w:bCs/>
          <w:sz w:val="24"/>
          <w:lang w:eastAsia="zh-CN"/>
        </w:rPr>
        <w:t>]</w:t>
      </w:r>
    </w:p>
    <w:p w14:paraId="4B7EA20E" w14:textId="2E3568D0"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DD792C">
        <w:rPr>
          <w:b w:val="0"/>
          <w:bCs/>
          <w:sz w:val="24"/>
          <w:lang w:eastAsia="zh-CN"/>
        </w:rPr>
        <w:t>[7.</w:t>
      </w:r>
      <w:r w:rsidRPr="00DD792C">
        <w:rPr>
          <w:b w:val="0"/>
          <w:bCs/>
          <w:i/>
          <w:iCs/>
          <w:sz w:val="24"/>
          <w:lang w:eastAsia="zh-CN"/>
        </w:rPr>
        <w:tab/>
      </w:r>
      <w:r w:rsidR="00472526" w:rsidRPr="00472526">
        <w:rPr>
          <w:rFonts w:ascii="KaiTi" w:eastAsia="KaiTi" w:hAnsi="KaiTi" w:hint="eastAsia"/>
          <w:b w:val="0"/>
          <w:bCs/>
          <w:sz w:val="24"/>
          <w:lang w:eastAsia="zh-CN"/>
        </w:rPr>
        <w:t>又</w:t>
      </w:r>
      <w:r w:rsidRPr="00DD792C">
        <w:rPr>
          <w:rFonts w:ascii="KaiTi" w:eastAsia="KaiTi" w:hAnsi="KaiTi" w:hint="eastAsia"/>
          <w:b w:val="0"/>
          <w:bCs/>
          <w:sz w:val="24"/>
          <w:lang w:eastAsia="zh-CN"/>
        </w:rPr>
        <w:t>决定</w:t>
      </w:r>
      <w:r w:rsidR="00EA25ED">
        <w:rPr>
          <w:rFonts w:hint="eastAsia"/>
          <w:b w:val="0"/>
          <w:bCs/>
          <w:sz w:val="24"/>
          <w:lang w:eastAsia="zh-CN"/>
        </w:rPr>
        <w:t>延续</w:t>
      </w:r>
      <w:r w:rsidR="00EA25ED" w:rsidRPr="00DD792C">
        <w:rPr>
          <w:rFonts w:hint="eastAsia"/>
          <w:b w:val="0"/>
          <w:bCs/>
          <w:sz w:val="24"/>
          <w:lang w:eastAsia="zh-CN"/>
        </w:rPr>
        <w:t>第</w:t>
      </w:r>
      <w:hyperlink r:id="rId17" w:history="1">
        <w:r w:rsidR="00EA25ED" w:rsidRPr="00A25CD3">
          <w:rPr>
            <w:rStyle w:val="Hyperlink"/>
            <w:rFonts w:hint="eastAsia"/>
            <w:b w:val="0"/>
            <w:bCs/>
            <w:sz w:val="24"/>
            <w:lang w:eastAsia="zh-CN"/>
          </w:rPr>
          <w:t>CP-9/13</w:t>
        </w:r>
      </w:hyperlink>
      <w:r w:rsidR="00EA25ED" w:rsidRPr="00DD792C">
        <w:rPr>
          <w:rFonts w:hint="eastAsia"/>
          <w:b w:val="0"/>
          <w:bCs/>
          <w:sz w:val="24"/>
          <w:lang w:eastAsia="zh-CN"/>
        </w:rPr>
        <w:t>号决定为确定可能需要审议的改性活生物体风险评估具体问题并确定其优先次序而</w:t>
      </w:r>
      <w:r w:rsidR="00EA25ED">
        <w:rPr>
          <w:rFonts w:hint="eastAsia"/>
          <w:b w:val="0"/>
          <w:bCs/>
          <w:sz w:val="24"/>
          <w:lang w:eastAsia="zh-CN"/>
        </w:rPr>
        <w:t>建立</w:t>
      </w:r>
      <w:r w:rsidR="00EA25ED" w:rsidRPr="00DD792C">
        <w:rPr>
          <w:rFonts w:hint="eastAsia"/>
          <w:b w:val="0"/>
          <w:bCs/>
          <w:sz w:val="24"/>
          <w:lang w:eastAsia="zh-CN"/>
        </w:rPr>
        <w:t>的进程</w:t>
      </w:r>
      <w:r w:rsidR="00EA25ED">
        <w:rPr>
          <w:rFonts w:hint="eastAsia"/>
          <w:b w:val="0"/>
          <w:bCs/>
          <w:sz w:val="24"/>
          <w:lang w:eastAsia="zh-CN"/>
        </w:rPr>
        <w:t>，</w:t>
      </w:r>
      <w:r w:rsidRPr="00DD792C">
        <w:rPr>
          <w:rFonts w:hint="eastAsia"/>
          <w:b w:val="0"/>
          <w:bCs/>
          <w:sz w:val="24"/>
          <w:lang w:eastAsia="zh-CN"/>
        </w:rPr>
        <w:t>在其第十三次会议上审议可能需要风险评估指导材料的其他问题，同时考虑到缔约方确定的优先事项，包括其国家报告中确定的优先次序以及风险评估特设技术专家组</w:t>
      </w:r>
      <w:r w:rsidR="00051DDF" w:rsidRPr="00DD792C">
        <w:rPr>
          <w:rFonts w:hint="eastAsia"/>
          <w:b w:val="0"/>
          <w:bCs/>
          <w:sz w:val="24"/>
          <w:lang w:eastAsia="zh-CN"/>
        </w:rPr>
        <w:t>确定的专题</w:t>
      </w:r>
      <w:r w:rsidRPr="00DD792C">
        <w:rPr>
          <w:b w:val="0"/>
          <w:bCs/>
          <w:sz w:val="24"/>
          <w:vertAlign w:val="superscript"/>
          <w:lang w:eastAsia="zh-CN"/>
        </w:rPr>
        <w:footnoteReference w:id="5"/>
      </w:r>
      <w:r w:rsidRPr="00DD792C">
        <w:rPr>
          <w:rFonts w:hint="eastAsia"/>
          <w:b w:val="0"/>
          <w:bCs/>
          <w:sz w:val="24"/>
          <w:lang w:eastAsia="zh-CN"/>
        </w:rPr>
        <w:t>；</w:t>
      </w:r>
      <w:r w:rsidRPr="00DD792C">
        <w:rPr>
          <w:rFonts w:hint="eastAsia"/>
          <w:b w:val="0"/>
          <w:bCs/>
          <w:sz w:val="24"/>
          <w:lang w:eastAsia="zh-CN"/>
        </w:rPr>
        <w:t>]</w:t>
      </w:r>
    </w:p>
    <w:p w14:paraId="7830FE02" w14:textId="55E8AA9C" w:rsidR="00DD792C" w:rsidRPr="00DD792C" w:rsidRDefault="00DD792C" w:rsidP="00DD792C">
      <w:pPr>
        <w:pStyle w:val="CBDSubTitle"/>
        <w:keepNext w:val="0"/>
        <w:tabs>
          <w:tab w:val="clear" w:pos="567"/>
          <w:tab w:val="clear" w:pos="1134"/>
          <w:tab w:val="clear" w:pos="1701"/>
          <w:tab w:val="clear" w:pos="2268"/>
          <w:tab w:val="clear" w:pos="2835"/>
          <w:tab w:val="clear" w:pos="3402"/>
        </w:tabs>
        <w:spacing w:before="120" w:after="120"/>
        <w:ind w:left="979" w:firstLine="490"/>
        <w:rPr>
          <w:color w:val="EE0000"/>
          <w:sz w:val="24"/>
          <w:lang w:eastAsia="zh-CN"/>
        </w:rPr>
      </w:pPr>
      <w:r w:rsidRPr="00DD792C">
        <w:rPr>
          <w:b w:val="0"/>
          <w:bCs/>
          <w:sz w:val="24"/>
          <w:lang w:eastAsia="zh-CN"/>
        </w:rPr>
        <w:t>[8.</w:t>
      </w:r>
      <w:r w:rsidRPr="00DD792C">
        <w:rPr>
          <w:b w:val="0"/>
          <w:bCs/>
          <w:sz w:val="24"/>
          <w:lang w:eastAsia="zh-CN"/>
        </w:rPr>
        <w:tab/>
      </w:r>
      <w:r w:rsidRPr="00472526">
        <w:rPr>
          <w:rFonts w:ascii="KaiTi" w:eastAsia="KaiTi" w:hAnsi="KaiTi" w:hint="eastAsia"/>
          <w:b w:val="0"/>
          <w:bCs/>
          <w:sz w:val="24"/>
          <w:lang w:eastAsia="zh-CN"/>
        </w:rPr>
        <w:t>请</w:t>
      </w:r>
      <w:r w:rsidRPr="00DD792C">
        <w:rPr>
          <w:rFonts w:hint="eastAsia"/>
          <w:b w:val="0"/>
          <w:bCs/>
          <w:sz w:val="24"/>
          <w:lang w:eastAsia="zh-CN"/>
        </w:rPr>
        <w:t>缔约方、其他国家政府、土著人民和地方社区、妇女、青年和相关组织提交资料，说明在执行《卡塔赫纳议定书》第</w:t>
      </w:r>
      <w:hyperlink r:id="rId18" w:history="1">
        <w:r w:rsidRPr="00A25CD3">
          <w:rPr>
            <w:rStyle w:val="Hyperlink"/>
            <w:rFonts w:hint="eastAsia"/>
            <w:b w:val="0"/>
            <w:bCs/>
            <w:sz w:val="24"/>
            <w:lang w:eastAsia="zh-CN"/>
          </w:rPr>
          <w:t>13</w:t>
        </w:r>
      </w:hyperlink>
      <w:r w:rsidRPr="00DD792C">
        <w:rPr>
          <w:rFonts w:hint="eastAsia"/>
          <w:b w:val="0"/>
          <w:bCs/>
          <w:sz w:val="24"/>
          <w:lang w:eastAsia="zh-CN"/>
        </w:rPr>
        <w:t>条规定的简化程序</w:t>
      </w:r>
      <w:r w:rsidR="00EA25ED">
        <w:rPr>
          <w:rFonts w:hint="eastAsia"/>
          <w:b w:val="0"/>
          <w:bCs/>
          <w:sz w:val="24"/>
          <w:lang w:eastAsia="zh-CN"/>
        </w:rPr>
        <w:t>和</w:t>
      </w:r>
      <w:r w:rsidRPr="00DD792C">
        <w:rPr>
          <w:rFonts w:hint="eastAsia"/>
          <w:b w:val="0"/>
          <w:bCs/>
          <w:sz w:val="24"/>
          <w:lang w:eastAsia="zh-CN"/>
        </w:rPr>
        <w:t>《议定书》第</w:t>
      </w:r>
      <w:hyperlink r:id="rId19" w:history="1">
        <w:r w:rsidRPr="00A25CD3">
          <w:rPr>
            <w:rStyle w:val="Hyperlink"/>
            <w:rFonts w:hint="eastAsia"/>
            <w:b w:val="0"/>
            <w:bCs/>
            <w:sz w:val="24"/>
            <w:lang w:eastAsia="zh-CN"/>
          </w:rPr>
          <w:t>14</w:t>
        </w:r>
      </w:hyperlink>
      <w:r w:rsidRPr="00DD792C">
        <w:rPr>
          <w:rFonts w:hint="eastAsia"/>
          <w:b w:val="0"/>
          <w:bCs/>
          <w:sz w:val="24"/>
          <w:lang w:eastAsia="zh-CN"/>
        </w:rPr>
        <w:t>条规定的双边、区域和多边协定和安排方面的经验，并说明改性活生物体风险评估数据的可移植性</w:t>
      </w:r>
      <w:r w:rsidRPr="00DD792C">
        <w:rPr>
          <w:rFonts w:hint="eastAsia"/>
          <w:b w:val="0"/>
          <w:bCs/>
          <w:sz w:val="24"/>
          <w:lang w:eastAsia="zh-CN"/>
        </w:rPr>
        <w:t>[</w:t>
      </w:r>
      <w:r w:rsidRPr="00DD792C">
        <w:rPr>
          <w:rFonts w:hint="eastAsia"/>
          <w:b w:val="0"/>
          <w:bCs/>
          <w:sz w:val="24"/>
          <w:lang w:eastAsia="zh-CN"/>
        </w:rPr>
        <w:t>，同时认识到接受</w:t>
      </w:r>
      <w:r w:rsidR="00A25CD3">
        <w:rPr>
          <w:rFonts w:hint="eastAsia"/>
          <w:b w:val="0"/>
          <w:bCs/>
          <w:sz w:val="24"/>
          <w:lang w:eastAsia="zh-CN"/>
        </w:rPr>
        <w:t>其他国家</w:t>
      </w:r>
      <w:r w:rsidRPr="00DD792C">
        <w:rPr>
          <w:rFonts w:hint="eastAsia"/>
          <w:b w:val="0"/>
          <w:bCs/>
          <w:sz w:val="24"/>
          <w:lang w:eastAsia="zh-CN"/>
        </w:rPr>
        <w:t>风险评估数据应经过国家对生态相关性和可比性的评估和确认</w:t>
      </w:r>
      <w:r w:rsidRPr="00DD792C">
        <w:rPr>
          <w:rFonts w:hint="eastAsia"/>
          <w:b w:val="0"/>
          <w:bCs/>
          <w:sz w:val="24"/>
          <w:lang w:eastAsia="zh-CN"/>
        </w:rPr>
        <w:t>]</w:t>
      </w:r>
      <w:r w:rsidRPr="00DD792C">
        <w:rPr>
          <w:rFonts w:hint="eastAsia"/>
          <w:b w:val="0"/>
          <w:bCs/>
          <w:sz w:val="24"/>
          <w:lang w:eastAsia="zh-CN"/>
        </w:rPr>
        <w:t>；</w:t>
      </w:r>
      <w:r w:rsidRPr="00DD792C">
        <w:rPr>
          <w:rFonts w:hint="eastAsia"/>
          <w:b w:val="0"/>
          <w:bCs/>
          <w:sz w:val="24"/>
          <w:lang w:eastAsia="zh-CN"/>
        </w:rPr>
        <w:t>]</w:t>
      </w:r>
    </w:p>
    <w:p w14:paraId="77FA1DA0" w14:textId="77777777" w:rsidR="006B0264" w:rsidRPr="008B0455" w:rsidRDefault="006B0264" w:rsidP="006B0264">
      <w:pPr>
        <w:tabs>
          <w:tab w:val="clear" w:pos="567"/>
          <w:tab w:val="clear" w:pos="1134"/>
          <w:tab w:val="clear" w:pos="1701"/>
          <w:tab w:val="clear" w:pos="2268"/>
        </w:tabs>
        <w:spacing w:after="120"/>
        <w:ind w:left="979" w:firstLine="490"/>
        <w:rPr>
          <w:sz w:val="24"/>
          <w:szCs w:val="24"/>
          <w:lang w:eastAsia="zh-CN"/>
        </w:rPr>
      </w:pPr>
      <w:r w:rsidRPr="008B0455">
        <w:rPr>
          <w:sz w:val="24"/>
          <w:szCs w:val="24"/>
          <w:lang w:eastAsia="zh-CN"/>
        </w:rPr>
        <w:t>[9.</w:t>
      </w:r>
      <w:r w:rsidRPr="008B0455">
        <w:rPr>
          <w:sz w:val="24"/>
          <w:szCs w:val="24"/>
          <w:lang w:eastAsia="zh-CN"/>
        </w:rPr>
        <w:tab/>
      </w:r>
      <w:r w:rsidRPr="008B0455">
        <w:rPr>
          <w:rFonts w:ascii="KaiTi" w:eastAsia="KaiTi" w:hAnsi="KaiTi" w:hint="eastAsia"/>
          <w:bCs/>
          <w:sz w:val="24"/>
          <w:szCs w:val="24"/>
          <w:lang w:eastAsia="zh-CN"/>
        </w:rPr>
        <w:t>决定</w:t>
      </w:r>
      <w:r w:rsidRPr="008B0455">
        <w:rPr>
          <w:rFonts w:hint="eastAsia"/>
          <w:sz w:val="24"/>
          <w:szCs w:val="24"/>
          <w:lang w:eastAsia="zh-CN"/>
        </w:rPr>
        <w:t>在第十三次会议上审议根据上文第</w:t>
      </w:r>
      <w:r w:rsidRPr="008B0455">
        <w:rPr>
          <w:rFonts w:hint="eastAsia"/>
          <w:sz w:val="24"/>
          <w:szCs w:val="24"/>
          <w:lang w:eastAsia="zh-CN"/>
        </w:rPr>
        <w:t>8</w:t>
      </w:r>
      <w:r w:rsidRPr="008B0455">
        <w:rPr>
          <w:rFonts w:hint="eastAsia"/>
          <w:sz w:val="24"/>
          <w:szCs w:val="24"/>
          <w:lang w:eastAsia="zh-CN"/>
        </w:rPr>
        <w:t>段提交的信息；</w:t>
      </w:r>
      <w:r w:rsidRPr="008B0455">
        <w:rPr>
          <w:sz w:val="24"/>
          <w:szCs w:val="24"/>
          <w:lang w:eastAsia="zh-CN"/>
        </w:rPr>
        <w:t>]</w:t>
      </w:r>
    </w:p>
    <w:p w14:paraId="514F8C05" w14:textId="55F8DAC6" w:rsidR="006B0264" w:rsidRPr="008B0455" w:rsidRDefault="006B0264" w:rsidP="006B0264">
      <w:pPr>
        <w:tabs>
          <w:tab w:val="clear" w:pos="567"/>
          <w:tab w:val="clear" w:pos="1134"/>
          <w:tab w:val="clear" w:pos="1701"/>
          <w:tab w:val="clear" w:pos="2268"/>
        </w:tabs>
        <w:spacing w:after="120"/>
        <w:ind w:left="979" w:firstLine="490"/>
        <w:rPr>
          <w:sz w:val="24"/>
          <w:szCs w:val="24"/>
          <w:lang w:eastAsia="zh-CN"/>
        </w:rPr>
      </w:pPr>
      <w:r w:rsidRPr="008B0455">
        <w:rPr>
          <w:sz w:val="24"/>
          <w:szCs w:val="24"/>
          <w:lang w:eastAsia="zh-CN"/>
        </w:rPr>
        <w:t>10.</w:t>
      </w:r>
      <w:r w:rsidRPr="008B0455">
        <w:rPr>
          <w:sz w:val="24"/>
          <w:szCs w:val="24"/>
          <w:lang w:eastAsia="zh-CN"/>
        </w:rPr>
        <w:tab/>
      </w:r>
      <w:r w:rsidRPr="008B0455">
        <w:rPr>
          <w:rFonts w:ascii="KaiTi" w:eastAsia="KaiTi" w:hAnsi="KaiTi" w:hint="eastAsia"/>
          <w:bCs/>
          <w:sz w:val="24"/>
          <w:szCs w:val="24"/>
          <w:lang w:eastAsia="zh-CN"/>
        </w:rPr>
        <w:t>敦促</w:t>
      </w:r>
      <w:r w:rsidRPr="008B0455">
        <w:rPr>
          <w:rFonts w:hint="eastAsia"/>
          <w:sz w:val="24"/>
          <w:szCs w:val="24"/>
          <w:lang w:eastAsia="zh-CN"/>
        </w:rPr>
        <w:t>缔约方，并邀请其他</w:t>
      </w:r>
      <w:r w:rsidR="00EA25ED" w:rsidRPr="008B0455">
        <w:rPr>
          <w:rFonts w:hint="eastAsia"/>
          <w:sz w:val="24"/>
          <w:szCs w:val="24"/>
          <w:lang w:eastAsia="zh-CN"/>
        </w:rPr>
        <w:t>国家</w:t>
      </w:r>
      <w:r w:rsidRPr="008B0455">
        <w:rPr>
          <w:rFonts w:hint="eastAsia"/>
          <w:sz w:val="24"/>
          <w:szCs w:val="24"/>
          <w:lang w:eastAsia="zh-CN"/>
        </w:rPr>
        <w:t>政府、土著人民和地方社区、妇女、青年和相关组织开展广泛的国际合作，特别是通过生物安全信息</w:t>
      </w:r>
      <w:r w:rsidRPr="008B0455">
        <w:rPr>
          <w:sz w:val="24"/>
          <w:szCs w:val="24"/>
          <w:lang w:val="en-US" w:eastAsia="zh-CN"/>
        </w:rPr>
        <w:t>交换所</w:t>
      </w:r>
      <w:r w:rsidRPr="008B0455">
        <w:rPr>
          <w:rFonts w:hint="eastAsia"/>
          <w:sz w:val="24"/>
          <w:szCs w:val="24"/>
          <w:lang w:eastAsia="zh-CN"/>
        </w:rPr>
        <w:t>，交流风险评估方面的信息和经验，促进就</w:t>
      </w:r>
      <w:r w:rsidRPr="008B0455">
        <w:rPr>
          <w:rFonts w:hint="eastAsia"/>
          <w:sz w:val="24"/>
          <w:szCs w:val="24"/>
          <w:lang w:eastAsia="zh-CN"/>
        </w:rPr>
        <w:t>[</w:t>
      </w:r>
      <w:r w:rsidRPr="008B0455">
        <w:rPr>
          <w:rFonts w:hint="eastAsia"/>
          <w:sz w:val="24"/>
          <w:szCs w:val="24"/>
          <w:lang w:eastAsia="zh-CN"/>
        </w:rPr>
        <w:t>风险评估问题特设技术专家组</w:t>
      </w:r>
      <w:r w:rsidRPr="008B0455">
        <w:rPr>
          <w:sz w:val="24"/>
          <w:szCs w:val="24"/>
          <w:vertAlign w:val="superscript"/>
        </w:rPr>
        <w:footnoteReference w:id="6"/>
      </w:r>
      <w:r w:rsidRPr="008B0455">
        <w:rPr>
          <w:rFonts w:hint="eastAsia"/>
          <w:sz w:val="24"/>
          <w:szCs w:val="24"/>
          <w:lang w:eastAsia="zh-CN"/>
        </w:rPr>
        <w:t>][</w:t>
      </w:r>
      <w:r w:rsidRPr="008B0455">
        <w:rPr>
          <w:sz w:val="24"/>
          <w:szCs w:val="24"/>
          <w:lang w:eastAsia="zh-CN"/>
        </w:rPr>
        <w:t>科学、技术和工艺咨询附属机构</w:t>
      </w:r>
      <w:r w:rsidRPr="008B0455">
        <w:rPr>
          <w:rFonts w:hint="eastAsia"/>
          <w:sz w:val="24"/>
          <w:szCs w:val="24"/>
          <w:lang w:eastAsia="zh-CN"/>
        </w:rPr>
        <w:t>]</w:t>
      </w:r>
      <w:r w:rsidRPr="008B0455">
        <w:rPr>
          <w:rFonts w:hint="eastAsia"/>
          <w:sz w:val="24"/>
          <w:szCs w:val="24"/>
          <w:lang w:eastAsia="zh-CN"/>
        </w:rPr>
        <w:t>优先考虑的主题开展能力建设和发展活动；</w:t>
      </w:r>
    </w:p>
    <w:p w14:paraId="73BB7042" w14:textId="2121BF73" w:rsidR="006B0264" w:rsidRPr="008B0455" w:rsidRDefault="006B0264" w:rsidP="006B0264">
      <w:pPr>
        <w:tabs>
          <w:tab w:val="clear" w:pos="567"/>
          <w:tab w:val="clear" w:pos="1134"/>
          <w:tab w:val="clear" w:pos="1701"/>
          <w:tab w:val="clear" w:pos="2268"/>
        </w:tabs>
        <w:spacing w:after="120"/>
        <w:ind w:left="979" w:firstLine="490"/>
        <w:rPr>
          <w:sz w:val="24"/>
          <w:szCs w:val="24"/>
          <w:lang w:eastAsia="zh-CN"/>
        </w:rPr>
      </w:pPr>
      <w:r w:rsidRPr="008B0455">
        <w:rPr>
          <w:sz w:val="24"/>
          <w:szCs w:val="24"/>
          <w:lang w:eastAsia="zh-CN"/>
        </w:rPr>
        <w:t>11.</w:t>
      </w:r>
      <w:r w:rsidRPr="008B0455">
        <w:rPr>
          <w:sz w:val="24"/>
          <w:szCs w:val="24"/>
          <w:lang w:eastAsia="zh-CN"/>
        </w:rPr>
        <w:tab/>
      </w:r>
      <w:r w:rsidRPr="008B0455">
        <w:rPr>
          <w:rFonts w:ascii="KaiTi" w:eastAsia="KaiTi" w:hAnsi="KaiTi" w:hint="eastAsia"/>
          <w:bCs/>
          <w:sz w:val="24"/>
          <w:szCs w:val="24"/>
          <w:lang w:eastAsia="zh-CN"/>
        </w:rPr>
        <w:t>邀请</w:t>
      </w:r>
      <w:r w:rsidRPr="008B0455">
        <w:rPr>
          <w:rFonts w:hint="eastAsia"/>
          <w:sz w:val="24"/>
          <w:szCs w:val="24"/>
          <w:lang w:eastAsia="zh-CN"/>
        </w:rPr>
        <w:t>区域和次区域</w:t>
      </w:r>
      <w:r w:rsidR="00EA25ED" w:rsidRPr="008B0455">
        <w:rPr>
          <w:rFonts w:hint="eastAsia"/>
          <w:sz w:val="24"/>
          <w:szCs w:val="24"/>
          <w:lang w:eastAsia="zh-CN"/>
        </w:rPr>
        <w:t>科技</w:t>
      </w:r>
      <w:r w:rsidRPr="008B0455">
        <w:rPr>
          <w:rFonts w:hint="eastAsia"/>
          <w:sz w:val="24"/>
          <w:szCs w:val="24"/>
          <w:lang w:eastAsia="zh-CN"/>
        </w:rPr>
        <w:t>合作支持中心</w:t>
      </w:r>
      <w:r w:rsidR="00A25CD3" w:rsidRPr="008B0455">
        <w:rPr>
          <w:sz w:val="24"/>
          <w:szCs w:val="24"/>
          <w:vertAlign w:val="superscript"/>
        </w:rPr>
        <w:footnoteReference w:id="7"/>
      </w:r>
      <w:r w:rsidRPr="008B0455">
        <w:rPr>
          <w:rFonts w:hint="eastAsia"/>
          <w:sz w:val="24"/>
          <w:szCs w:val="24"/>
          <w:lang w:eastAsia="zh-CN"/>
        </w:rPr>
        <w:t>协助缔约方满足其在风险评估和风险管理方面的需求和优先事项；</w:t>
      </w:r>
    </w:p>
    <w:p w14:paraId="78CE8903" w14:textId="77777777" w:rsidR="006B0264" w:rsidRPr="008B0455" w:rsidRDefault="006B0264" w:rsidP="006B0264">
      <w:pPr>
        <w:tabs>
          <w:tab w:val="clear" w:pos="567"/>
          <w:tab w:val="clear" w:pos="1134"/>
          <w:tab w:val="clear" w:pos="1701"/>
          <w:tab w:val="clear" w:pos="2268"/>
        </w:tabs>
        <w:spacing w:before="120" w:after="120"/>
        <w:ind w:left="979" w:firstLine="490"/>
        <w:rPr>
          <w:i/>
          <w:iCs/>
          <w:sz w:val="24"/>
          <w:szCs w:val="24"/>
          <w:lang w:eastAsia="zh-CN"/>
        </w:rPr>
      </w:pPr>
      <w:r w:rsidRPr="008B0455">
        <w:rPr>
          <w:sz w:val="24"/>
          <w:szCs w:val="24"/>
          <w:lang w:eastAsia="zh-CN"/>
        </w:rPr>
        <w:t>12.</w:t>
      </w:r>
      <w:r w:rsidRPr="008B0455">
        <w:rPr>
          <w:i/>
          <w:iCs/>
          <w:sz w:val="24"/>
          <w:szCs w:val="24"/>
          <w:lang w:eastAsia="zh-CN"/>
        </w:rPr>
        <w:tab/>
      </w:r>
      <w:r w:rsidRPr="008B0455">
        <w:rPr>
          <w:rFonts w:ascii="KaiTi" w:eastAsia="KaiTi" w:hAnsi="KaiTi"/>
          <w:bCs/>
          <w:sz w:val="24"/>
          <w:szCs w:val="24"/>
          <w:lang w:eastAsia="zh-CN"/>
        </w:rPr>
        <w:t>请</w:t>
      </w:r>
      <w:r w:rsidRPr="008B0455">
        <w:rPr>
          <w:sz w:val="24"/>
          <w:szCs w:val="24"/>
          <w:lang w:eastAsia="zh-CN"/>
        </w:rPr>
        <w:t>执行秘书在</w:t>
      </w:r>
      <w:r w:rsidRPr="008B0455">
        <w:rPr>
          <w:rFonts w:hint="eastAsia"/>
          <w:sz w:val="24"/>
          <w:szCs w:val="24"/>
          <w:lang w:eastAsia="zh-CN"/>
        </w:rPr>
        <w:t>资金允许</w:t>
      </w:r>
      <w:r w:rsidRPr="008B0455">
        <w:rPr>
          <w:sz w:val="24"/>
          <w:szCs w:val="24"/>
          <w:lang w:eastAsia="zh-CN"/>
        </w:rPr>
        <w:t>的情况下</w:t>
      </w:r>
      <w:r w:rsidRPr="008B0455">
        <w:rPr>
          <w:rFonts w:hint="eastAsia"/>
          <w:sz w:val="24"/>
          <w:szCs w:val="24"/>
          <w:lang w:eastAsia="zh-CN"/>
        </w:rPr>
        <w:t>：</w:t>
      </w:r>
    </w:p>
    <w:p w14:paraId="266B2DCE" w14:textId="5B8FE313" w:rsidR="006B0264" w:rsidRPr="00EB55FB" w:rsidRDefault="006B0264" w:rsidP="006B0264">
      <w:pPr>
        <w:tabs>
          <w:tab w:val="clear" w:pos="567"/>
          <w:tab w:val="clear" w:pos="1134"/>
          <w:tab w:val="clear" w:pos="1701"/>
          <w:tab w:val="clear" w:pos="2268"/>
        </w:tabs>
        <w:spacing w:before="120" w:after="120"/>
        <w:ind w:left="979" w:firstLine="490"/>
        <w:rPr>
          <w:lang w:eastAsia="zh-CN"/>
        </w:rPr>
      </w:pPr>
      <w:r w:rsidRPr="008B0455">
        <w:rPr>
          <w:sz w:val="24"/>
          <w:szCs w:val="24"/>
          <w:lang w:eastAsia="zh-CN"/>
        </w:rPr>
        <w:t>[(a)</w:t>
      </w:r>
      <w:r w:rsidRPr="008B0455">
        <w:rPr>
          <w:sz w:val="24"/>
          <w:szCs w:val="24"/>
          <w:lang w:eastAsia="zh-CN"/>
        </w:rPr>
        <w:tab/>
      </w:r>
      <w:r w:rsidRPr="008B0455">
        <w:rPr>
          <w:sz w:val="24"/>
          <w:szCs w:val="24"/>
          <w:lang w:eastAsia="zh-CN"/>
        </w:rPr>
        <w:t>在作为卡塔赫纳议定书缔约方会议的缔约方大会第十三次会议之前，至少召开两次风险评估</w:t>
      </w:r>
      <w:r w:rsidRPr="008B0455">
        <w:rPr>
          <w:rFonts w:hint="eastAsia"/>
          <w:sz w:val="24"/>
          <w:szCs w:val="24"/>
          <w:lang w:eastAsia="zh-CN"/>
        </w:rPr>
        <w:t>问题</w:t>
      </w:r>
      <w:r w:rsidRPr="008B0455">
        <w:rPr>
          <w:sz w:val="24"/>
          <w:szCs w:val="24"/>
          <w:lang w:eastAsia="zh-CN"/>
        </w:rPr>
        <w:t>特设技术专家组会议，其中一次面对面</w:t>
      </w:r>
      <w:r w:rsidRPr="008B0455">
        <w:rPr>
          <w:rFonts w:hint="eastAsia"/>
          <w:sz w:val="24"/>
          <w:szCs w:val="24"/>
          <w:lang w:eastAsia="zh-CN"/>
        </w:rPr>
        <w:t>召开</w:t>
      </w:r>
      <w:r w:rsidRPr="008B0455">
        <w:rPr>
          <w:sz w:val="24"/>
          <w:szCs w:val="24"/>
          <w:lang w:eastAsia="zh-CN"/>
        </w:rPr>
        <w:t>；</w:t>
      </w:r>
      <w:r w:rsidRPr="008B0455">
        <w:rPr>
          <w:sz w:val="24"/>
          <w:szCs w:val="24"/>
          <w:lang w:eastAsia="zh-CN"/>
        </w:rPr>
        <w:t>]</w:t>
      </w:r>
    </w:p>
    <w:p w14:paraId="78C8F918" w14:textId="70DBFE20" w:rsidR="006B0264" w:rsidRPr="008B0455" w:rsidRDefault="006B0264" w:rsidP="006B0264">
      <w:p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lastRenderedPageBreak/>
        <w:t>[(b)</w:t>
      </w:r>
      <w:r w:rsidRPr="008B0455">
        <w:rPr>
          <w:sz w:val="24"/>
          <w:szCs w:val="24"/>
          <w:lang w:eastAsia="zh-CN"/>
        </w:rPr>
        <w:tab/>
      </w:r>
      <w:r w:rsidR="00EA25ED" w:rsidRPr="008B0455">
        <w:rPr>
          <w:rFonts w:hint="eastAsia"/>
          <w:sz w:val="24"/>
          <w:szCs w:val="24"/>
          <w:lang w:eastAsia="zh-CN"/>
        </w:rPr>
        <w:t xml:space="preserve">  </w:t>
      </w:r>
      <w:r w:rsidRPr="008B0455">
        <w:rPr>
          <w:sz w:val="24"/>
          <w:szCs w:val="24"/>
          <w:lang w:eastAsia="zh-CN"/>
        </w:rPr>
        <w:t>在同一闭会期间</w:t>
      </w:r>
      <w:r w:rsidRPr="008B0455">
        <w:rPr>
          <w:rFonts w:hint="eastAsia"/>
          <w:sz w:val="24"/>
          <w:szCs w:val="24"/>
          <w:lang w:eastAsia="zh-CN"/>
        </w:rPr>
        <w:t>召开</w:t>
      </w:r>
      <w:r w:rsidRPr="008B0455">
        <w:rPr>
          <w:sz w:val="24"/>
          <w:szCs w:val="24"/>
          <w:lang w:eastAsia="zh-CN"/>
        </w:rPr>
        <w:t>风险评估和风险管理</w:t>
      </w:r>
      <w:r w:rsidRPr="008B0455">
        <w:rPr>
          <w:rFonts w:hint="eastAsia"/>
          <w:sz w:val="24"/>
          <w:szCs w:val="24"/>
          <w:lang w:eastAsia="zh-CN"/>
        </w:rPr>
        <w:t>问题</w:t>
      </w:r>
      <w:r w:rsidRPr="008B0455">
        <w:rPr>
          <w:sz w:val="24"/>
          <w:szCs w:val="24"/>
          <w:lang w:eastAsia="zh-CN"/>
        </w:rPr>
        <w:t>不限成员名额在线论坛讨论</w:t>
      </w:r>
      <w:r w:rsidRPr="008B0455">
        <w:rPr>
          <w:rFonts w:hint="eastAsia"/>
          <w:sz w:val="24"/>
          <w:szCs w:val="24"/>
          <w:lang w:eastAsia="zh-CN"/>
        </w:rPr>
        <w:t>会，鼓励土著人民和地方社区、妇女和青年组织、学术界及其他相关组织积极参与；</w:t>
      </w:r>
      <w:r w:rsidRPr="008B0455">
        <w:rPr>
          <w:rFonts w:hint="eastAsia"/>
          <w:sz w:val="24"/>
          <w:szCs w:val="24"/>
          <w:lang w:eastAsia="zh-CN"/>
        </w:rPr>
        <w:t>]</w:t>
      </w:r>
    </w:p>
    <w:p w14:paraId="510915F0" w14:textId="46EDD477" w:rsidR="006B0264" w:rsidRPr="008B0455" w:rsidRDefault="006B0264" w:rsidP="006B0264">
      <w:p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t>(c)</w:t>
      </w:r>
      <w:r w:rsidRPr="008B0455">
        <w:rPr>
          <w:sz w:val="24"/>
          <w:szCs w:val="24"/>
          <w:lang w:eastAsia="zh-CN"/>
        </w:rPr>
        <w:tab/>
      </w:r>
      <w:r w:rsidR="00066171" w:rsidRPr="008B0455">
        <w:rPr>
          <w:rFonts w:hint="eastAsia"/>
          <w:sz w:val="24"/>
          <w:szCs w:val="24"/>
          <w:lang w:eastAsia="zh-CN"/>
        </w:rPr>
        <w:t>汇总</w:t>
      </w:r>
      <w:r w:rsidRPr="008B0455">
        <w:rPr>
          <w:rFonts w:hint="eastAsia"/>
          <w:sz w:val="24"/>
          <w:szCs w:val="24"/>
          <w:lang w:eastAsia="zh-CN"/>
        </w:rPr>
        <w:t>应</w:t>
      </w:r>
      <w:r w:rsidRPr="008B0455">
        <w:rPr>
          <w:sz w:val="24"/>
          <w:szCs w:val="24"/>
          <w:lang w:eastAsia="zh-CN"/>
        </w:rPr>
        <w:t>本决定第</w:t>
      </w:r>
      <w:r w:rsidRPr="008B0455">
        <w:rPr>
          <w:sz w:val="24"/>
          <w:szCs w:val="24"/>
          <w:lang w:eastAsia="zh-CN"/>
        </w:rPr>
        <w:t xml:space="preserve">[5] </w:t>
      </w:r>
      <w:r w:rsidRPr="008B0455">
        <w:rPr>
          <w:rFonts w:hint="eastAsia"/>
          <w:sz w:val="24"/>
          <w:szCs w:val="24"/>
          <w:lang w:eastAsia="zh-CN"/>
        </w:rPr>
        <w:t>段</w:t>
      </w:r>
      <w:r w:rsidRPr="008B0455">
        <w:rPr>
          <w:sz w:val="24"/>
          <w:szCs w:val="24"/>
          <w:lang w:eastAsia="zh-CN"/>
        </w:rPr>
        <w:t>和第</w:t>
      </w:r>
      <w:r w:rsidRPr="008B0455">
        <w:rPr>
          <w:sz w:val="24"/>
          <w:szCs w:val="24"/>
          <w:lang w:eastAsia="zh-CN"/>
        </w:rPr>
        <w:t>[8]</w:t>
      </w:r>
      <w:r w:rsidRPr="008B0455">
        <w:rPr>
          <w:sz w:val="24"/>
          <w:szCs w:val="24"/>
          <w:lang w:eastAsia="zh-CN"/>
        </w:rPr>
        <w:t>段</w:t>
      </w:r>
      <w:r w:rsidR="00066171" w:rsidRPr="008B0455">
        <w:rPr>
          <w:sz w:val="24"/>
          <w:szCs w:val="24"/>
          <w:lang w:eastAsia="zh-CN"/>
        </w:rPr>
        <w:t xml:space="preserve"> </w:t>
      </w:r>
      <w:r w:rsidRPr="008B0455">
        <w:rPr>
          <w:sz w:val="24"/>
          <w:szCs w:val="24"/>
          <w:lang w:eastAsia="zh-CN"/>
        </w:rPr>
        <w:t>[</w:t>
      </w:r>
      <w:r w:rsidR="00066171" w:rsidRPr="008B0455">
        <w:rPr>
          <w:rFonts w:hint="eastAsia"/>
          <w:sz w:val="24"/>
          <w:szCs w:val="24"/>
          <w:lang w:eastAsia="zh-CN"/>
        </w:rPr>
        <w:t>和</w:t>
      </w:r>
      <w:r w:rsidRPr="008B0455">
        <w:rPr>
          <w:rFonts w:hint="eastAsia"/>
          <w:sz w:val="24"/>
          <w:szCs w:val="24"/>
          <w:lang w:eastAsia="zh-CN"/>
        </w:rPr>
        <w:t>通过风险评估与风险管理</w:t>
      </w:r>
      <w:r w:rsidR="00066171" w:rsidRPr="008B0455">
        <w:rPr>
          <w:rFonts w:hint="eastAsia"/>
          <w:sz w:val="24"/>
          <w:szCs w:val="24"/>
          <w:lang w:eastAsia="zh-CN"/>
        </w:rPr>
        <w:t>不限成员名额</w:t>
      </w:r>
      <w:r w:rsidRPr="008B0455">
        <w:rPr>
          <w:rFonts w:hint="eastAsia"/>
          <w:sz w:val="24"/>
          <w:szCs w:val="24"/>
          <w:lang w:eastAsia="zh-CN"/>
        </w:rPr>
        <w:t>在线论坛</w:t>
      </w:r>
      <w:r w:rsidRPr="008B0455">
        <w:rPr>
          <w:rFonts w:hint="eastAsia"/>
          <w:sz w:val="24"/>
          <w:szCs w:val="24"/>
          <w:lang w:eastAsia="zh-CN"/>
        </w:rPr>
        <w:t>]</w:t>
      </w:r>
      <w:r w:rsidR="00066171" w:rsidRPr="008B0455">
        <w:rPr>
          <w:rFonts w:hint="eastAsia"/>
          <w:sz w:val="24"/>
          <w:szCs w:val="24"/>
          <w:lang w:eastAsia="zh-CN"/>
        </w:rPr>
        <w:t xml:space="preserve"> </w:t>
      </w:r>
      <w:r w:rsidR="00066171" w:rsidRPr="008B0455">
        <w:rPr>
          <w:rFonts w:hint="eastAsia"/>
          <w:sz w:val="24"/>
          <w:szCs w:val="24"/>
          <w:lang w:eastAsia="zh-CN"/>
        </w:rPr>
        <w:t>提交</w:t>
      </w:r>
      <w:r w:rsidR="00066171" w:rsidRPr="008B0455">
        <w:rPr>
          <w:sz w:val="24"/>
          <w:szCs w:val="24"/>
          <w:lang w:eastAsia="zh-CN"/>
        </w:rPr>
        <w:t>的信息</w:t>
      </w:r>
      <w:r w:rsidRPr="008B0455">
        <w:rPr>
          <w:rFonts w:hint="eastAsia"/>
          <w:sz w:val="24"/>
          <w:szCs w:val="24"/>
          <w:lang w:eastAsia="zh-CN"/>
        </w:rPr>
        <w:t>，以及国家报告</w:t>
      </w:r>
      <w:r w:rsidRPr="008B0455">
        <w:rPr>
          <w:sz w:val="24"/>
          <w:szCs w:val="24"/>
          <w:vertAlign w:val="superscript"/>
        </w:rPr>
        <w:footnoteReference w:id="8"/>
      </w:r>
      <w:r w:rsidRPr="008B0455">
        <w:rPr>
          <w:rFonts w:hint="eastAsia"/>
          <w:sz w:val="24"/>
          <w:szCs w:val="24"/>
          <w:lang w:eastAsia="zh-CN"/>
        </w:rPr>
        <w:t>中关于风险评估与风险管理特定议题需要进一步指导的具体需求相关信息；</w:t>
      </w:r>
    </w:p>
    <w:p w14:paraId="649B7AB7" w14:textId="3A07367B" w:rsidR="006B0264" w:rsidRPr="008B0455" w:rsidRDefault="006B0264" w:rsidP="006B0264">
      <w:p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t>(d)</w:t>
      </w:r>
      <w:r w:rsidRPr="008B0455">
        <w:rPr>
          <w:sz w:val="24"/>
          <w:szCs w:val="24"/>
          <w:lang w:eastAsia="zh-CN"/>
        </w:rPr>
        <w:tab/>
      </w:r>
      <w:r w:rsidRPr="008B0455">
        <w:rPr>
          <w:rFonts w:hint="eastAsia"/>
          <w:sz w:val="24"/>
          <w:szCs w:val="24"/>
          <w:lang w:eastAsia="zh-CN"/>
        </w:rPr>
        <w:t>继续通过区域讲习班，就现有指导材料开展能力建设和发展活动，酌情与相关倡议和伙伴关系合作，</w:t>
      </w:r>
      <w:r w:rsidR="00A25CD3" w:rsidRPr="008B0455">
        <w:rPr>
          <w:rFonts w:hint="eastAsia"/>
          <w:sz w:val="24"/>
          <w:szCs w:val="24"/>
          <w:lang w:eastAsia="zh-CN"/>
        </w:rPr>
        <w:t>以便</w:t>
      </w:r>
      <w:r w:rsidRPr="008B0455">
        <w:rPr>
          <w:sz w:val="24"/>
          <w:szCs w:val="24"/>
          <w:lang w:eastAsia="zh-CN"/>
        </w:rPr>
        <w:t>支持改性活生物体的风险评估</w:t>
      </w:r>
      <w:r w:rsidRPr="008B0455">
        <w:rPr>
          <w:rFonts w:hint="eastAsia"/>
          <w:sz w:val="24"/>
          <w:szCs w:val="24"/>
          <w:lang w:eastAsia="zh-CN"/>
        </w:rPr>
        <w:t>，同时确保所有发展中国家缔约方的公平代表权；</w:t>
      </w:r>
    </w:p>
    <w:p w14:paraId="3BBFB937" w14:textId="0431E590" w:rsidR="006B0264" w:rsidRPr="008B0455" w:rsidRDefault="006B0264" w:rsidP="006B0264">
      <w:p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t>(e)</w:t>
      </w:r>
      <w:r w:rsidRPr="008B0455">
        <w:rPr>
          <w:sz w:val="24"/>
          <w:szCs w:val="24"/>
          <w:lang w:eastAsia="zh-CN"/>
        </w:rPr>
        <w:tab/>
      </w:r>
      <w:r w:rsidRPr="008B0455">
        <w:rPr>
          <w:rFonts w:hint="eastAsia"/>
          <w:sz w:val="24"/>
          <w:szCs w:val="24"/>
          <w:lang w:eastAsia="zh-CN"/>
        </w:rPr>
        <w:t>继续收集关于补充自愿性指导材料适用性和实用性的经验</w:t>
      </w:r>
      <w:r w:rsidR="00A25CD3" w:rsidRPr="008B0455">
        <w:rPr>
          <w:rFonts w:hint="eastAsia"/>
          <w:sz w:val="24"/>
          <w:szCs w:val="24"/>
          <w:lang w:eastAsia="zh-CN"/>
        </w:rPr>
        <w:t>和</w:t>
      </w:r>
      <w:r w:rsidRPr="008B0455">
        <w:rPr>
          <w:rFonts w:hint="eastAsia"/>
          <w:sz w:val="24"/>
          <w:szCs w:val="24"/>
          <w:lang w:eastAsia="zh-CN"/>
        </w:rPr>
        <w:t>评估，以支持对含有</w:t>
      </w:r>
      <w:r w:rsidR="00066171" w:rsidRPr="008B0455">
        <w:rPr>
          <w:rFonts w:hint="eastAsia"/>
          <w:sz w:val="24"/>
          <w:szCs w:val="24"/>
          <w:lang w:eastAsia="zh-CN"/>
        </w:rPr>
        <w:t>人工</w:t>
      </w:r>
      <w:r w:rsidRPr="008B0455">
        <w:rPr>
          <w:rFonts w:hint="eastAsia"/>
          <w:sz w:val="24"/>
          <w:szCs w:val="24"/>
          <w:lang w:eastAsia="zh-CN"/>
        </w:rPr>
        <w:t>基因驱动的</w:t>
      </w:r>
      <w:r w:rsidR="00066171" w:rsidRPr="008B0455">
        <w:rPr>
          <w:rFonts w:hint="eastAsia"/>
          <w:sz w:val="24"/>
          <w:szCs w:val="24"/>
          <w:lang w:eastAsia="zh-CN"/>
        </w:rPr>
        <w:t>改性</w:t>
      </w:r>
      <w:r w:rsidRPr="008B0455">
        <w:rPr>
          <w:rFonts w:hint="eastAsia"/>
          <w:sz w:val="24"/>
          <w:szCs w:val="24"/>
          <w:lang w:eastAsia="zh-CN"/>
        </w:rPr>
        <w:t>活</w:t>
      </w:r>
      <w:r w:rsidR="00066171" w:rsidRPr="008B0455">
        <w:rPr>
          <w:rFonts w:hint="eastAsia"/>
          <w:sz w:val="24"/>
          <w:szCs w:val="24"/>
          <w:lang w:eastAsia="zh-CN"/>
        </w:rPr>
        <w:t>生物体</w:t>
      </w:r>
      <w:r w:rsidRPr="008B0455">
        <w:rPr>
          <w:sz w:val="24"/>
          <w:szCs w:val="24"/>
          <w:vertAlign w:val="superscript"/>
        </w:rPr>
        <w:footnoteReference w:id="9"/>
      </w:r>
      <w:r w:rsidRPr="008B0455">
        <w:rPr>
          <w:rFonts w:hint="eastAsia"/>
          <w:sz w:val="24"/>
          <w:szCs w:val="24"/>
          <w:lang w:eastAsia="zh-CN"/>
        </w:rPr>
        <w:t>进行个案风险评估，并通过生物安全信息交换所提供这些材料；</w:t>
      </w:r>
    </w:p>
    <w:p w14:paraId="45313AB0" w14:textId="276B80C8" w:rsidR="006B0264" w:rsidRPr="00EB55FB" w:rsidRDefault="006B0264" w:rsidP="006B0264">
      <w:pPr>
        <w:tabs>
          <w:tab w:val="clear" w:pos="567"/>
          <w:tab w:val="clear" w:pos="1134"/>
          <w:tab w:val="clear" w:pos="1701"/>
          <w:tab w:val="clear" w:pos="2268"/>
        </w:tabs>
        <w:spacing w:before="120" w:after="120"/>
        <w:ind w:left="979" w:firstLine="490"/>
        <w:rPr>
          <w:lang w:eastAsia="zh-CN"/>
        </w:rPr>
      </w:pPr>
      <w:r w:rsidRPr="008B0455">
        <w:rPr>
          <w:sz w:val="24"/>
          <w:szCs w:val="24"/>
          <w:lang w:eastAsia="zh-CN"/>
        </w:rPr>
        <w:t>[13.</w:t>
      </w:r>
      <w:r w:rsidRPr="008B0455">
        <w:rPr>
          <w:i/>
          <w:iCs/>
          <w:sz w:val="24"/>
          <w:szCs w:val="24"/>
          <w:lang w:eastAsia="zh-CN"/>
        </w:rPr>
        <w:tab/>
      </w:r>
      <w:r w:rsidRPr="008B0455">
        <w:rPr>
          <w:sz w:val="24"/>
          <w:szCs w:val="24"/>
          <w:lang w:eastAsia="zh-CN"/>
        </w:rPr>
        <w:t>请科学、技术和工艺咨询附属机构在作为卡塔赫纳议定书缔约方会议的缔约方</w:t>
      </w:r>
      <w:r w:rsidRPr="008B0455">
        <w:rPr>
          <w:rFonts w:hint="eastAsia"/>
          <w:sz w:val="24"/>
          <w:szCs w:val="24"/>
          <w:lang w:eastAsia="zh-CN"/>
        </w:rPr>
        <w:t>大会</w:t>
      </w:r>
      <w:r w:rsidRPr="008B0455">
        <w:rPr>
          <w:sz w:val="24"/>
          <w:szCs w:val="24"/>
          <w:lang w:eastAsia="zh-CN"/>
        </w:rPr>
        <w:t>第十三次会议之前举行的一次会议上审议风险评估</w:t>
      </w:r>
      <w:r w:rsidRPr="008B0455">
        <w:rPr>
          <w:rFonts w:hint="eastAsia"/>
          <w:sz w:val="24"/>
          <w:szCs w:val="24"/>
          <w:lang w:eastAsia="zh-CN"/>
        </w:rPr>
        <w:t>问题</w:t>
      </w:r>
      <w:r w:rsidRPr="008B0455">
        <w:rPr>
          <w:sz w:val="24"/>
          <w:szCs w:val="24"/>
          <w:lang w:eastAsia="zh-CN"/>
        </w:rPr>
        <w:t>特设技术专家组会议的成果，并向作为议定书缔约方会议的缔约方</w:t>
      </w:r>
      <w:r w:rsidRPr="008B0455">
        <w:rPr>
          <w:rFonts w:hint="eastAsia"/>
          <w:sz w:val="24"/>
          <w:szCs w:val="24"/>
          <w:lang w:eastAsia="zh-CN"/>
        </w:rPr>
        <w:t>大会</w:t>
      </w:r>
      <w:r w:rsidR="00066171" w:rsidRPr="008B0455">
        <w:rPr>
          <w:sz w:val="24"/>
          <w:szCs w:val="24"/>
          <w:lang w:eastAsia="zh-CN"/>
        </w:rPr>
        <w:t>第十三次会议</w:t>
      </w:r>
      <w:r w:rsidRPr="008B0455">
        <w:rPr>
          <w:sz w:val="24"/>
          <w:szCs w:val="24"/>
          <w:lang w:eastAsia="zh-CN"/>
        </w:rPr>
        <w:t>提出建议</w:t>
      </w:r>
      <w:r w:rsidRPr="008B0455">
        <w:rPr>
          <w:rFonts w:hint="eastAsia"/>
          <w:sz w:val="24"/>
          <w:szCs w:val="24"/>
          <w:lang w:eastAsia="zh-CN"/>
        </w:rPr>
        <w:t>供其审议。</w:t>
      </w:r>
      <w:r w:rsidRPr="008B0455">
        <w:rPr>
          <w:sz w:val="24"/>
          <w:szCs w:val="24"/>
          <w:lang w:eastAsia="zh-CN"/>
        </w:rPr>
        <w:t>]</w:t>
      </w:r>
    </w:p>
    <w:p w14:paraId="0CA54543" w14:textId="77777777" w:rsidR="006B0264" w:rsidRPr="00E82EE1" w:rsidRDefault="006B0264" w:rsidP="006B0264">
      <w:pPr>
        <w:keepNext/>
        <w:keepLines/>
        <w:tabs>
          <w:tab w:val="clear" w:pos="567"/>
          <w:tab w:val="clear" w:pos="1134"/>
          <w:tab w:val="clear" w:pos="1701"/>
          <w:tab w:val="clear" w:pos="2268"/>
          <w:tab w:val="left" w:pos="2835"/>
          <w:tab w:val="left" w:pos="3402"/>
        </w:tabs>
        <w:spacing w:before="240" w:after="120"/>
        <w:ind w:left="979"/>
        <w:jc w:val="left"/>
        <w:rPr>
          <w:rFonts w:ascii="Times New Roman Bold" w:hAnsi="Times New Roman Bold" w:cs="Times New Roman Bold" w:hint="eastAsia"/>
          <w:bCs/>
          <w:sz w:val="24"/>
          <w:lang w:eastAsia="zh-CN"/>
        </w:rPr>
      </w:pPr>
      <w:r w:rsidRPr="00E82EE1">
        <w:rPr>
          <w:rFonts w:ascii="Times New Roman Bold" w:hAnsi="Times New Roman Bold" w:cs="Times New Roman Bold"/>
          <w:bCs/>
          <w:sz w:val="24"/>
          <w:lang w:eastAsia="zh-CN"/>
        </w:rPr>
        <w:t>[</w:t>
      </w:r>
    </w:p>
    <w:p w14:paraId="3B5ECE37" w14:textId="77777777" w:rsidR="006B0264" w:rsidRPr="002C5794" w:rsidRDefault="006B0264" w:rsidP="006B0264">
      <w:pPr>
        <w:keepNext/>
        <w:keepLines/>
        <w:tabs>
          <w:tab w:val="clear" w:pos="567"/>
          <w:tab w:val="clear" w:pos="1134"/>
          <w:tab w:val="clear" w:pos="1701"/>
          <w:tab w:val="clear" w:pos="2268"/>
        </w:tabs>
        <w:spacing w:before="240" w:after="120"/>
        <w:ind w:left="979"/>
        <w:jc w:val="left"/>
        <w:rPr>
          <w:rFonts w:ascii="Times New Roman Bold" w:hAnsi="Times New Roman Bold" w:hint="eastAsia"/>
          <w:b/>
          <w:bCs/>
          <w:sz w:val="24"/>
          <w:lang w:eastAsia="zh-CN"/>
        </w:rPr>
      </w:pPr>
      <w:r w:rsidRPr="002C5794">
        <w:rPr>
          <w:rFonts w:ascii="Times New Roman Bold" w:hAnsi="Times New Roman Bold" w:hint="eastAsia"/>
          <w:b/>
          <w:bCs/>
          <w:sz w:val="24"/>
          <w:lang w:eastAsia="zh-CN"/>
        </w:rPr>
        <w:t>附件</w:t>
      </w:r>
    </w:p>
    <w:p w14:paraId="3F19FAA2" w14:textId="77777777" w:rsidR="006B0264" w:rsidRPr="002C5794" w:rsidRDefault="006B0264" w:rsidP="006B0264">
      <w:pPr>
        <w:keepNext/>
        <w:keepLines/>
        <w:tabs>
          <w:tab w:val="clear" w:pos="567"/>
          <w:tab w:val="clear" w:pos="1134"/>
          <w:tab w:val="clear" w:pos="1701"/>
          <w:tab w:val="clear" w:pos="2268"/>
        </w:tabs>
        <w:spacing w:before="120" w:after="120"/>
        <w:ind w:left="979"/>
        <w:jc w:val="left"/>
        <w:rPr>
          <w:rFonts w:ascii="Times New Roman Bold" w:hAnsi="Times New Roman Bold" w:hint="eastAsia"/>
          <w:sz w:val="24"/>
          <w:lang w:eastAsia="zh-CN"/>
        </w:rPr>
      </w:pPr>
      <w:r w:rsidRPr="002C5794">
        <w:rPr>
          <w:rFonts w:ascii="Times New Roman Bold" w:hAnsi="Times New Roman Bold"/>
          <w:b/>
          <w:bCs/>
          <w:sz w:val="24"/>
          <w:lang w:eastAsia="zh-CN"/>
        </w:rPr>
        <w:t>风险评估</w:t>
      </w:r>
      <w:r w:rsidRPr="002C5794">
        <w:rPr>
          <w:rFonts w:ascii="Times New Roman Bold" w:hAnsi="Times New Roman Bold" w:hint="eastAsia"/>
          <w:b/>
          <w:bCs/>
          <w:sz w:val="24"/>
          <w:lang w:eastAsia="zh-CN"/>
        </w:rPr>
        <w:t>问题</w:t>
      </w:r>
      <w:r w:rsidRPr="002C5794">
        <w:rPr>
          <w:rFonts w:ascii="Times New Roman Bold" w:hAnsi="Times New Roman Bold"/>
          <w:b/>
          <w:bCs/>
          <w:sz w:val="24"/>
          <w:lang w:eastAsia="zh-CN"/>
        </w:rPr>
        <w:t>特设技术专家组的职权范围</w:t>
      </w:r>
    </w:p>
    <w:p w14:paraId="62B0ECD8" w14:textId="77777777" w:rsidR="006B0264" w:rsidRPr="008B0455" w:rsidRDefault="006B0264" w:rsidP="006B0264">
      <w:pPr>
        <w:numPr>
          <w:ilvl w:val="0"/>
          <w:numId w:val="15"/>
        </w:numPr>
        <w:tabs>
          <w:tab w:val="clear" w:pos="567"/>
          <w:tab w:val="clear" w:pos="1134"/>
          <w:tab w:val="clear" w:pos="1701"/>
          <w:tab w:val="clear" w:pos="2268"/>
        </w:tabs>
        <w:spacing w:before="120" w:after="120"/>
        <w:ind w:left="979"/>
        <w:rPr>
          <w:sz w:val="24"/>
          <w:szCs w:val="24"/>
          <w:lang w:eastAsia="zh-CN"/>
        </w:rPr>
      </w:pPr>
      <w:r w:rsidRPr="008B0455">
        <w:rPr>
          <w:sz w:val="24"/>
          <w:szCs w:val="24"/>
          <w:lang w:eastAsia="zh-CN"/>
        </w:rPr>
        <w:t>风险评估</w:t>
      </w:r>
      <w:r w:rsidRPr="008B0455">
        <w:rPr>
          <w:rFonts w:hint="eastAsia"/>
          <w:sz w:val="24"/>
          <w:szCs w:val="24"/>
          <w:lang w:eastAsia="zh-CN"/>
        </w:rPr>
        <w:t>问题</w:t>
      </w:r>
      <w:r w:rsidRPr="008B0455">
        <w:rPr>
          <w:sz w:val="24"/>
          <w:szCs w:val="24"/>
          <w:lang w:eastAsia="zh-CN"/>
        </w:rPr>
        <w:t>特设技术专家组应</w:t>
      </w:r>
      <w:r w:rsidRPr="008B0455">
        <w:rPr>
          <w:rFonts w:hint="eastAsia"/>
          <w:sz w:val="24"/>
          <w:szCs w:val="24"/>
          <w:lang w:eastAsia="zh-CN"/>
        </w:rPr>
        <w:t>：</w:t>
      </w:r>
    </w:p>
    <w:p w14:paraId="387B0C10" w14:textId="77777777" w:rsidR="006B0264" w:rsidRPr="008B0455" w:rsidRDefault="006B0264" w:rsidP="006B0264">
      <w:pPr>
        <w:numPr>
          <w:ilvl w:val="1"/>
          <w:numId w:val="15"/>
        </w:num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t>根据经</w:t>
      </w:r>
      <w:r w:rsidRPr="008B0455">
        <w:rPr>
          <w:sz w:val="24"/>
          <w:szCs w:val="24"/>
          <w:lang w:eastAsia="zh-CN"/>
        </w:rPr>
        <w:t>2024</w:t>
      </w:r>
      <w:r w:rsidRPr="008B0455">
        <w:rPr>
          <w:sz w:val="24"/>
          <w:szCs w:val="24"/>
          <w:lang w:eastAsia="zh-CN"/>
        </w:rPr>
        <w:t>年</w:t>
      </w:r>
      <w:r w:rsidRPr="008B0455">
        <w:rPr>
          <w:sz w:val="24"/>
          <w:szCs w:val="24"/>
          <w:lang w:eastAsia="zh-CN"/>
        </w:rPr>
        <w:t>11</w:t>
      </w:r>
      <w:r w:rsidRPr="008B0455">
        <w:rPr>
          <w:sz w:val="24"/>
          <w:szCs w:val="24"/>
          <w:lang w:eastAsia="zh-CN"/>
        </w:rPr>
        <w:t>月</w:t>
      </w:r>
      <w:r w:rsidRPr="008B0455">
        <w:rPr>
          <w:sz w:val="24"/>
          <w:szCs w:val="24"/>
          <w:lang w:eastAsia="zh-CN"/>
        </w:rPr>
        <w:t>1</w:t>
      </w:r>
      <w:r w:rsidRPr="008B0455">
        <w:rPr>
          <w:sz w:val="24"/>
          <w:szCs w:val="24"/>
          <w:lang w:eastAsia="zh-CN"/>
        </w:rPr>
        <w:t>日第</w:t>
      </w:r>
      <w:hyperlink r:id="rId20" w:history="1">
        <w:r w:rsidRPr="008B0455">
          <w:rPr>
            <w:rStyle w:val="Hyperlink"/>
            <w:sz w:val="24"/>
            <w:szCs w:val="24"/>
            <w:lang w:eastAsia="zh-CN"/>
          </w:rPr>
          <w:t>CP-11/6</w:t>
        </w:r>
      </w:hyperlink>
      <w:r w:rsidRPr="008B0455">
        <w:rPr>
          <w:sz w:val="24"/>
          <w:szCs w:val="24"/>
          <w:lang w:eastAsia="zh-CN"/>
        </w:rPr>
        <w:t>号决定修正</w:t>
      </w:r>
      <w:r w:rsidRPr="008B0455">
        <w:rPr>
          <w:rFonts w:hint="eastAsia"/>
          <w:sz w:val="24"/>
          <w:szCs w:val="24"/>
          <w:lang w:eastAsia="zh-CN"/>
        </w:rPr>
        <w:t>的</w:t>
      </w:r>
      <w:r w:rsidRPr="008B0455">
        <w:rPr>
          <w:sz w:val="24"/>
          <w:szCs w:val="24"/>
          <w:lang w:eastAsia="zh-CN"/>
        </w:rPr>
        <w:t>2018</w:t>
      </w:r>
      <w:r w:rsidRPr="008B0455">
        <w:rPr>
          <w:sz w:val="24"/>
          <w:szCs w:val="24"/>
          <w:lang w:eastAsia="zh-CN"/>
        </w:rPr>
        <w:t>年</w:t>
      </w:r>
      <w:r w:rsidRPr="008B0455">
        <w:rPr>
          <w:sz w:val="24"/>
          <w:szCs w:val="24"/>
          <w:lang w:eastAsia="zh-CN"/>
        </w:rPr>
        <w:t>11</w:t>
      </w:r>
      <w:r w:rsidRPr="008B0455">
        <w:rPr>
          <w:sz w:val="24"/>
          <w:szCs w:val="24"/>
          <w:lang w:eastAsia="zh-CN"/>
        </w:rPr>
        <w:t>月</w:t>
      </w:r>
      <w:r w:rsidRPr="008B0455">
        <w:rPr>
          <w:sz w:val="24"/>
          <w:szCs w:val="24"/>
          <w:lang w:eastAsia="zh-CN"/>
        </w:rPr>
        <w:t>29</w:t>
      </w:r>
      <w:r w:rsidRPr="008B0455">
        <w:rPr>
          <w:sz w:val="24"/>
          <w:szCs w:val="24"/>
          <w:lang w:eastAsia="zh-CN"/>
        </w:rPr>
        <w:t>日关于</w:t>
      </w:r>
      <w:r w:rsidRPr="008B0455">
        <w:rPr>
          <w:rFonts w:hint="eastAsia"/>
          <w:sz w:val="24"/>
          <w:szCs w:val="24"/>
          <w:lang w:eastAsia="zh-CN"/>
        </w:rPr>
        <w:t>规避</w:t>
      </w:r>
      <w:r w:rsidRPr="008B0455">
        <w:rPr>
          <w:sz w:val="24"/>
          <w:szCs w:val="24"/>
          <w:lang w:eastAsia="zh-CN"/>
        </w:rPr>
        <w:t>或管理专家组利益冲突的程序的第</w:t>
      </w:r>
      <w:hyperlink r:id="rId21" w:history="1">
        <w:r w:rsidRPr="008B0455">
          <w:rPr>
            <w:rStyle w:val="Hyperlink"/>
            <w:sz w:val="24"/>
            <w:szCs w:val="24"/>
            <w:lang w:eastAsia="zh-CN"/>
          </w:rPr>
          <w:t>14/33</w:t>
        </w:r>
      </w:hyperlink>
      <w:r w:rsidRPr="008B0455">
        <w:rPr>
          <w:sz w:val="24"/>
          <w:szCs w:val="24"/>
          <w:lang w:eastAsia="zh-CN"/>
        </w:rPr>
        <w:t>号决定</w:t>
      </w:r>
      <w:r w:rsidRPr="008B0455">
        <w:rPr>
          <w:rFonts w:hint="eastAsia"/>
          <w:sz w:val="24"/>
          <w:szCs w:val="24"/>
          <w:lang w:eastAsia="zh-CN"/>
        </w:rPr>
        <w:t>，</w:t>
      </w:r>
      <w:r w:rsidRPr="008B0455">
        <w:rPr>
          <w:sz w:val="24"/>
          <w:szCs w:val="24"/>
          <w:lang w:eastAsia="zh-CN"/>
        </w:rPr>
        <w:t>由按照科学、技术和工艺咨询附属机构综合工作</w:t>
      </w:r>
      <w:r w:rsidRPr="008B0455">
        <w:rPr>
          <w:rFonts w:hint="eastAsia"/>
          <w:sz w:val="24"/>
          <w:szCs w:val="24"/>
          <w:lang w:eastAsia="zh-CN"/>
        </w:rPr>
        <w:t>方法</w:t>
      </w:r>
      <w:r w:rsidRPr="008B0455">
        <w:rPr>
          <w:sz w:val="24"/>
          <w:szCs w:val="24"/>
          <w:vertAlign w:val="superscript"/>
        </w:rPr>
        <w:footnoteReference w:id="10"/>
      </w:r>
      <w:r w:rsidRPr="008B0455">
        <w:rPr>
          <w:sz w:val="24"/>
          <w:szCs w:val="24"/>
          <w:lang w:eastAsia="zh-CN"/>
        </w:rPr>
        <w:t>H</w:t>
      </w:r>
      <w:r w:rsidRPr="008B0455">
        <w:rPr>
          <w:sz w:val="24"/>
          <w:szCs w:val="24"/>
          <w:lang w:eastAsia="zh-CN"/>
        </w:rPr>
        <w:t>节</w:t>
      </w:r>
      <w:r w:rsidRPr="008B0455">
        <w:rPr>
          <w:rFonts w:hint="eastAsia"/>
          <w:sz w:val="24"/>
          <w:szCs w:val="24"/>
          <w:lang w:eastAsia="zh-CN"/>
        </w:rPr>
        <w:t>选出</w:t>
      </w:r>
      <w:r w:rsidRPr="008B0455">
        <w:rPr>
          <w:sz w:val="24"/>
          <w:szCs w:val="24"/>
          <w:lang w:eastAsia="zh-CN"/>
        </w:rPr>
        <w:t>的</w:t>
      </w:r>
      <w:r w:rsidRPr="008B0455">
        <w:rPr>
          <w:rFonts w:hint="eastAsia"/>
          <w:sz w:val="24"/>
          <w:szCs w:val="24"/>
          <w:lang w:eastAsia="zh-CN"/>
        </w:rPr>
        <w:t>、对专家组的任务授权相关问题</w:t>
      </w:r>
      <w:r w:rsidRPr="008B0455">
        <w:rPr>
          <w:sz w:val="24"/>
          <w:szCs w:val="24"/>
          <w:lang w:eastAsia="zh-CN"/>
        </w:rPr>
        <w:t>具有具体科技专长</w:t>
      </w:r>
      <w:r w:rsidRPr="008B0455">
        <w:rPr>
          <w:rFonts w:hint="eastAsia"/>
          <w:sz w:val="24"/>
          <w:szCs w:val="24"/>
          <w:lang w:eastAsia="zh-CN"/>
        </w:rPr>
        <w:t>的</w:t>
      </w:r>
      <w:r w:rsidRPr="008B0455">
        <w:rPr>
          <w:sz w:val="24"/>
          <w:szCs w:val="24"/>
          <w:lang w:eastAsia="zh-CN"/>
        </w:rPr>
        <w:t>专家组成，包括来自学术界、相关国际组织</w:t>
      </w:r>
      <w:r w:rsidRPr="008B0455">
        <w:rPr>
          <w:rFonts w:hint="eastAsia"/>
          <w:sz w:val="24"/>
          <w:szCs w:val="24"/>
          <w:lang w:eastAsia="zh-CN"/>
        </w:rPr>
        <w:t>以及</w:t>
      </w:r>
      <w:r w:rsidRPr="008B0455">
        <w:rPr>
          <w:sz w:val="24"/>
          <w:szCs w:val="24"/>
          <w:lang w:eastAsia="zh-CN"/>
        </w:rPr>
        <w:t>土著人民和地方社区</w:t>
      </w:r>
      <w:r w:rsidRPr="008B0455">
        <w:rPr>
          <w:rFonts w:hint="eastAsia"/>
          <w:sz w:val="24"/>
          <w:szCs w:val="24"/>
          <w:lang w:eastAsia="zh-CN"/>
        </w:rPr>
        <w:t>、妇女和青年</w:t>
      </w:r>
      <w:r w:rsidRPr="008B0455">
        <w:rPr>
          <w:sz w:val="24"/>
          <w:szCs w:val="24"/>
          <w:lang w:eastAsia="zh-CN"/>
        </w:rPr>
        <w:t>的专家；</w:t>
      </w:r>
    </w:p>
    <w:p w14:paraId="638A835F" w14:textId="77777777" w:rsidR="006B0264" w:rsidRPr="008B0455" w:rsidRDefault="006B0264" w:rsidP="006B0264">
      <w:pPr>
        <w:numPr>
          <w:ilvl w:val="1"/>
          <w:numId w:val="15"/>
        </w:numPr>
        <w:tabs>
          <w:tab w:val="clear" w:pos="567"/>
          <w:tab w:val="clear" w:pos="1134"/>
          <w:tab w:val="clear" w:pos="1701"/>
          <w:tab w:val="clear" w:pos="2268"/>
        </w:tabs>
        <w:spacing w:before="120" w:after="120"/>
        <w:ind w:left="979" w:firstLine="490"/>
        <w:rPr>
          <w:sz w:val="24"/>
          <w:szCs w:val="24"/>
          <w:lang w:eastAsia="zh-CN"/>
        </w:rPr>
      </w:pPr>
      <w:r w:rsidRPr="008B0455">
        <w:rPr>
          <w:sz w:val="24"/>
          <w:szCs w:val="24"/>
          <w:lang w:eastAsia="zh-CN"/>
        </w:rPr>
        <w:t>在资金允许的情况下，在作为卡塔赫纳生物安全议定书</w:t>
      </w:r>
      <w:r w:rsidRPr="008B0455">
        <w:rPr>
          <w:sz w:val="24"/>
          <w:szCs w:val="24"/>
          <w:vertAlign w:val="superscript"/>
        </w:rPr>
        <w:footnoteReference w:id="11"/>
      </w:r>
      <w:r w:rsidRPr="008B0455">
        <w:rPr>
          <w:sz w:val="24"/>
          <w:szCs w:val="24"/>
          <w:lang w:eastAsia="zh-CN"/>
        </w:rPr>
        <w:t>缔约方会议的缔约方大会第十三次会议之前至少举行两次会议，其中一次面对面</w:t>
      </w:r>
      <w:r w:rsidRPr="008B0455">
        <w:rPr>
          <w:rFonts w:hint="eastAsia"/>
          <w:sz w:val="24"/>
          <w:szCs w:val="24"/>
          <w:lang w:eastAsia="zh-CN"/>
        </w:rPr>
        <w:t>举行</w:t>
      </w:r>
      <w:r w:rsidRPr="008B0455">
        <w:rPr>
          <w:sz w:val="24"/>
          <w:szCs w:val="24"/>
          <w:lang w:eastAsia="zh-CN"/>
        </w:rPr>
        <w:t>，并在两次会议之间通过在线交流和接触方式执行任何必要的任务；</w:t>
      </w:r>
    </w:p>
    <w:p w14:paraId="53DED13E" w14:textId="754E5ADF" w:rsidR="006B0264" w:rsidRPr="008B0455" w:rsidRDefault="006B0264" w:rsidP="006B0264">
      <w:pPr>
        <w:numPr>
          <w:ilvl w:val="1"/>
          <w:numId w:val="15"/>
        </w:numPr>
        <w:tabs>
          <w:tab w:val="clear" w:pos="567"/>
          <w:tab w:val="clear" w:pos="1134"/>
          <w:tab w:val="clear" w:pos="1701"/>
          <w:tab w:val="clear" w:pos="2268"/>
        </w:tabs>
        <w:spacing w:before="120" w:after="120"/>
        <w:ind w:left="979" w:firstLine="490"/>
        <w:rPr>
          <w:sz w:val="24"/>
          <w:szCs w:val="24"/>
          <w:lang w:eastAsia="zh-CN"/>
        </w:rPr>
      </w:pPr>
      <w:r w:rsidRPr="008B0455">
        <w:rPr>
          <w:rFonts w:hint="eastAsia"/>
          <w:sz w:val="24"/>
          <w:szCs w:val="24"/>
          <w:lang w:eastAsia="zh-CN"/>
        </w:rPr>
        <w:t>根据</w:t>
      </w:r>
      <w:r w:rsidR="00066171" w:rsidRPr="008B0455">
        <w:rPr>
          <w:rFonts w:hint="eastAsia"/>
          <w:sz w:val="24"/>
          <w:szCs w:val="24"/>
          <w:lang w:eastAsia="zh-CN"/>
        </w:rPr>
        <w:t>《</w:t>
      </w:r>
      <w:r w:rsidRPr="008B0455">
        <w:rPr>
          <w:rFonts w:hint="eastAsia"/>
          <w:sz w:val="24"/>
          <w:szCs w:val="24"/>
          <w:lang w:eastAsia="zh-CN"/>
        </w:rPr>
        <w:t>卡塔赫纳议定书</w:t>
      </w:r>
      <w:r w:rsidR="00066171" w:rsidRPr="008B0455">
        <w:rPr>
          <w:rFonts w:hint="eastAsia"/>
          <w:sz w:val="24"/>
          <w:szCs w:val="24"/>
          <w:lang w:eastAsia="zh-CN"/>
        </w:rPr>
        <w:t>》</w:t>
      </w:r>
      <w:r w:rsidRPr="008B0455">
        <w:rPr>
          <w:rFonts w:hint="eastAsia"/>
          <w:sz w:val="24"/>
          <w:szCs w:val="24"/>
          <w:lang w:eastAsia="zh-CN"/>
        </w:rPr>
        <w:t>附件三，为</w:t>
      </w:r>
      <w:r w:rsidRPr="008B0455">
        <w:rPr>
          <w:sz w:val="24"/>
          <w:szCs w:val="24"/>
          <w:lang w:eastAsia="zh-CN"/>
        </w:rPr>
        <w:t>改性活微生物</w:t>
      </w:r>
      <w:r w:rsidRPr="008B0455">
        <w:rPr>
          <w:rFonts w:hint="eastAsia"/>
          <w:sz w:val="24"/>
          <w:szCs w:val="24"/>
          <w:lang w:eastAsia="zh-CN"/>
        </w:rPr>
        <w:t>和</w:t>
      </w:r>
      <w:r w:rsidRPr="008B0455">
        <w:rPr>
          <w:sz w:val="24"/>
          <w:szCs w:val="24"/>
          <w:lang w:eastAsia="zh-CN"/>
        </w:rPr>
        <w:t>改性活鱼</w:t>
      </w:r>
      <w:r w:rsidRPr="008B0455">
        <w:rPr>
          <w:rFonts w:hint="eastAsia"/>
          <w:sz w:val="24"/>
          <w:szCs w:val="24"/>
          <w:lang w:eastAsia="zh-CN"/>
        </w:rPr>
        <w:t>制定补充自愿指导材料草案，同时参照补充自愿指导材料中列明的风险评估办法，以支持对含有</w:t>
      </w:r>
      <w:r w:rsidRPr="008B0455">
        <w:rPr>
          <w:sz w:val="24"/>
          <w:szCs w:val="24"/>
          <w:lang w:eastAsia="zh-CN"/>
        </w:rPr>
        <w:t>人工基因驱动</w:t>
      </w:r>
      <w:r w:rsidRPr="008B0455">
        <w:rPr>
          <w:rFonts w:hint="eastAsia"/>
          <w:sz w:val="24"/>
          <w:szCs w:val="24"/>
          <w:lang w:eastAsia="zh-CN"/>
        </w:rPr>
        <w:t>的</w:t>
      </w:r>
      <w:r w:rsidRPr="008B0455">
        <w:rPr>
          <w:sz w:val="24"/>
          <w:szCs w:val="24"/>
          <w:lang w:eastAsia="zh-CN"/>
        </w:rPr>
        <w:t>改性活生物体</w:t>
      </w:r>
      <w:r w:rsidRPr="008B0455">
        <w:rPr>
          <w:rFonts w:hint="eastAsia"/>
          <w:sz w:val="24"/>
          <w:szCs w:val="24"/>
          <w:lang w:eastAsia="zh-CN"/>
        </w:rPr>
        <w:t>进行个案风险评估</w:t>
      </w:r>
      <w:r w:rsidRPr="008B0455">
        <w:rPr>
          <w:sz w:val="24"/>
          <w:szCs w:val="24"/>
          <w:vertAlign w:val="superscript"/>
        </w:rPr>
        <w:footnoteReference w:id="12"/>
      </w:r>
      <w:r w:rsidRPr="008B0455">
        <w:rPr>
          <w:rFonts w:hint="eastAsia"/>
          <w:sz w:val="24"/>
          <w:szCs w:val="24"/>
          <w:vertAlign w:val="superscript"/>
          <w:lang w:eastAsia="zh-CN"/>
        </w:rPr>
        <w:t xml:space="preserve"> </w:t>
      </w:r>
      <w:r w:rsidR="008B0455" w:rsidRPr="008B0455">
        <w:rPr>
          <w:rFonts w:hint="eastAsia"/>
          <w:sz w:val="24"/>
          <w:szCs w:val="24"/>
          <w:lang w:eastAsia="zh-CN"/>
        </w:rPr>
        <w:t>，</w:t>
      </w:r>
      <w:r w:rsidRPr="008B0455">
        <w:rPr>
          <w:rFonts w:hint="eastAsia"/>
          <w:sz w:val="24"/>
          <w:szCs w:val="24"/>
          <w:lang w:eastAsia="zh-CN"/>
        </w:rPr>
        <w:t>并避免与现有指导材料重复，</w:t>
      </w:r>
      <w:r w:rsidRPr="008B0455">
        <w:rPr>
          <w:sz w:val="24"/>
          <w:szCs w:val="24"/>
          <w:lang w:eastAsia="zh-CN"/>
        </w:rPr>
        <w:t>供</w:t>
      </w:r>
      <w:r w:rsidR="00066171" w:rsidRPr="008B0455">
        <w:rPr>
          <w:rFonts w:hint="eastAsia"/>
          <w:sz w:val="24"/>
          <w:szCs w:val="24"/>
          <w:lang w:eastAsia="zh-CN"/>
        </w:rPr>
        <w:t>科咨</w:t>
      </w:r>
      <w:r w:rsidRPr="008B0455">
        <w:rPr>
          <w:sz w:val="24"/>
          <w:szCs w:val="24"/>
          <w:lang w:eastAsia="zh-CN"/>
        </w:rPr>
        <w:t>机构在作为卡塔赫纳议定书缔约方会议的缔约方大会第十三次会议之前举行的</w:t>
      </w:r>
      <w:r w:rsidRPr="008B0455">
        <w:rPr>
          <w:rFonts w:hint="eastAsia"/>
          <w:sz w:val="24"/>
          <w:szCs w:val="24"/>
          <w:lang w:eastAsia="zh-CN"/>
        </w:rPr>
        <w:t>一次</w:t>
      </w:r>
      <w:r w:rsidRPr="008B0455">
        <w:rPr>
          <w:sz w:val="24"/>
          <w:szCs w:val="24"/>
          <w:lang w:eastAsia="zh-CN"/>
        </w:rPr>
        <w:t>会议审议</w:t>
      </w:r>
      <w:r w:rsidRPr="008B0455">
        <w:rPr>
          <w:rFonts w:hint="eastAsia"/>
          <w:sz w:val="24"/>
          <w:szCs w:val="24"/>
          <w:lang w:eastAsia="zh-CN"/>
        </w:rPr>
        <w:t>；</w:t>
      </w:r>
    </w:p>
    <w:p w14:paraId="260E096C" w14:textId="612FD156" w:rsidR="006B0264" w:rsidRPr="008B0455" w:rsidRDefault="00A25CD3" w:rsidP="006B0264">
      <w:pPr>
        <w:numPr>
          <w:ilvl w:val="1"/>
          <w:numId w:val="15"/>
        </w:numPr>
        <w:tabs>
          <w:tab w:val="clear" w:pos="567"/>
          <w:tab w:val="clear" w:pos="1134"/>
          <w:tab w:val="clear" w:pos="1701"/>
          <w:tab w:val="clear" w:pos="2268"/>
        </w:tabs>
        <w:spacing w:before="120" w:after="120"/>
        <w:ind w:left="979" w:firstLine="490"/>
        <w:rPr>
          <w:sz w:val="24"/>
          <w:szCs w:val="24"/>
          <w:lang w:eastAsia="zh-CN"/>
        </w:rPr>
      </w:pPr>
      <w:r w:rsidRPr="008B0455">
        <w:rPr>
          <w:rFonts w:hint="eastAsia"/>
          <w:sz w:val="24"/>
          <w:szCs w:val="24"/>
          <w:lang w:eastAsia="zh-CN"/>
        </w:rPr>
        <w:lastRenderedPageBreak/>
        <w:t>[</w:t>
      </w:r>
      <w:r w:rsidR="006B0264" w:rsidRPr="008B0455">
        <w:rPr>
          <w:rFonts w:hint="eastAsia"/>
          <w:sz w:val="24"/>
          <w:szCs w:val="24"/>
          <w:lang w:eastAsia="zh-CN"/>
        </w:rPr>
        <w:t>根据《</w:t>
      </w:r>
      <w:r w:rsidRPr="008B0455">
        <w:rPr>
          <w:rFonts w:hint="eastAsia"/>
          <w:sz w:val="24"/>
          <w:szCs w:val="24"/>
          <w:lang w:eastAsia="zh-CN"/>
        </w:rPr>
        <w:t>卡塔赫纳</w:t>
      </w:r>
      <w:r w:rsidR="006B0264" w:rsidRPr="008B0455">
        <w:rPr>
          <w:rFonts w:hint="eastAsia"/>
          <w:sz w:val="24"/>
          <w:szCs w:val="24"/>
          <w:lang w:eastAsia="zh-CN"/>
        </w:rPr>
        <w:t>议定书》附件三，</w:t>
      </w:r>
      <w:bookmarkStart w:id="0" w:name="_Hlk212155038"/>
      <w:r w:rsidR="006B0264" w:rsidRPr="008B0455">
        <w:rPr>
          <w:rFonts w:hint="eastAsia"/>
          <w:sz w:val="24"/>
          <w:szCs w:val="24"/>
          <w:lang w:eastAsia="zh-CN"/>
        </w:rPr>
        <w:t>就</w:t>
      </w:r>
      <w:r w:rsidR="006B0264" w:rsidRPr="008B0455">
        <w:rPr>
          <w:sz w:val="24"/>
          <w:szCs w:val="24"/>
          <w:lang w:eastAsia="zh-CN"/>
        </w:rPr>
        <w:t>将保护目标</w:t>
      </w:r>
      <w:r w:rsidR="006B0264" w:rsidRPr="008B0455">
        <w:rPr>
          <w:rFonts w:hint="eastAsia"/>
          <w:sz w:val="24"/>
          <w:szCs w:val="24"/>
          <w:lang w:eastAsia="zh-CN"/>
        </w:rPr>
        <w:t>转化为</w:t>
      </w:r>
      <w:r w:rsidR="006B0264" w:rsidRPr="008B0455">
        <w:rPr>
          <w:sz w:val="24"/>
          <w:szCs w:val="24"/>
          <w:lang w:eastAsia="zh-CN"/>
        </w:rPr>
        <w:t>相关的评估和衡量终点</w:t>
      </w:r>
      <w:r w:rsidR="00FE3F6B" w:rsidRPr="008B0455">
        <w:rPr>
          <w:rFonts w:hint="eastAsia"/>
          <w:sz w:val="24"/>
          <w:szCs w:val="24"/>
          <w:lang w:eastAsia="zh-CN"/>
        </w:rPr>
        <w:t>和</w:t>
      </w:r>
      <w:r w:rsidR="006B0264" w:rsidRPr="008B0455">
        <w:rPr>
          <w:sz w:val="24"/>
          <w:szCs w:val="24"/>
          <w:lang w:eastAsia="zh-CN"/>
        </w:rPr>
        <w:t>在原产地中心和传统农业系统中使用改性活生物体</w:t>
      </w:r>
      <w:r w:rsidR="006B0264" w:rsidRPr="008B0455">
        <w:rPr>
          <w:sz w:val="24"/>
          <w:szCs w:val="24"/>
          <w:vertAlign w:val="superscript"/>
        </w:rPr>
        <w:footnoteReference w:id="13"/>
      </w:r>
      <w:bookmarkEnd w:id="0"/>
      <w:r w:rsidR="004C2AEF" w:rsidRPr="008B0455">
        <w:rPr>
          <w:rFonts w:hint="eastAsia"/>
          <w:sz w:val="24"/>
          <w:szCs w:val="24"/>
          <w:lang w:eastAsia="zh-CN"/>
        </w:rPr>
        <w:t>两个</w:t>
      </w:r>
      <w:r w:rsidR="006B0264" w:rsidRPr="008B0455">
        <w:rPr>
          <w:rFonts w:hint="eastAsia"/>
          <w:sz w:val="24"/>
          <w:szCs w:val="24"/>
          <w:lang w:eastAsia="zh-CN"/>
        </w:rPr>
        <w:t>主题制定</w:t>
      </w:r>
      <w:r w:rsidR="006B0264" w:rsidRPr="008B0455">
        <w:rPr>
          <w:sz w:val="24"/>
          <w:szCs w:val="24"/>
          <w:lang w:eastAsia="zh-CN"/>
        </w:rPr>
        <w:t>技术说明草案</w:t>
      </w:r>
      <w:r w:rsidR="006B0264" w:rsidRPr="008B0455">
        <w:rPr>
          <w:sz w:val="24"/>
          <w:szCs w:val="24"/>
          <w:vertAlign w:val="superscript"/>
        </w:rPr>
        <w:footnoteReference w:id="14"/>
      </w:r>
      <w:r w:rsidR="008B0455">
        <w:rPr>
          <w:rFonts w:hint="eastAsia"/>
          <w:sz w:val="24"/>
          <w:szCs w:val="24"/>
          <w:lang w:eastAsia="zh-CN"/>
        </w:rPr>
        <w:t>，</w:t>
      </w:r>
      <w:r w:rsidR="006B0264" w:rsidRPr="008B0455">
        <w:rPr>
          <w:rFonts w:hint="eastAsia"/>
          <w:sz w:val="24"/>
          <w:szCs w:val="24"/>
          <w:lang w:eastAsia="zh-CN"/>
        </w:rPr>
        <w:t xml:space="preserve"> </w:t>
      </w:r>
      <w:r w:rsidR="006B0264" w:rsidRPr="008B0455">
        <w:rPr>
          <w:rFonts w:hint="eastAsia"/>
          <w:sz w:val="24"/>
          <w:szCs w:val="24"/>
          <w:lang w:eastAsia="zh-CN"/>
        </w:rPr>
        <w:t>供自愿使用</w:t>
      </w:r>
      <w:r w:rsidR="00FE3F6B" w:rsidRPr="008B0455">
        <w:rPr>
          <w:rFonts w:hint="eastAsia"/>
          <w:sz w:val="24"/>
          <w:szCs w:val="24"/>
          <w:lang w:eastAsia="zh-CN"/>
        </w:rPr>
        <w:t>]</w:t>
      </w:r>
      <w:r w:rsidR="006B0264" w:rsidRPr="008B0455">
        <w:rPr>
          <w:rFonts w:hint="eastAsia"/>
          <w:sz w:val="24"/>
          <w:szCs w:val="24"/>
          <w:lang w:eastAsia="zh-CN"/>
        </w:rPr>
        <w:t>，</w:t>
      </w:r>
      <w:r w:rsidR="00FE3F6B" w:rsidRPr="008B0455">
        <w:rPr>
          <w:rFonts w:hint="eastAsia"/>
          <w:sz w:val="24"/>
          <w:szCs w:val="24"/>
          <w:lang w:eastAsia="zh-CN"/>
        </w:rPr>
        <w:t>[</w:t>
      </w:r>
      <w:r w:rsidR="00FE3F6B" w:rsidRPr="008B0455">
        <w:rPr>
          <w:rFonts w:hint="eastAsia"/>
          <w:sz w:val="24"/>
          <w:szCs w:val="24"/>
          <w:lang w:eastAsia="zh-CN"/>
        </w:rPr>
        <w:t>为自愿使用制定简明补充指南，提供关于</w:t>
      </w:r>
      <w:r w:rsidR="00FE3F6B" w:rsidRPr="008B0455">
        <w:rPr>
          <w:rFonts w:hint="eastAsia"/>
          <w:sz w:val="24"/>
          <w:szCs w:val="24"/>
          <w:lang w:eastAsia="zh-CN"/>
        </w:rPr>
        <w:t>[</w:t>
      </w:r>
      <w:r w:rsidR="00FE3F6B" w:rsidRPr="008B0455">
        <w:rPr>
          <w:rFonts w:hint="eastAsia"/>
          <w:sz w:val="24"/>
          <w:szCs w:val="24"/>
          <w:lang w:eastAsia="zh-CN"/>
        </w:rPr>
        <w:t>改性活藻类、</w:t>
      </w:r>
      <w:r w:rsidR="00FE3F6B" w:rsidRPr="008B0455">
        <w:rPr>
          <w:rFonts w:hint="eastAsia"/>
          <w:sz w:val="24"/>
          <w:szCs w:val="24"/>
          <w:lang w:eastAsia="zh-CN"/>
        </w:rPr>
        <w:t>][</w:t>
      </w:r>
      <w:r w:rsidR="00FE3F6B" w:rsidRPr="008B0455">
        <w:rPr>
          <w:rFonts w:hint="eastAsia"/>
          <w:sz w:val="24"/>
          <w:szCs w:val="24"/>
          <w:lang w:eastAsia="zh-CN"/>
        </w:rPr>
        <w:t>改性活鱼类、</w:t>
      </w:r>
      <w:r w:rsidR="00FE3F6B" w:rsidRPr="008B0455">
        <w:rPr>
          <w:rFonts w:hint="eastAsia"/>
          <w:sz w:val="24"/>
          <w:szCs w:val="24"/>
          <w:lang w:eastAsia="zh-CN"/>
        </w:rPr>
        <w:t>][</w:t>
      </w:r>
      <w:r w:rsidR="00FE3F6B" w:rsidRPr="008B0455">
        <w:rPr>
          <w:rFonts w:hint="eastAsia"/>
          <w:sz w:val="24"/>
          <w:szCs w:val="24"/>
          <w:lang w:eastAsia="zh-CN"/>
        </w:rPr>
        <w:t>改性活微生物、</w:t>
      </w:r>
      <w:r w:rsidR="00FE3F6B" w:rsidRPr="008B0455">
        <w:rPr>
          <w:rFonts w:hint="eastAsia"/>
          <w:sz w:val="24"/>
          <w:szCs w:val="24"/>
          <w:lang w:eastAsia="zh-CN"/>
        </w:rPr>
        <w:t>][</w:t>
      </w:r>
      <w:r w:rsidR="00FE3F6B" w:rsidRPr="008B0455">
        <w:rPr>
          <w:rFonts w:hint="eastAsia"/>
          <w:sz w:val="24"/>
          <w:szCs w:val="24"/>
          <w:lang w:eastAsia="zh-CN"/>
        </w:rPr>
        <w:t>表达用于害虫或病原体控制的基因组编辑机制的改性活生物体、</w:t>
      </w:r>
      <w:r w:rsidR="00FE3F6B" w:rsidRPr="008B0455">
        <w:rPr>
          <w:rFonts w:hint="eastAsia"/>
          <w:sz w:val="24"/>
          <w:szCs w:val="24"/>
          <w:lang w:eastAsia="zh-CN"/>
        </w:rPr>
        <w:t>][</w:t>
      </w:r>
      <w:r w:rsidR="00FE3F6B" w:rsidRPr="008B0455">
        <w:rPr>
          <w:rFonts w:hint="eastAsia"/>
          <w:sz w:val="24"/>
          <w:szCs w:val="24"/>
          <w:lang w:eastAsia="zh-CN"/>
        </w:rPr>
        <w:t>基因结构和改性活生物体的长期和累积效应、</w:t>
      </w:r>
      <w:r w:rsidR="00FE3F6B" w:rsidRPr="008B0455">
        <w:rPr>
          <w:rFonts w:hint="eastAsia"/>
          <w:sz w:val="24"/>
          <w:szCs w:val="24"/>
          <w:lang w:eastAsia="zh-CN"/>
        </w:rPr>
        <w:t>][</w:t>
      </w:r>
      <w:r w:rsidR="00FE3F6B" w:rsidRPr="008B0455">
        <w:rPr>
          <w:rFonts w:hint="eastAsia"/>
          <w:sz w:val="24"/>
          <w:szCs w:val="24"/>
          <w:lang w:eastAsia="zh-CN"/>
        </w:rPr>
        <w:t>将保护目标</w:t>
      </w:r>
      <w:r w:rsidR="007004C8" w:rsidRPr="008B0455">
        <w:rPr>
          <w:rFonts w:hint="eastAsia"/>
          <w:sz w:val="24"/>
          <w:szCs w:val="24"/>
          <w:lang w:eastAsia="zh-CN"/>
        </w:rPr>
        <w:t>转化为</w:t>
      </w:r>
      <w:r w:rsidR="00FE3F6B" w:rsidRPr="008B0455">
        <w:rPr>
          <w:rFonts w:hint="eastAsia"/>
          <w:sz w:val="24"/>
          <w:szCs w:val="24"/>
          <w:lang w:eastAsia="zh-CN"/>
        </w:rPr>
        <w:t>相关评估和测量终点、</w:t>
      </w:r>
      <w:r w:rsidR="00FE3F6B" w:rsidRPr="008B0455">
        <w:rPr>
          <w:rFonts w:hint="eastAsia"/>
          <w:sz w:val="24"/>
          <w:szCs w:val="24"/>
          <w:lang w:eastAsia="zh-CN"/>
        </w:rPr>
        <w:t>][</w:t>
      </w:r>
      <w:r w:rsidR="00FE3F6B" w:rsidRPr="008B0455">
        <w:rPr>
          <w:rFonts w:hint="eastAsia"/>
          <w:sz w:val="24"/>
          <w:szCs w:val="24"/>
          <w:lang w:eastAsia="zh-CN"/>
        </w:rPr>
        <w:t>改性活生物体在原产地中心和传统农业系统中的使用</w:t>
      </w:r>
      <w:r w:rsidR="00FE3F6B" w:rsidRPr="008B0455">
        <w:rPr>
          <w:rFonts w:hint="eastAsia"/>
          <w:sz w:val="24"/>
          <w:szCs w:val="24"/>
          <w:lang w:eastAsia="zh-CN"/>
        </w:rPr>
        <w:t>]</w:t>
      </w:r>
      <w:r w:rsidR="00FE3F6B" w:rsidRPr="008B0455">
        <w:rPr>
          <w:rFonts w:hint="eastAsia"/>
          <w:sz w:val="24"/>
          <w:szCs w:val="24"/>
          <w:lang w:eastAsia="zh-CN"/>
        </w:rPr>
        <w:t>的具体、清晰和有重点的信息</w:t>
      </w:r>
      <w:r w:rsidR="00FE3F6B" w:rsidRPr="008B0455">
        <w:rPr>
          <w:rFonts w:hint="eastAsia"/>
          <w:sz w:val="24"/>
          <w:szCs w:val="24"/>
          <w:lang w:eastAsia="zh-CN"/>
        </w:rPr>
        <w:t>]]</w:t>
      </w:r>
      <w:r w:rsidR="00FE3F6B" w:rsidRPr="008B0455">
        <w:rPr>
          <w:rFonts w:hint="eastAsia"/>
          <w:sz w:val="24"/>
          <w:szCs w:val="24"/>
          <w:lang w:eastAsia="zh-CN"/>
        </w:rPr>
        <w:t>，</w:t>
      </w:r>
      <w:r w:rsidR="006B0264" w:rsidRPr="008B0455">
        <w:rPr>
          <w:rFonts w:hint="eastAsia"/>
          <w:sz w:val="24"/>
          <w:szCs w:val="24"/>
          <w:lang w:eastAsia="zh-CN"/>
        </w:rPr>
        <w:t>同时避免与现有指导材料重复，</w:t>
      </w:r>
      <w:r w:rsidR="006B0264" w:rsidRPr="008B0455">
        <w:rPr>
          <w:snapToGrid w:val="0"/>
          <w:sz w:val="24"/>
          <w:szCs w:val="24"/>
          <w:lang w:eastAsia="zh-CN"/>
        </w:rPr>
        <w:t>供</w:t>
      </w:r>
      <w:r w:rsidR="006B0264" w:rsidRPr="008B0455">
        <w:rPr>
          <w:rFonts w:hint="eastAsia"/>
          <w:snapToGrid w:val="0"/>
          <w:sz w:val="24"/>
          <w:szCs w:val="24"/>
          <w:lang w:eastAsia="zh-CN"/>
        </w:rPr>
        <w:t>科咨</w:t>
      </w:r>
      <w:r w:rsidR="006B0264" w:rsidRPr="008B0455">
        <w:rPr>
          <w:snapToGrid w:val="0"/>
          <w:sz w:val="24"/>
          <w:szCs w:val="24"/>
          <w:lang w:eastAsia="zh-CN"/>
        </w:rPr>
        <w:t>机构在作为议定书缔约方会议的缔约方大会第十三次会议之前举行的</w:t>
      </w:r>
      <w:r w:rsidR="006B0264" w:rsidRPr="008B0455">
        <w:rPr>
          <w:rFonts w:hint="eastAsia"/>
          <w:snapToGrid w:val="0"/>
          <w:sz w:val="24"/>
          <w:szCs w:val="24"/>
          <w:lang w:eastAsia="zh-CN"/>
        </w:rPr>
        <w:t>一次</w:t>
      </w:r>
      <w:r w:rsidR="006B0264" w:rsidRPr="008B0455">
        <w:rPr>
          <w:snapToGrid w:val="0"/>
          <w:sz w:val="24"/>
          <w:szCs w:val="24"/>
          <w:lang w:eastAsia="zh-CN"/>
        </w:rPr>
        <w:t>会议上审议</w:t>
      </w:r>
      <w:r w:rsidR="006B0264" w:rsidRPr="008B0455">
        <w:rPr>
          <w:rFonts w:hint="eastAsia"/>
          <w:sz w:val="24"/>
          <w:szCs w:val="24"/>
          <w:lang w:eastAsia="zh-CN"/>
        </w:rPr>
        <w:t>。</w:t>
      </w:r>
      <w:r w:rsidR="00FE3F6B" w:rsidRPr="008B0455">
        <w:rPr>
          <w:rFonts w:hint="eastAsia"/>
          <w:sz w:val="24"/>
          <w:szCs w:val="24"/>
          <w:lang w:eastAsia="zh-CN"/>
        </w:rPr>
        <w:t>[</w:t>
      </w:r>
      <w:r w:rsidR="00FE3F6B" w:rsidRPr="008B0455">
        <w:rPr>
          <w:rFonts w:hint="eastAsia"/>
          <w:sz w:val="24"/>
          <w:szCs w:val="24"/>
          <w:lang w:eastAsia="zh-CN"/>
        </w:rPr>
        <w:t>指南可包括风险评估过程中需要考虑的程序性或实用性要素或要点。</w:t>
      </w:r>
      <w:r w:rsidR="00FE3F6B" w:rsidRPr="008B0455">
        <w:rPr>
          <w:rFonts w:hint="eastAsia"/>
          <w:sz w:val="24"/>
          <w:szCs w:val="24"/>
          <w:lang w:eastAsia="zh-CN"/>
        </w:rPr>
        <w:t>]</w:t>
      </w:r>
    </w:p>
    <w:p w14:paraId="038C3C2B" w14:textId="569F76FE" w:rsidR="006B0264" w:rsidRPr="008B0455" w:rsidRDefault="006B0264" w:rsidP="006B0264">
      <w:pPr>
        <w:numPr>
          <w:ilvl w:val="0"/>
          <w:numId w:val="15"/>
        </w:numPr>
        <w:tabs>
          <w:tab w:val="clear" w:pos="567"/>
          <w:tab w:val="clear" w:pos="1134"/>
          <w:tab w:val="clear" w:pos="1701"/>
          <w:tab w:val="clear" w:pos="2268"/>
        </w:tabs>
        <w:spacing w:before="120" w:after="120"/>
        <w:ind w:left="979"/>
        <w:rPr>
          <w:sz w:val="24"/>
          <w:szCs w:val="24"/>
          <w:lang w:eastAsia="zh-CN"/>
        </w:rPr>
      </w:pPr>
      <w:r w:rsidRPr="008B0455">
        <w:rPr>
          <w:sz w:val="24"/>
          <w:szCs w:val="24"/>
          <w:lang w:eastAsia="zh-CN"/>
        </w:rPr>
        <w:t>专家组开展工作时应</w:t>
      </w:r>
      <w:r w:rsidRPr="008B0455">
        <w:rPr>
          <w:rFonts w:hint="eastAsia"/>
          <w:sz w:val="24"/>
          <w:szCs w:val="24"/>
          <w:lang w:eastAsia="zh-CN"/>
        </w:rPr>
        <w:t>考虑</w:t>
      </w:r>
      <w:r w:rsidRPr="008B0455">
        <w:rPr>
          <w:sz w:val="24"/>
          <w:szCs w:val="24"/>
          <w:lang w:eastAsia="zh-CN"/>
        </w:rPr>
        <w:t>根据本决定第</w:t>
      </w:r>
      <w:r w:rsidRPr="008B0455">
        <w:rPr>
          <w:sz w:val="24"/>
          <w:szCs w:val="24"/>
          <w:lang w:eastAsia="zh-CN"/>
        </w:rPr>
        <w:t>5</w:t>
      </w:r>
      <w:r w:rsidRPr="008B0455">
        <w:rPr>
          <w:sz w:val="24"/>
          <w:szCs w:val="24"/>
          <w:lang w:eastAsia="zh-CN"/>
        </w:rPr>
        <w:t>段提交的</w:t>
      </w:r>
      <w:r w:rsidRPr="008B0455">
        <w:rPr>
          <w:rFonts w:hint="eastAsia"/>
          <w:sz w:val="24"/>
          <w:szCs w:val="24"/>
          <w:lang w:eastAsia="zh-CN"/>
        </w:rPr>
        <w:t>信息</w:t>
      </w:r>
      <w:r w:rsidRPr="008B0455">
        <w:rPr>
          <w:sz w:val="24"/>
          <w:szCs w:val="24"/>
          <w:lang w:eastAsia="zh-CN"/>
        </w:rPr>
        <w:t>、在风险评估和风险管理问题不限成员名额在线论坛上举行的讨论、秘书处根据本决定第</w:t>
      </w:r>
      <w:r w:rsidRPr="008B0455">
        <w:rPr>
          <w:sz w:val="24"/>
          <w:szCs w:val="24"/>
          <w:lang w:eastAsia="zh-CN"/>
        </w:rPr>
        <w:t>12 (c)</w:t>
      </w:r>
      <w:r w:rsidRPr="008B0455">
        <w:rPr>
          <w:sz w:val="24"/>
          <w:szCs w:val="24"/>
          <w:lang w:eastAsia="zh-CN"/>
        </w:rPr>
        <w:t>段</w:t>
      </w:r>
      <w:r w:rsidRPr="008B0455">
        <w:rPr>
          <w:rFonts w:hint="eastAsia"/>
          <w:sz w:val="24"/>
          <w:szCs w:val="24"/>
          <w:lang w:eastAsia="zh-CN"/>
        </w:rPr>
        <w:t>拟定</w:t>
      </w:r>
      <w:r w:rsidRPr="008B0455">
        <w:rPr>
          <w:sz w:val="24"/>
          <w:szCs w:val="24"/>
          <w:lang w:eastAsia="zh-CN"/>
        </w:rPr>
        <w:t>的</w:t>
      </w:r>
      <w:r w:rsidRPr="008B0455">
        <w:rPr>
          <w:rFonts w:hint="eastAsia"/>
          <w:sz w:val="24"/>
          <w:szCs w:val="24"/>
          <w:lang w:eastAsia="zh-CN"/>
        </w:rPr>
        <w:t>信息</w:t>
      </w:r>
      <w:r w:rsidRPr="008B0455">
        <w:rPr>
          <w:sz w:val="24"/>
          <w:szCs w:val="24"/>
          <w:lang w:eastAsia="zh-CN"/>
        </w:rPr>
        <w:t>综述、</w:t>
      </w:r>
      <w:r w:rsidRPr="008B0455">
        <w:rPr>
          <w:rFonts w:hint="eastAsia"/>
          <w:sz w:val="24"/>
          <w:szCs w:val="24"/>
          <w:lang w:eastAsia="zh-CN"/>
        </w:rPr>
        <w:t>收到</w:t>
      </w:r>
      <w:r w:rsidRPr="008B0455">
        <w:rPr>
          <w:sz w:val="24"/>
          <w:szCs w:val="24"/>
          <w:lang w:eastAsia="zh-CN"/>
        </w:rPr>
        <w:t>的风险评估</w:t>
      </w:r>
      <w:r w:rsidRPr="008B0455">
        <w:rPr>
          <w:rFonts w:hint="eastAsia"/>
          <w:sz w:val="24"/>
          <w:szCs w:val="24"/>
          <w:lang w:eastAsia="zh-CN"/>
        </w:rPr>
        <w:t>信息</w:t>
      </w:r>
      <w:r w:rsidRPr="008B0455">
        <w:rPr>
          <w:sz w:val="24"/>
          <w:szCs w:val="24"/>
          <w:lang w:eastAsia="zh-CN"/>
        </w:rPr>
        <w:t>综述、在线论坛</w:t>
      </w:r>
      <w:r w:rsidR="00C57D19" w:rsidRPr="008B0455">
        <w:rPr>
          <w:rFonts w:hint="eastAsia"/>
          <w:sz w:val="24"/>
          <w:szCs w:val="24"/>
          <w:lang w:eastAsia="zh-CN"/>
        </w:rPr>
        <w:t>举行</w:t>
      </w:r>
      <w:r w:rsidRPr="008B0455">
        <w:rPr>
          <w:sz w:val="24"/>
          <w:szCs w:val="24"/>
          <w:lang w:eastAsia="zh-CN"/>
        </w:rPr>
        <w:t>的讨论</w:t>
      </w:r>
      <w:r w:rsidRPr="008B0455">
        <w:rPr>
          <w:sz w:val="24"/>
          <w:szCs w:val="24"/>
          <w:vertAlign w:val="superscript"/>
        </w:rPr>
        <w:footnoteReference w:id="15"/>
      </w:r>
      <w:r w:rsidRPr="008B0455">
        <w:rPr>
          <w:rFonts w:hint="eastAsia"/>
          <w:sz w:val="24"/>
          <w:szCs w:val="24"/>
          <w:lang w:eastAsia="zh-CN"/>
        </w:rPr>
        <w:t>、</w:t>
      </w:r>
      <w:r w:rsidRPr="008B0455">
        <w:rPr>
          <w:sz w:val="24"/>
          <w:szCs w:val="24"/>
          <w:lang w:eastAsia="zh-CN"/>
        </w:rPr>
        <w:t>缔约方</w:t>
      </w:r>
      <w:r w:rsidRPr="008B0455">
        <w:rPr>
          <w:rFonts w:hint="eastAsia"/>
          <w:sz w:val="24"/>
          <w:szCs w:val="24"/>
          <w:lang w:eastAsia="zh-CN"/>
        </w:rPr>
        <w:t>呈件所载</w:t>
      </w:r>
      <w:r w:rsidRPr="008B0455">
        <w:rPr>
          <w:sz w:val="24"/>
          <w:szCs w:val="24"/>
          <w:lang w:eastAsia="zh-CN"/>
        </w:rPr>
        <w:t>和在线论坛讨论期间提供的参考</w:t>
      </w:r>
      <w:r w:rsidRPr="008B0455">
        <w:rPr>
          <w:rFonts w:hint="eastAsia"/>
          <w:sz w:val="24"/>
          <w:szCs w:val="24"/>
          <w:lang w:eastAsia="zh-CN"/>
        </w:rPr>
        <w:t>文献</w:t>
      </w:r>
      <w:r w:rsidRPr="008B0455">
        <w:rPr>
          <w:sz w:val="24"/>
          <w:szCs w:val="24"/>
          <w:lang w:eastAsia="zh-CN"/>
        </w:rPr>
        <w:t>清单</w:t>
      </w:r>
      <w:r w:rsidRPr="008B0455">
        <w:rPr>
          <w:sz w:val="24"/>
          <w:szCs w:val="24"/>
          <w:vertAlign w:val="superscript"/>
        </w:rPr>
        <w:footnoteReference w:id="16"/>
      </w:r>
      <w:r w:rsidRPr="008B0455">
        <w:rPr>
          <w:sz w:val="24"/>
          <w:szCs w:val="24"/>
          <w:lang w:eastAsia="zh-CN"/>
        </w:rPr>
        <w:t xml:space="preserve"> </w:t>
      </w:r>
      <w:r w:rsidR="00C57D19" w:rsidRPr="008B0455">
        <w:rPr>
          <w:rFonts w:hint="eastAsia"/>
          <w:sz w:val="24"/>
          <w:szCs w:val="24"/>
          <w:lang w:eastAsia="zh-CN"/>
        </w:rPr>
        <w:t>。</w:t>
      </w:r>
    </w:p>
    <w:p w14:paraId="35ECFF7C" w14:textId="77777777" w:rsidR="006B0264" w:rsidRPr="008B0455" w:rsidRDefault="006B0264" w:rsidP="006B0264">
      <w:pPr>
        <w:numPr>
          <w:ilvl w:val="0"/>
          <w:numId w:val="15"/>
        </w:numPr>
        <w:tabs>
          <w:tab w:val="clear" w:pos="567"/>
          <w:tab w:val="clear" w:pos="1134"/>
          <w:tab w:val="clear" w:pos="1701"/>
          <w:tab w:val="clear" w:pos="2268"/>
        </w:tabs>
        <w:spacing w:before="120" w:after="120"/>
        <w:ind w:left="979"/>
        <w:rPr>
          <w:sz w:val="24"/>
          <w:szCs w:val="24"/>
          <w:lang w:eastAsia="zh-CN"/>
        </w:rPr>
      </w:pPr>
      <w:r w:rsidRPr="008B0455">
        <w:rPr>
          <w:sz w:val="24"/>
          <w:szCs w:val="24"/>
          <w:lang w:eastAsia="zh-CN"/>
        </w:rPr>
        <w:t>专家组开展工作时还应考虑其他国际、区域和国家机构</w:t>
      </w:r>
      <w:r w:rsidRPr="008B0455">
        <w:rPr>
          <w:rFonts w:hint="eastAsia"/>
          <w:sz w:val="24"/>
          <w:szCs w:val="24"/>
          <w:lang w:eastAsia="zh-CN"/>
        </w:rPr>
        <w:t>产出</w:t>
      </w:r>
      <w:r w:rsidRPr="008B0455">
        <w:rPr>
          <w:sz w:val="24"/>
          <w:szCs w:val="24"/>
          <w:lang w:eastAsia="zh-CN"/>
        </w:rPr>
        <w:t>的信息，避免重复</w:t>
      </w:r>
      <w:r w:rsidRPr="008B0455">
        <w:rPr>
          <w:rFonts w:hint="eastAsia"/>
          <w:sz w:val="24"/>
          <w:szCs w:val="24"/>
          <w:lang w:eastAsia="zh-CN"/>
        </w:rPr>
        <w:t>已有</w:t>
      </w:r>
      <w:r w:rsidRPr="008B0455">
        <w:rPr>
          <w:sz w:val="24"/>
          <w:szCs w:val="24"/>
          <w:lang w:eastAsia="zh-CN"/>
        </w:rPr>
        <w:t>材料。</w:t>
      </w:r>
    </w:p>
    <w:p w14:paraId="2E53B983" w14:textId="77777777" w:rsidR="006B0264" w:rsidRPr="00BC7D0F" w:rsidRDefault="006B0264" w:rsidP="006B0264">
      <w:pPr>
        <w:tabs>
          <w:tab w:val="clear" w:pos="567"/>
          <w:tab w:val="clear" w:pos="1134"/>
          <w:tab w:val="clear" w:pos="1701"/>
          <w:tab w:val="clear" w:pos="2268"/>
        </w:tabs>
        <w:spacing w:before="120" w:after="120"/>
        <w:ind w:left="979"/>
      </w:pPr>
      <w:r w:rsidRPr="00BC7D0F">
        <w:t>]</w:t>
      </w:r>
    </w:p>
    <w:p w14:paraId="5D00A005" w14:textId="77777777" w:rsidR="006B0264" w:rsidRPr="00BC7D0F" w:rsidRDefault="006B0264" w:rsidP="001D654A">
      <w:pPr>
        <w:jc w:val="center"/>
        <w:rPr>
          <w:lang w:val="en-CA"/>
        </w:rPr>
      </w:pPr>
      <w:r w:rsidRPr="00EB55FB">
        <w:rPr>
          <w:lang w:val="en-CA"/>
        </w:rPr>
        <w:t>__________</w:t>
      </w:r>
    </w:p>
    <w:p w14:paraId="6826BE91" w14:textId="0C881892" w:rsidR="00352721" w:rsidRPr="00DD792C" w:rsidRDefault="00352721" w:rsidP="00352721">
      <w:pPr>
        <w:tabs>
          <w:tab w:val="clear" w:pos="567"/>
          <w:tab w:val="left" w:pos="2835"/>
          <w:tab w:val="left" w:pos="3402"/>
          <w:tab w:val="left" w:pos="3969"/>
        </w:tabs>
        <w:spacing w:before="120" w:after="120"/>
        <w:rPr>
          <w:sz w:val="24"/>
        </w:rPr>
      </w:pPr>
    </w:p>
    <w:sectPr w:rsidR="00352721" w:rsidRPr="00DD792C" w:rsidSect="00BC7D0F">
      <w:headerReference w:type="even" r:id="rId22"/>
      <w:headerReference w:type="default" r:id="rId23"/>
      <w:footerReference w:type="even" r:id="rId24"/>
      <w:footerReference w:type="default" r:id="rId25"/>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1C98" w14:textId="77777777" w:rsidR="009D0D30" w:rsidRDefault="009D0D30" w:rsidP="00840E56">
      <w:r>
        <w:separator/>
      </w:r>
    </w:p>
  </w:endnote>
  <w:endnote w:type="continuationSeparator" w:id="0">
    <w:p w14:paraId="37A37975" w14:textId="77777777" w:rsidR="009D0D30" w:rsidRDefault="009D0D30" w:rsidP="008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Content>
      <w:p w14:paraId="73BA6EA0" w14:textId="1A4C2C88" w:rsidR="00D4364D" w:rsidRDefault="004D2538">
        <w:pPr>
          <w:pStyle w:val="Footer"/>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56901"/>
      <w:docPartObj>
        <w:docPartGallery w:val="Page Numbers (Top of Page)"/>
        <w:docPartUnique/>
      </w:docPartObj>
    </w:sdtPr>
    <w:sdtContent>
      <w:p w14:paraId="06BEFDC1" w14:textId="20072357" w:rsidR="00D4364D" w:rsidRDefault="004D2538" w:rsidP="00B1090B">
        <w:pPr>
          <w:pStyle w:val="Footer"/>
          <w:jc w:val="right"/>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31A1" w14:textId="77777777" w:rsidR="009D0D30" w:rsidRDefault="009D0D30" w:rsidP="00840E56">
      <w:r>
        <w:separator/>
      </w:r>
    </w:p>
  </w:footnote>
  <w:footnote w:type="continuationSeparator" w:id="0">
    <w:p w14:paraId="4B1DF584" w14:textId="77777777" w:rsidR="009D0D30" w:rsidRDefault="009D0D30" w:rsidP="00840E56">
      <w:r>
        <w:continuationSeparator/>
      </w:r>
    </w:p>
  </w:footnote>
  <w:footnote w:id="1">
    <w:p w14:paraId="4B12A071" w14:textId="77777777" w:rsidR="00DD792C" w:rsidRPr="003D3BAD" w:rsidRDefault="00DD792C" w:rsidP="00DD792C">
      <w:pPr>
        <w:pStyle w:val="FootnoteText"/>
        <w:rPr>
          <w:sz w:val="20"/>
          <w:lang w:eastAsia="zh-CN"/>
        </w:rPr>
      </w:pPr>
      <w:r w:rsidRPr="003D3BAD">
        <w:rPr>
          <w:rStyle w:val="FootnoteReference"/>
          <w:sz w:val="20"/>
        </w:rPr>
        <w:footnoteRef/>
      </w:r>
      <w:r w:rsidRPr="003D3BAD">
        <w:rPr>
          <w:sz w:val="20"/>
          <w:lang w:eastAsia="zh-CN"/>
        </w:rPr>
        <w:t xml:space="preserve"> </w:t>
      </w:r>
      <w:r w:rsidRPr="003D3BAD">
        <w:rPr>
          <w:rFonts w:hint="eastAsia"/>
          <w:sz w:val="20"/>
          <w:lang w:eastAsia="zh-CN"/>
        </w:rPr>
        <w:t>联合国《条约汇编》，第</w:t>
      </w:r>
      <w:r w:rsidRPr="003D3BAD">
        <w:rPr>
          <w:rFonts w:hint="eastAsia"/>
          <w:sz w:val="20"/>
          <w:lang w:eastAsia="zh-CN"/>
        </w:rPr>
        <w:t>2226</w:t>
      </w:r>
      <w:r w:rsidRPr="003D3BAD">
        <w:rPr>
          <w:rFonts w:hint="eastAsia"/>
          <w:sz w:val="20"/>
          <w:lang w:eastAsia="zh-CN"/>
        </w:rPr>
        <w:t>卷，第</w:t>
      </w:r>
      <w:r w:rsidRPr="003D3BAD">
        <w:rPr>
          <w:rFonts w:hint="eastAsia"/>
          <w:sz w:val="20"/>
          <w:lang w:eastAsia="zh-CN"/>
        </w:rPr>
        <w:t>30619</w:t>
      </w:r>
      <w:r w:rsidRPr="003D3BAD">
        <w:rPr>
          <w:rFonts w:hint="eastAsia"/>
          <w:sz w:val="20"/>
          <w:lang w:eastAsia="zh-CN"/>
        </w:rPr>
        <w:t>号。</w:t>
      </w:r>
    </w:p>
  </w:footnote>
  <w:footnote w:id="2">
    <w:p w14:paraId="24A1D94F" w14:textId="77777777" w:rsidR="00DD792C" w:rsidRPr="003D3BAD" w:rsidRDefault="00DD792C" w:rsidP="00DD792C">
      <w:pPr>
        <w:pStyle w:val="FootnoteText"/>
        <w:rPr>
          <w:sz w:val="20"/>
          <w:lang w:eastAsia="zh-CN"/>
        </w:rPr>
      </w:pPr>
      <w:r w:rsidRPr="003D3BAD">
        <w:rPr>
          <w:rStyle w:val="FootnoteReference"/>
          <w:sz w:val="20"/>
        </w:rPr>
        <w:footnoteRef/>
      </w:r>
      <w:r w:rsidRPr="003D3BAD">
        <w:rPr>
          <w:sz w:val="20"/>
          <w:lang w:eastAsia="zh-CN"/>
        </w:rPr>
        <w:t xml:space="preserve"> </w:t>
      </w:r>
      <w:r w:rsidRPr="003D3BAD">
        <w:rPr>
          <w:rFonts w:hint="eastAsia"/>
          <w:sz w:val="20"/>
          <w:lang w:eastAsia="zh-CN"/>
        </w:rPr>
        <w:t>见</w:t>
      </w:r>
      <w:hyperlink r:id="rId1" w:history="1">
        <w:r w:rsidRPr="003D3BAD">
          <w:rPr>
            <w:rStyle w:val="Hyperlink"/>
            <w:sz w:val="20"/>
            <w:lang w:eastAsia="zh-CN"/>
          </w:rPr>
          <w:t>CBD/CP/RA/AHTEG/2025/1/3</w:t>
        </w:r>
      </w:hyperlink>
      <w:r w:rsidRPr="003D3BAD">
        <w:rPr>
          <w:rFonts w:hint="eastAsia"/>
          <w:sz w:val="20"/>
          <w:lang w:eastAsia="zh-CN"/>
        </w:rPr>
        <w:t>。</w:t>
      </w:r>
    </w:p>
  </w:footnote>
  <w:footnote w:id="3">
    <w:p w14:paraId="701A5F66" w14:textId="66AAFB89" w:rsidR="00DD792C" w:rsidRPr="003D3BAD" w:rsidRDefault="00DD792C" w:rsidP="00DD792C">
      <w:pPr>
        <w:pStyle w:val="FootnoteText"/>
        <w:rPr>
          <w:sz w:val="20"/>
          <w:lang w:eastAsia="zh-CN"/>
        </w:rPr>
      </w:pPr>
      <w:r w:rsidRPr="003D3BAD">
        <w:rPr>
          <w:rStyle w:val="FootnoteReference"/>
          <w:sz w:val="20"/>
        </w:rPr>
        <w:footnoteRef/>
      </w:r>
      <w:r w:rsidRPr="003D3BAD">
        <w:rPr>
          <w:sz w:val="20"/>
          <w:lang w:val="en-US" w:eastAsia="zh-CN"/>
        </w:rPr>
        <w:t xml:space="preserve"> </w:t>
      </w:r>
      <w:r w:rsidR="00A25CD3" w:rsidRPr="003D3BAD">
        <w:rPr>
          <w:rFonts w:hint="eastAsia"/>
          <w:sz w:val="20"/>
          <w:lang w:eastAsia="zh-CN"/>
        </w:rPr>
        <w:t>见</w:t>
      </w:r>
      <w:hyperlink r:id="rId2" w:history="1">
        <w:r w:rsidRPr="003D3BAD">
          <w:rPr>
            <w:rStyle w:val="Hyperlink"/>
            <w:sz w:val="20"/>
            <w:lang w:val="en-US" w:eastAsia="zh-CN"/>
          </w:rPr>
          <w:t>CBD/SBSTTA/27/6</w:t>
        </w:r>
      </w:hyperlink>
      <w:r w:rsidR="00A25CD3">
        <w:rPr>
          <w:rFonts w:hint="eastAsia"/>
          <w:sz w:val="20"/>
          <w:lang w:eastAsia="zh-CN"/>
        </w:rPr>
        <w:t>，</w:t>
      </w:r>
      <w:r w:rsidRPr="003D3BAD">
        <w:rPr>
          <w:sz w:val="20"/>
          <w:lang w:eastAsia="zh-CN"/>
        </w:rPr>
        <w:t xml:space="preserve"> </w:t>
      </w:r>
      <w:r w:rsidRPr="003D3BAD">
        <w:rPr>
          <w:rFonts w:hint="eastAsia"/>
          <w:sz w:val="20"/>
          <w:lang w:eastAsia="zh-CN"/>
        </w:rPr>
        <w:t>附件。</w:t>
      </w:r>
    </w:p>
  </w:footnote>
  <w:footnote w:id="4">
    <w:p w14:paraId="3ECAB2A2" w14:textId="77777777" w:rsidR="00DD792C" w:rsidRPr="00F13E8F" w:rsidRDefault="00DD792C" w:rsidP="00DD792C">
      <w:pPr>
        <w:pStyle w:val="FootnoteText"/>
        <w:rPr>
          <w:lang w:eastAsia="zh-CN"/>
        </w:rPr>
      </w:pPr>
      <w:r w:rsidRPr="003D3BAD">
        <w:rPr>
          <w:rStyle w:val="FootnoteReference"/>
          <w:sz w:val="20"/>
        </w:rPr>
        <w:footnoteRef/>
      </w:r>
      <w:r w:rsidRPr="003D3BAD">
        <w:rPr>
          <w:sz w:val="20"/>
          <w:lang w:eastAsia="zh-CN"/>
        </w:rPr>
        <w:t xml:space="preserve"> </w:t>
      </w:r>
      <w:r w:rsidRPr="003D3BAD">
        <w:rPr>
          <w:rFonts w:hint="eastAsia"/>
          <w:sz w:val="20"/>
          <w:lang w:eastAsia="zh-CN"/>
        </w:rPr>
        <w:t>联合国《条约汇编》，第</w:t>
      </w:r>
      <w:r w:rsidRPr="003D3BAD">
        <w:rPr>
          <w:rFonts w:hint="eastAsia"/>
          <w:sz w:val="20"/>
          <w:lang w:eastAsia="zh-CN"/>
        </w:rPr>
        <w:t>2226</w:t>
      </w:r>
      <w:r w:rsidRPr="003D3BAD">
        <w:rPr>
          <w:rFonts w:hint="eastAsia"/>
          <w:sz w:val="20"/>
          <w:lang w:eastAsia="zh-CN"/>
        </w:rPr>
        <w:t>卷，第</w:t>
      </w:r>
      <w:r w:rsidRPr="003D3BAD">
        <w:rPr>
          <w:rFonts w:hint="eastAsia"/>
          <w:sz w:val="20"/>
          <w:lang w:eastAsia="zh-CN"/>
        </w:rPr>
        <w:t>30619</w:t>
      </w:r>
      <w:r w:rsidRPr="003D3BAD">
        <w:rPr>
          <w:rFonts w:hint="eastAsia"/>
          <w:sz w:val="20"/>
          <w:lang w:eastAsia="zh-CN"/>
        </w:rPr>
        <w:t>号。</w:t>
      </w:r>
    </w:p>
  </w:footnote>
  <w:footnote w:id="5">
    <w:p w14:paraId="0133BDF5" w14:textId="24C70DFC" w:rsidR="00DD792C" w:rsidRPr="00051DDF" w:rsidRDefault="00DD792C" w:rsidP="00DD792C">
      <w:pPr>
        <w:pStyle w:val="FootnoteText"/>
        <w:rPr>
          <w:sz w:val="20"/>
          <w:lang w:val="en-CA" w:eastAsia="zh-CN"/>
        </w:rPr>
      </w:pPr>
      <w:r w:rsidRPr="00051DDF">
        <w:rPr>
          <w:rStyle w:val="FootnoteReference"/>
          <w:sz w:val="20"/>
        </w:rPr>
        <w:footnoteRef/>
      </w:r>
      <w:r w:rsidRPr="00051DDF">
        <w:rPr>
          <w:sz w:val="20"/>
          <w:lang w:eastAsia="zh-CN"/>
        </w:rPr>
        <w:t xml:space="preserve"> </w:t>
      </w:r>
      <w:r w:rsidRPr="00051DDF">
        <w:rPr>
          <w:rFonts w:hint="eastAsia"/>
          <w:sz w:val="20"/>
          <w:lang w:eastAsia="zh-CN"/>
        </w:rPr>
        <w:t xml:space="preserve"> [</w:t>
      </w:r>
      <w:r w:rsidRPr="00051DDF">
        <w:rPr>
          <w:rFonts w:hint="eastAsia"/>
          <w:sz w:val="20"/>
          <w:lang w:eastAsia="zh-CN"/>
        </w:rPr>
        <w:t>改性活藻类</w:t>
      </w:r>
      <w:r w:rsidRPr="00051DDF">
        <w:rPr>
          <w:rFonts w:hint="eastAsia"/>
          <w:sz w:val="20"/>
          <w:lang w:eastAsia="zh-CN"/>
        </w:rPr>
        <w:t>][</w:t>
      </w:r>
      <w:r w:rsidRPr="00051DDF">
        <w:rPr>
          <w:rFonts w:hint="eastAsia"/>
          <w:sz w:val="20"/>
          <w:lang w:eastAsia="zh-CN"/>
        </w:rPr>
        <w:t>改性活鱼类</w:t>
      </w:r>
      <w:r w:rsidRPr="00051DDF">
        <w:rPr>
          <w:rFonts w:hint="eastAsia"/>
          <w:sz w:val="20"/>
          <w:lang w:eastAsia="zh-CN"/>
        </w:rPr>
        <w:t>][</w:t>
      </w:r>
      <w:r w:rsidRPr="00051DDF">
        <w:rPr>
          <w:rFonts w:hint="eastAsia"/>
          <w:sz w:val="20"/>
          <w:lang w:eastAsia="zh-CN"/>
        </w:rPr>
        <w:t>改性活体微生物</w:t>
      </w:r>
      <w:r w:rsidRPr="00051DDF">
        <w:rPr>
          <w:rFonts w:hint="eastAsia"/>
          <w:sz w:val="20"/>
          <w:lang w:eastAsia="zh-CN"/>
        </w:rPr>
        <w:t>][</w:t>
      </w:r>
      <w:r w:rsidRPr="00051DDF">
        <w:rPr>
          <w:rFonts w:hint="eastAsia"/>
          <w:sz w:val="20"/>
          <w:lang w:eastAsia="zh-CN"/>
        </w:rPr>
        <w:t>表达用于害虫或病原体控制的基因组编辑机制的改性活生物体</w:t>
      </w:r>
      <w:r w:rsidRPr="00051DDF">
        <w:rPr>
          <w:rFonts w:hint="eastAsia"/>
          <w:sz w:val="20"/>
          <w:lang w:eastAsia="zh-CN"/>
        </w:rPr>
        <w:t>][</w:t>
      </w:r>
      <w:r w:rsidRPr="00051DDF">
        <w:rPr>
          <w:rFonts w:hint="eastAsia"/>
          <w:sz w:val="20"/>
          <w:lang w:eastAsia="zh-CN"/>
        </w:rPr>
        <w:t>遗传结构和改性活生物的长期和累积效应</w:t>
      </w:r>
      <w:r w:rsidRPr="00051DDF">
        <w:rPr>
          <w:rFonts w:hint="eastAsia"/>
          <w:sz w:val="20"/>
          <w:lang w:eastAsia="zh-CN"/>
        </w:rPr>
        <w:t>][</w:t>
      </w:r>
      <w:r w:rsidRPr="00051DDF">
        <w:rPr>
          <w:rFonts w:hint="eastAsia"/>
          <w:sz w:val="20"/>
          <w:lang w:eastAsia="zh-CN"/>
        </w:rPr>
        <w:t>将保护目标转化为相关评估和测量终点</w:t>
      </w:r>
      <w:r w:rsidRPr="00051DDF">
        <w:rPr>
          <w:rFonts w:hint="eastAsia"/>
          <w:sz w:val="20"/>
          <w:lang w:eastAsia="zh-CN"/>
        </w:rPr>
        <w:t>][</w:t>
      </w:r>
      <w:r w:rsidRPr="00051DDF">
        <w:rPr>
          <w:rFonts w:hint="eastAsia"/>
          <w:sz w:val="20"/>
          <w:lang w:eastAsia="zh-CN"/>
        </w:rPr>
        <w:t>在原产地和传统农业系统中使用改性活</w:t>
      </w:r>
      <w:r w:rsidR="007004C8">
        <w:rPr>
          <w:rFonts w:hint="eastAsia"/>
          <w:sz w:val="20"/>
          <w:lang w:eastAsia="zh-CN"/>
        </w:rPr>
        <w:t>生物体</w:t>
      </w:r>
      <w:r w:rsidRPr="00051DDF">
        <w:rPr>
          <w:rFonts w:hint="eastAsia"/>
          <w:sz w:val="20"/>
          <w:lang w:eastAsia="zh-CN"/>
        </w:rPr>
        <w:t>]</w:t>
      </w:r>
      <w:r w:rsidRPr="00051DDF">
        <w:rPr>
          <w:rFonts w:hint="eastAsia"/>
          <w:sz w:val="20"/>
          <w:lang w:eastAsia="zh-CN"/>
        </w:rPr>
        <w:t>。</w:t>
      </w:r>
    </w:p>
  </w:footnote>
  <w:footnote w:id="6">
    <w:p w14:paraId="7C07B9F4" w14:textId="77777777" w:rsidR="006B0264" w:rsidRPr="00051DDF" w:rsidRDefault="006B0264" w:rsidP="005B6533">
      <w:pPr>
        <w:pStyle w:val="FootnoteText"/>
        <w:rPr>
          <w:sz w:val="20"/>
          <w:lang w:eastAsia="zh-CN"/>
        </w:rPr>
      </w:pPr>
      <w:r w:rsidRPr="00051DDF">
        <w:rPr>
          <w:rStyle w:val="FootnoteReference"/>
          <w:sz w:val="20"/>
        </w:rPr>
        <w:footnoteRef/>
      </w:r>
      <w:r w:rsidRPr="00051DDF">
        <w:rPr>
          <w:sz w:val="20"/>
          <w:lang w:eastAsia="zh-CN"/>
        </w:rPr>
        <w:t xml:space="preserve"> </w:t>
      </w:r>
      <w:r w:rsidRPr="00051DDF">
        <w:rPr>
          <w:rFonts w:hint="eastAsia"/>
          <w:sz w:val="20"/>
          <w:lang w:eastAsia="zh-CN"/>
        </w:rPr>
        <w:t>见</w:t>
      </w:r>
      <w:hyperlink r:id="rId3" w:history="1">
        <w:r w:rsidRPr="00051DDF">
          <w:rPr>
            <w:rStyle w:val="Hyperlink"/>
            <w:sz w:val="20"/>
            <w:lang w:eastAsia="zh-CN"/>
          </w:rPr>
          <w:t>CBD/CP/RA/AHTEG/2025/1/3</w:t>
        </w:r>
      </w:hyperlink>
      <w:r w:rsidRPr="00051DDF">
        <w:rPr>
          <w:rFonts w:hint="eastAsia"/>
          <w:sz w:val="20"/>
          <w:lang w:eastAsia="zh-CN"/>
        </w:rPr>
        <w:t>。</w:t>
      </w:r>
    </w:p>
  </w:footnote>
  <w:footnote w:id="7">
    <w:p w14:paraId="6911C25D" w14:textId="77777777" w:rsidR="00A25CD3" w:rsidRDefault="00A25CD3" w:rsidP="00A25CD3">
      <w:pPr>
        <w:pStyle w:val="FootnoteText"/>
        <w:rPr>
          <w:lang w:val="en-US" w:eastAsia="zh-CN"/>
        </w:rPr>
      </w:pPr>
      <w:r w:rsidRPr="00051DDF">
        <w:rPr>
          <w:rStyle w:val="FootnoteReference"/>
          <w:sz w:val="20"/>
        </w:rPr>
        <w:footnoteRef/>
      </w:r>
      <w:r w:rsidRPr="00051DDF">
        <w:rPr>
          <w:sz w:val="20"/>
          <w:lang w:eastAsia="zh-CN"/>
        </w:rPr>
        <w:t xml:space="preserve"> </w:t>
      </w:r>
      <w:r w:rsidRPr="00051DDF">
        <w:rPr>
          <w:rFonts w:hint="eastAsia"/>
          <w:sz w:val="20"/>
          <w:lang w:val="en-US" w:eastAsia="zh-CN"/>
        </w:rPr>
        <w:t>见</w:t>
      </w:r>
      <w:r w:rsidRPr="00051DDF">
        <w:rPr>
          <w:sz w:val="20"/>
          <w:lang w:val="en-US" w:eastAsia="zh-CN"/>
        </w:rPr>
        <w:t xml:space="preserve"> </w:t>
      </w:r>
      <w:hyperlink r:id="rId4" w:tgtFrame="_blank" w:tooltip="https://www.cbd.int/tsc/tscm/subregionalcentres" w:history="1">
        <w:r w:rsidRPr="00051DDF">
          <w:rPr>
            <w:rStyle w:val="Hyperlink"/>
            <w:sz w:val="20"/>
            <w:lang w:eastAsia="zh-CN"/>
          </w:rPr>
          <w:t>www.cbd.int/tsc/tscm/subregionalcentres</w:t>
        </w:r>
      </w:hyperlink>
      <w:r w:rsidRPr="00051DDF">
        <w:rPr>
          <w:rFonts w:hint="eastAsia"/>
          <w:sz w:val="20"/>
          <w:lang w:val="en-US" w:eastAsia="zh-CN"/>
        </w:rPr>
        <w:t>。</w:t>
      </w:r>
    </w:p>
  </w:footnote>
  <w:footnote w:id="8">
    <w:p w14:paraId="3E0E1C6F" w14:textId="2B3B58D3" w:rsidR="006B0264" w:rsidRDefault="006B0264" w:rsidP="00634266">
      <w:pPr>
        <w:pStyle w:val="FootnoteText"/>
        <w:rPr>
          <w:lang w:val="en-CA" w:eastAsia="zh-CN"/>
        </w:rPr>
      </w:pPr>
      <w:r>
        <w:rPr>
          <w:rStyle w:val="FootnoteReference"/>
        </w:rPr>
        <w:footnoteRef/>
      </w:r>
      <w:r>
        <w:rPr>
          <w:lang w:eastAsia="zh-CN"/>
        </w:rPr>
        <w:t xml:space="preserve"> </w:t>
      </w:r>
      <w:r>
        <w:rPr>
          <w:rFonts w:hint="eastAsia"/>
          <w:lang w:eastAsia="zh-CN"/>
        </w:rPr>
        <w:t>为</w:t>
      </w:r>
      <w:r w:rsidRPr="00A87A24">
        <w:rPr>
          <w:rFonts w:hint="eastAsia"/>
          <w:lang w:eastAsia="zh-CN"/>
        </w:rPr>
        <w:t>答复</w:t>
      </w:r>
      <w:r w:rsidR="00051DDF">
        <w:rPr>
          <w:rFonts w:hint="eastAsia"/>
          <w:lang w:eastAsia="zh-CN"/>
        </w:rPr>
        <w:t>《</w:t>
      </w:r>
      <w:r w:rsidRPr="00A87A24">
        <w:rPr>
          <w:rFonts w:hint="eastAsia"/>
          <w:lang w:eastAsia="zh-CN"/>
        </w:rPr>
        <w:t>卡塔赫纳生物安全议定书</w:t>
      </w:r>
      <w:r w:rsidR="00051DDF">
        <w:rPr>
          <w:rFonts w:hint="eastAsia"/>
          <w:lang w:eastAsia="zh-CN"/>
        </w:rPr>
        <w:t>》</w:t>
      </w:r>
      <w:r w:rsidRPr="00A87A24">
        <w:rPr>
          <w:rFonts w:hint="eastAsia"/>
          <w:lang w:eastAsia="zh-CN"/>
        </w:rPr>
        <w:t>第五次国家报告第</w:t>
      </w:r>
      <w:r w:rsidRPr="00A87A24">
        <w:rPr>
          <w:rFonts w:hint="eastAsia"/>
          <w:lang w:eastAsia="zh-CN"/>
        </w:rPr>
        <w:t>68</w:t>
      </w:r>
      <w:r w:rsidRPr="00A87A24">
        <w:rPr>
          <w:rFonts w:hint="eastAsia"/>
          <w:lang w:eastAsia="zh-CN"/>
        </w:rPr>
        <w:t>号问题</w:t>
      </w:r>
      <w:r>
        <w:rPr>
          <w:rFonts w:hint="eastAsia"/>
          <w:lang w:eastAsia="zh-CN"/>
        </w:rPr>
        <w:t>而提交</w:t>
      </w:r>
      <w:r w:rsidRPr="00A87A24">
        <w:rPr>
          <w:rFonts w:hint="eastAsia"/>
          <w:lang w:eastAsia="zh-CN"/>
        </w:rPr>
        <w:t>。</w:t>
      </w:r>
    </w:p>
  </w:footnote>
  <w:footnote w:id="9">
    <w:p w14:paraId="3E65AA43" w14:textId="4150A8CC" w:rsidR="006B0264" w:rsidRDefault="006B0264" w:rsidP="00634266">
      <w:pPr>
        <w:pStyle w:val="FootnoteText"/>
        <w:rPr>
          <w:lang w:val="en-CA" w:eastAsia="zh-CN"/>
        </w:rPr>
      </w:pPr>
      <w:r>
        <w:rPr>
          <w:rStyle w:val="FootnoteReference"/>
        </w:rPr>
        <w:footnoteRef/>
      </w:r>
      <w:r>
        <w:rPr>
          <w:lang w:eastAsia="zh-CN"/>
        </w:rPr>
        <w:t xml:space="preserve"> </w:t>
      </w:r>
      <w:r>
        <w:rPr>
          <w:rFonts w:hint="eastAsia"/>
          <w:lang w:val="en-CA" w:eastAsia="zh-CN"/>
        </w:rPr>
        <w:t>见</w:t>
      </w:r>
      <w:r>
        <w:rPr>
          <w:lang w:val="en-CA" w:eastAsia="zh-CN"/>
        </w:rPr>
        <w:t xml:space="preserve"> </w:t>
      </w:r>
      <w:hyperlink r:id="rId5" w:history="1">
        <w:r w:rsidRPr="00051DDF">
          <w:rPr>
            <w:rStyle w:val="Hyperlink"/>
            <w:lang w:val="en-CA" w:eastAsia="zh-CN"/>
          </w:rPr>
          <w:t>CBD/CP/MOP/11/9</w:t>
        </w:r>
      </w:hyperlink>
      <w:r>
        <w:rPr>
          <w:rFonts w:hint="eastAsia"/>
          <w:lang w:val="en-CA" w:eastAsia="zh-CN"/>
        </w:rPr>
        <w:t>。</w:t>
      </w:r>
    </w:p>
  </w:footnote>
  <w:footnote w:id="10">
    <w:p w14:paraId="5D41A14F" w14:textId="0A6DE3BE" w:rsidR="006B0264" w:rsidRDefault="006B0264" w:rsidP="00634266">
      <w:pPr>
        <w:pStyle w:val="FootnoteText"/>
        <w:rPr>
          <w:lang w:eastAsia="zh-CN"/>
        </w:rPr>
      </w:pPr>
      <w:r>
        <w:rPr>
          <w:rStyle w:val="FootnoteReference"/>
        </w:rPr>
        <w:footnoteRef/>
      </w:r>
      <w:r>
        <w:rPr>
          <w:lang w:eastAsia="zh-CN"/>
        </w:rPr>
        <w:t xml:space="preserve"> </w:t>
      </w:r>
      <w:r>
        <w:rPr>
          <w:rFonts w:hint="eastAsia"/>
          <w:lang w:eastAsia="zh-CN"/>
        </w:rPr>
        <w:t>第</w:t>
      </w:r>
      <w:hyperlink r:id="rId6" w:history="1">
        <w:r>
          <w:rPr>
            <w:rStyle w:val="Hyperlink"/>
            <w:lang w:eastAsia="zh-CN"/>
          </w:rPr>
          <w:t>VIII/10</w:t>
        </w:r>
      </w:hyperlink>
      <w:r>
        <w:rPr>
          <w:rFonts w:hint="eastAsia"/>
          <w:lang w:eastAsia="zh-CN"/>
        </w:rPr>
        <w:t>号决定，附件三。</w:t>
      </w:r>
    </w:p>
  </w:footnote>
  <w:footnote w:id="11">
    <w:p w14:paraId="39D62CCA" w14:textId="77777777" w:rsidR="006B0264" w:rsidRDefault="006B0264" w:rsidP="00634266">
      <w:pPr>
        <w:pStyle w:val="FootnoteText"/>
        <w:rPr>
          <w:lang w:eastAsia="zh-CN"/>
        </w:rPr>
      </w:pPr>
      <w:r>
        <w:rPr>
          <w:rStyle w:val="FootnoteReference"/>
        </w:rPr>
        <w:footnoteRef/>
      </w:r>
      <w:r>
        <w:rPr>
          <w:lang w:eastAsia="zh-CN"/>
        </w:rPr>
        <w:t xml:space="preserve"> </w:t>
      </w:r>
      <w:r w:rsidRPr="00D73652">
        <w:rPr>
          <w:lang w:eastAsia="zh-CN"/>
        </w:rPr>
        <w:t>联合国，《条约汇编》，第</w:t>
      </w:r>
      <w:r w:rsidRPr="00D73652">
        <w:rPr>
          <w:lang w:eastAsia="zh-CN"/>
        </w:rPr>
        <w:t>2226</w:t>
      </w:r>
      <w:r w:rsidRPr="00D73652">
        <w:rPr>
          <w:lang w:eastAsia="zh-CN"/>
        </w:rPr>
        <w:t>卷，第</w:t>
      </w:r>
      <w:r w:rsidRPr="00D73652">
        <w:rPr>
          <w:lang w:eastAsia="zh-CN"/>
        </w:rPr>
        <w:t>30619</w:t>
      </w:r>
      <w:r w:rsidRPr="00D73652">
        <w:rPr>
          <w:lang w:eastAsia="zh-CN"/>
        </w:rPr>
        <w:t>号。</w:t>
      </w:r>
    </w:p>
  </w:footnote>
  <w:footnote w:id="12">
    <w:p w14:paraId="68811A19" w14:textId="77777777" w:rsidR="006B0264" w:rsidRDefault="006B0264" w:rsidP="00755318">
      <w:pPr>
        <w:pStyle w:val="FootnoteText"/>
        <w:rPr>
          <w:lang w:eastAsia="zh-CN"/>
        </w:rPr>
      </w:pPr>
      <w:r>
        <w:rPr>
          <w:rStyle w:val="FootnoteReference"/>
        </w:rPr>
        <w:footnoteRef/>
      </w:r>
      <w:r>
        <w:rPr>
          <w:lang w:eastAsia="zh-CN"/>
        </w:rPr>
        <w:t xml:space="preserve"> </w:t>
      </w:r>
      <w:r>
        <w:rPr>
          <w:rFonts w:hint="eastAsia"/>
          <w:lang w:eastAsia="zh-CN"/>
        </w:rPr>
        <w:t>见</w:t>
      </w:r>
      <w:r>
        <w:rPr>
          <w:lang w:eastAsia="zh-CN"/>
        </w:rPr>
        <w:t xml:space="preserve"> </w:t>
      </w:r>
      <w:hyperlink r:id="rId7" w:history="1">
        <w:r w:rsidRPr="003C75CF">
          <w:rPr>
            <w:rStyle w:val="Hyperlink"/>
            <w:lang w:eastAsia="zh-CN"/>
          </w:rPr>
          <w:t>CBD/CP/MOP/11/9</w:t>
        </w:r>
      </w:hyperlink>
      <w:r>
        <w:rPr>
          <w:rFonts w:hint="eastAsia"/>
          <w:lang w:eastAsia="zh-CN"/>
        </w:rPr>
        <w:t>。</w:t>
      </w:r>
    </w:p>
  </w:footnote>
  <w:footnote w:id="13">
    <w:p w14:paraId="3BD30D52" w14:textId="428E9F8D" w:rsidR="006B0264" w:rsidRPr="004D37F1" w:rsidRDefault="006B0264" w:rsidP="00F6307B">
      <w:pPr>
        <w:pStyle w:val="FootnoteText"/>
        <w:rPr>
          <w:sz w:val="20"/>
          <w:lang w:eastAsia="zh-CN"/>
        </w:rPr>
      </w:pPr>
      <w:r w:rsidRPr="004D37F1">
        <w:rPr>
          <w:rStyle w:val="FootnoteReference"/>
          <w:sz w:val="20"/>
        </w:rPr>
        <w:footnoteRef/>
      </w:r>
      <w:r w:rsidRPr="004D37F1">
        <w:rPr>
          <w:sz w:val="20"/>
          <w:lang w:eastAsia="zh-CN"/>
        </w:rPr>
        <w:t xml:space="preserve"> </w:t>
      </w:r>
      <w:r w:rsidRPr="004D37F1">
        <w:rPr>
          <w:rFonts w:hint="eastAsia"/>
          <w:sz w:val="20"/>
          <w:lang w:eastAsia="zh-CN"/>
        </w:rPr>
        <w:t>关于在</w:t>
      </w:r>
      <w:r w:rsidRPr="004D37F1">
        <w:rPr>
          <w:sz w:val="20"/>
          <w:lang w:eastAsia="zh-CN"/>
        </w:rPr>
        <w:t>原产</w:t>
      </w:r>
      <w:r w:rsidRPr="004D37F1">
        <w:rPr>
          <w:rFonts w:hint="eastAsia"/>
          <w:sz w:val="20"/>
          <w:lang w:eastAsia="zh-CN"/>
        </w:rPr>
        <w:t>地和传统农业系统中使用</w:t>
      </w:r>
      <w:r w:rsidRPr="004D37F1">
        <w:rPr>
          <w:sz w:val="20"/>
          <w:lang w:eastAsia="zh-CN"/>
        </w:rPr>
        <w:t>改性活生物体</w:t>
      </w:r>
      <w:r w:rsidRPr="004D37F1">
        <w:rPr>
          <w:rFonts w:hint="eastAsia"/>
          <w:sz w:val="20"/>
          <w:lang w:eastAsia="zh-CN"/>
        </w:rPr>
        <w:t>的技术说明应符合《</w:t>
      </w:r>
      <w:r w:rsidR="004C2AEF" w:rsidRPr="004D37F1">
        <w:rPr>
          <w:color w:val="000000"/>
          <w:sz w:val="20"/>
          <w:lang w:eastAsia="zh-CN"/>
        </w:rPr>
        <w:t>对拟议在圣地和土著和地方社区历来居住或使用的土地和水域上进行的、或可能对这些土地和水域产生影响的开发活动进行文化、环境和社会影响评估的阿格维古自愿性准则</w:t>
      </w:r>
      <w:r w:rsidR="004C2AEF" w:rsidRPr="004D37F1">
        <w:rPr>
          <w:rFonts w:ascii="SimSun" w:hAnsi="SimSun" w:cs="SimSun" w:hint="eastAsia"/>
          <w:color w:val="000000"/>
          <w:sz w:val="20"/>
          <w:lang w:eastAsia="zh-CN"/>
        </w:rPr>
        <w:t>》</w:t>
      </w:r>
      <w:r w:rsidRPr="004D37F1">
        <w:rPr>
          <w:rFonts w:hint="eastAsia"/>
          <w:sz w:val="20"/>
          <w:lang w:eastAsia="zh-CN"/>
        </w:rPr>
        <w:t>。</w:t>
      </w:r>
    </w:p>
  </w:footnote>
  <w:footnote w:id="14">
    <w:p w14:paraId="2AB2CD45" w14:textId="77777777" w:rsidR="006B0264" w:rsidRPr="004D37F1" w:rsidRDefault="006B0264" w:rsidP="004C353C">
      <w:pPr>
        <w:pStyle w:val="FootnoteText"/>
        <w:rPr>
          <w:sz w:val="20"/>
          <w:lang w:eastAsia="zh-CN"/>
        </w:rPr>
      </w:pPr>
      <w:r w:rsidRPr="004D37F1">
        <w:rPr>
          <w:rStyle w:val="FootnoteReference"/>
          <w:sz w:val="20"/>
        </w:rPr>
        <w:footnoteRef/>
      </w:r>
      <w:r w:rsidRPr="004D37F1">
        <w:rPr>
          <w:sz w:val="20"/>
          <w:lang w:eastAsia="zh-CN"/>
        </w:rPr>
        <w:t xml:space="preserve"> </w:t>
      </w:r>
      <w:r w:rsidRPr="004D37F1">
        <w:rPr>
          <w:rFonts w:hint="eastAsia"/>
          <w:sz w:val="20"/>
          <w:lang w:eastAsia="zh-CN"/>
        </w:rPr>
        <w:t>技术说明书可以是一份简明文件，旨在就特定主题或问题提供实用信息。</w:t>
      </w:r>
      <w:r w:rsidRPr="004D37F1">
        <w:rPr>
          <w:sz w:val="20"/>
          <w:lang w:val="en-CA" w:eastAsia="zh-CN"/>
        </w:rPr>
        <w:t>技术说明是对现有指导材料的补充，</w:t>
      </w:r>
      <w:r w:rsidRPr="004D37F1">
        <w:rPr>
          <w:rFonts w:hint="eastAsia"/>
          <w:sz w:val="20"/>
          <w:lang w:eastAsia="zh-CN"/>
        </w:rPr>
        <w:t>在针对特定主题或情</w:t>
      </w:r>
      <w:r w:rsidRPr="004D37F1">
        <w:rPr>
          <w:sz w:val="20"/>
          <w:lang w:val="en-CA" w:eastAsia="zh-CN"/>
        </w:rPr>
        <w:t>况</w:t>
      </w:r>
      <w:r w:rsidRPr="004D37F1">
        <w:rPr>
          <w:rFonts w:hint="eastAsia"/>
          <w:sz w:val="20"/>
          <w:lang w:eastAsia="zh-CN"/>
        </w:rPr>
        <w:t>时，可包含有待考虑的程序要素或要点</w:t>
      </w:r>
      <w:r w:rsidRPr="004D37F1">
        <w:rPr>
          <w:sz w:val="20"/>
          <w:lang w:val="en-CA" w:eastAsia="zh-CN"/>
        </w:rPr>
        <w:t>。</w:t>
      </w:r>
    </w:p>
  </w:footnote>
  <w:footnote w:id="15">
    <w:p w14:paraId="287998AC" w14:textId="748BCF5E" w:rsidR="006B0264" w:rsidRPr="004D37F1" w:rsidRDefault="006B0264" w:rsidP="0070696A">
      <w:pPr>
        <w:pStyle w:val="FootnoteText"/>
        <w:rPr>
          <w:sz w:val="20"/>
          <w:lang w:eastAsia="zh-CN"/>
        </w:rPr>
      </w:pPr>
      <w:r w:rsidRPr="004D37F1">
        <w:rPr>
          <w:rStyle w:val="FootnoteReference"/>
          <w:sz w:val="20"/>
        </w:rPr>
        <w:footnoteRef/>
      </w:r>
      <w:r w:rsidRPr="004D37F1">
        <w:rPr>
          <w:sz w:val="20"/>
        </w:rPr>
        <w:t xml:space="preserve"> </w:t>
      </w:r>
      <w:hyperlink r:id="rId8" w:history="1">
        <w:r w:rsidRPr="004D37F1">
          <w:rPr>
            <w:rStyle w:val="Hyperlink"/>
            <w:sz w:val="20"/>
          </w:rPr>
          <w:t>CBD/CP/RA/AHTEG/2025/1/INF/1</w:t>
        </w:r>
      </w:hyperlink>
      <w:r w:rsidRPr="004D37F1">
        <w:rPr>
          <w:sz w:val="20"/>
          <w:lang w:eastAsia="zh-CN"/>
        </w:rPr>
        <w:t>。</w:t>
      </w:r>
    </w:p>
  </w:footnote>
  <w:footnote w:id="16">
    <w:p w14:paraId="5BE2D8B2" w14:textId="77777777" w:rsidR="006B0264" w:rsidRDefault="006B0264" w:rsidP="00EB55FB">
      <w:pPr>
        <w:pStyle w:val="FootnoteText"/>
      </w:pPr>
      <w:r w:rsidRPr="004D37F1">
        <w:rPr>
          <w:rStyle w:val="FootnoteReference"/>
          <w:sz w:val="20"/>
        </w:rPr>
        <w:footnoteRef/>
      </w:r>
      <w:r w:rsidRPr="004D37F1">
        <w:rPr>
          <w:sz w:val="20"/>
        </w:rPr>
        <w:t xml:space="preserve"> </w:t>
      </w:r>
      <w:hyperlink r:id="rId9" w:history="1">
        <w:r w:rsidRPr="004D37F1">
          <w:rPr>
            <w:rStyle w:val="Hyperlink"/>
            <w:sz w:val="20"/>
          </w:rPr>
          <w:t>CBD/CP/RA/AHTEG/2025/1/INF/2</w:t>
        </w:r>
      </w:hyperlink>
      <w:r w:rsidRPr="004D37F1">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77D" w14:textId="1299800C" w:rsidR="00D4364D" w:rsidRPr="00B1090B" w:rsidRDefault="00D4364D" w:rsidP="00776D82">
    <w:pPr>
      <w:pStyle w:val="Header"/>
      <w:spacing w:after="240"/>
      <w:rPr>
        <w:lang w:val="en-US" w:eastAsia="zh-CN"/>
      </w:rPr>
    </w:pPr>
    <w:r>
      <w:rPr>
        <w:lang w:val="en-US"/>
      </w:rPr>
      <w:t>CBD/SBSTTA/</w:t>
    </w:r>
    <w:r w:rsidR="0060541B">
      <w:rPr>
        <w:rFonts w:hint="eastAsia"/>
        <w:lang w:val="en-US" w:eastAsia="zh-CN"/>
      </w:rPr>
      <w:t>REC/</w:t>
    </w:r>
    <w:r>
      <w:rPr>
        <w:lang w:val="en-US"/>
      </w:rPr>
      <w:t>27</w:t>
    </w:r>
    <w:r w:rsidR="00BD1DFA">
      <w:rPr>
        <w:lang w:val="en-US"/>
      </w:rPr>
      <w:t>/</w:t>
    </w:r>
    <w:r w:rsidR="0060541B">
      <w:rPr>
        <w:rFonts w:hint="eastAsia"/>
        <w:lang w:val="en-US" w:eastAsia="zh-CN"/>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3F4" w14:textId="7A849BA0" w:rsidR="00D4364D" w:rsidRPr="00B1090B" w:rsidRDefault="00BD1DFA" w:rsidP="00776D82">
    <w:pPr>
      <w:pStyle w:val="Header"/>
      <w:spacing w:after="240"/>
      <w:jc w:val="right"/>
      <w:rPr>
        <w:lang w:val="en-US" w:eastAsia="zh-CN"/>
      </w:rPr>
    </w:pPr>
    <w:r>
      <w:rPr>
        <w:lang w:val="en-US"/>
      </w:rPr>
      <w:t>CBD/SBSTTA/</w:t>
    </w:r>
    <w:r w:rsidR="0060541B">
      <w:rPr>
        <w:rFonts w:hint="eastAsia"/>
        <w:lang w:val="en-US" w:eastAsia="zh-CN"/>
      </w:rPr>
      <w:t>REC/</w:t>
    </w:r>
    <w:r>
      <w:rPr>
        <w:lang w:val="en-US"/>
      </w:rPr>
      <w:t>27/</w:t>
    </w:r>
    <w:r w:rsidR="0060541B">
      <w:rPr>
        <w:rFonts w:hint="eastAsia"/>
        <w:lang w:val="en-US" w:eastAsia="zh-C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627F2C"/>
    <w:multiLevelType w:val="hybridMultilevel"/>
    <w:tmpl w:val="44061504"/>
    <w:lvl w:ilvl="0" w:tplc="9D4C0668">
      <w:start w:val="1"/>
      <w:numFmt w:val="lowerLetter"/>
      <w:lvlText w:val="%1)"/>
      <w:lvlJc w:val="left"/>
      <w:pPr>
        <w:ind w:left="1020" w:hanging="360"/>
      </w:pPr>
    </w:lvl>
    <w:lvl w:ilvl="1" w:tplc="0AC2154E">
      <w:start w:val="1"/>
      <w:numFmt w:val="lowerLetter"/>
      <w:lvlText w:val="%2)"/>
      <w:lvlJc w:val="left"/>
      <w:pPr>
        <w:ind w:left="1020" w:hanging="360"/>
      </w:pPr>
    </w:lvl>
    <w:lvl w:ilvl="2" w:tplc="CAB2A274">
      <w:start w:val="1"/>
      <w:numFmt w:val="lowerLetter"/>
      <w:lvlText w:val="%3)"/>
      <w:lvlJc w:val="left"/>
      <w:pPr>
        <w:ind w:left="1020" w:hanging="360"/>
      </w:pPr>
    </w:lvl>
    <w:lvl w:ilvl="3" w:tplc="AFC811FC">
      <w:start w:val="1"/>
      <w:numFmt w:val="lowerLetter"/>
      <w:lvlText w:val="%4)"/>
      <w:lvlJc w:val="left"/>
      <w:pPr>
        <w:ind w:left="1020" w:hanging="360"/>
      </w:pPr>
    </w:lvl>
    <w:lvl w:ilvl="4" w:tplc="61904424">
      <w:start w:val="1"/>
      <w:numFmt w:val="lowerLetter"/>
      <w:lvlText w:val="%5)"/>
      <w:lvlJc w:val="left"/>
      <w:pPr>
        <w:ind w:left="1020" w:hanging="360"/>
      </w:pPr>
    </w:lvl>
    <w:lvl w:ilvl="5" w:tplc="93886AF4">
      <w:start w:val="1"/>
      <w:numFmt w:val="lowerLetter"/>
      <w:lvlText w:val="%6)"/>
      <w:lvlJc w:val="left"/>
      <w:pPr>
        <w:ind w:left="1020" w:hanging="360"/>
      </w:pPr>
    </w:lvl>
    <w:lvl w:ilvl="6" w:tplc="741AA6D6">
      <w:start w:val="1"/>
      <w:numFmt w:val="lowerLetter"/>
      <w:lvlText w:val="%7)"/>
      <w:lvlJc w:val="left"/>
      <w:pPr>
        <w:ind w:left="1020" w:hanging="360"/>
      </w:pPr>
    </w:lvl>
    <w:lvl w:ilvl="7" w:tplc="DA22024C">
      <w:start w:val="1"/>
      <w:numFmt w:val="lowerLetter"/>
      <w:lvlText w:val="%8)"/>
      <w:lvlJc w:val="left"/>
      <w:pPr>
        <w:ind w:left="1020" w:hanging="360"/>
      </w:pPr>
    </w:lvl>
    <w:lvl w:ilvl="8" w:tplc="71C6207C">
      <w:start w:val="1"/>
      <w:numFmt w:val="lowerLetter"/>
      <w:lvlText w:val="%9)"/>
      <w:lvlJc w:val="left"/>
      <w:pPr>
        <w:ind w:left="1020" w:hanging="360"/>
      </w:pPr>
    </w:lvl>
  </w:abstractNum>
  <w:abstractNum w:abstractNumId="11" w15:restartNumberingAfterBreak="0">
    <w:nsid w:val="19E646BE"/>
    <w:multiLevelType w:val="hybridMultilevel"/>
    <w:tmpl w:val="5C4A16AE"/>
    <w:lvl w:ilvl="0" w:tplc="9042D268">
      <w:start w:val="1"/>
      <w:numFmt w:val="lowerLetter"/>
      <w:lvlText w:val="%1)"/>
      <w:lvlJc w:val="left"/>
      <w:pPr>
        <w:ind w:left="1020" w:hanging="360"/>
      </w:pPr>
    </w:lvl>
    <w:lvl w:ilvl="1" w:tplc="8AB0081E">
      <w:start w:val="1"/>
      <w:numFmt w:val="lowerLetter"/>
      <w:lvlText w:val="%2)"/>
      <w:lvlJc w:val="left"/>
      <w:pPr>
        <w:ind w:left="1020" w:hanging="360"/>
      </w:pPr>
    </w:lvl>
    <w:lvl w:ilvl="2" w:tplc="A32C404E">
      <w:start w:val="1"/>
      <w:numFmt w:val="lowerLetter"/>
      <w:lvlText w:val="%3)"/>
      <w:lvlJc w:val="left"/>
      <w:pPr>
        <w:ind w:left="1020" w:hanging="360"/>
      </w:pPr>
    </w:lvl>
    <w:lvl w:ilvl="3" w:tplc="7C4E49A4">
      <w:start w:val="1"/>
      <w:numFmt w:val="lowerLetter"/>
      <w:lvlText w:val="%4)"/>
      <w:lvlJc w:val="left"/>
      <w:pPr>
        <w:ind w:left="1020" w:hanging="360"/>
      </w:pPr>
    </w:lvl>
    <w:lvl w:ilvl="4" w:tplc="6A6C1B6E">
      <w:start w:val="1"/>
      <w:numFmt w:val="lowerLetter"/>
      <w:lvlText w:val="%5)"/>
      <w:lvlJc w:val="left"/>
      <w:pPr>
        <w:ind w:left="1020" w:hanging="360"/>
      </w:pPr>
    </w:lvl>
    <w:lvl w:ilvl="5" w:tplc="9894F3DC">
      <w:start w:val="1"/>
      <w:numFmt w:val="lowerLetter"/>
      <w:lvlText w:val="%6)"/>
      <w:lvlJc w:val="left"/>
      <w:pPr>
        <w:ind w:left="1020" w:hanging="360"/>
      </w:pPr>
    </w:lvl>
    <w:lvl w:ilvl="6" w:tplc="C2B094CA">
      <w:start w:val="1"/>
      <w:numFmt w:val="lowerLetter"/>
      <w:lvlText w:val="%7)"/>
      <w:lvlJc w:val="left"/>
      <w:pPr>
        <w:ind w:left="1020" w:hanging="360"/>
      </w:pPr>
    </w:lvl>
    <w:lvl w:ilvl="7" w:tplc="8326F04E">
      <w:start w:val="1"/>
      <w:numFmt w:val="lowerLetter"/>
      <w:lvlText w:val="%8)"/>
      <w:lvlJc w:val="left"/>
      <w:pPr>
        <w:ind w:left="1020" w:hanging="360"/>
      </w:pPr>
    </w:lvl>
    <w:lvl w:ilvl="8" w:tplc="7D5806C2">
      <w:start w:val="1"/>
      <w:numFmt w:val="lowerLetter"/>
      <w:lvlText w:val="%9)"/>
      <w:lvlJc w:val="left"/>
      <w:pPr>
        <w:ind w:left="102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414274265">
    <w:abstractNumId w:val="15"/>
  </w:num>
  <w:num w:numId="2" w16cid:durableId="1540239463">
    <w:abstractNumId w:val="9"/>
  </w:num>
  <w:num w:numId="3" w16cid:durableId="188030166">
    <w:abstractNumId w:val="7"/>
  </w:num>
  <w:num w:numId="4" w16cid:durableId="1813982300">
    <w:abstractNumId w:val="6"/>
  </w:num>
  <w:num w:numId="5" w16cid:durableId="1342661021">
    <w:abstractNumId w:val="5"/>
  </w:num>
  <w:num w:numId="6" w16cid:durableId="217672220">
    <w:abstractNumId w:val="4"/>
  </w:num>
  <w:num w:numId="7" w16cid:durableId="183829271">
    <w:abstractNumId w:val="12"/>
  </w:num>
  <w:num w:numId="8" w16cid:durableId="766118607">
    <w:abstractNumId w:val="14"/>
  </w:num>
  <w:num w:numId="9" w16cid:durableId="468740720">
    <w:abstractNumId w:val="13"/>
  </w:num>
  <w:num w:numId="10" w16cid:durableId="693270062">
    <w:abstractNumId w:val="8"/>
  </w:num>
  <w:num w:numId="11" w16cid:durableId="537469461">
    <w:abstractNumId w:val="3"/>
  </w:num>
  <w:num w:numId="12" w16cid:durableId="406341965">
    <w:abstractNumId w:val="2"/>
  </w:num>
  <w:num w:numId="13" w16cid:durableId="70663551">
    <w:abstractNumId w:val="1"/>
  </w:num>
  <w:num w:numId="14" w16cid:durableId="809132776">
    <w:abstractNumId w:val="0"/>
  </w:num>
  <w:num w:numId="15" w16cid:durableId="1520394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50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615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953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266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3088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2045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077559">
    <w:abstractNumId w:val="11"/>
  </w:num>
  <w:num w:numId="23" w16cid:durableId="161979549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0E"/>
    <w:rsid w:val="00002498"/>
    <w:rsid w:val="0000573F"/>
    <w:rsid w:val="000103AE"/>
    <w:rsid w:val="00012983"/>
    <w:rsid w:val="0001310A"/>
    <w:rsid w:val="000137EF"/>
    <w:rsid w:val="000141B5"/>
    <w:rsid w:val="000159AF"/>
    <w:rsid w:val="00016290"/>
    <w:rsid w:val="000229E8"/>
    <w:rsid w:val="0002546E"/>
    <w:rsid w:val="00034F9D"/>
    <w:rsid w:val="00035B6F"/>
    <w:rsid w:val="0003698C"/>
    <w:rsid w:val="00036F7B"/>
    <w:rsid w:val="000379A7"/>
    <w:rsid w:val="00040502"/>
    <w:rsid w:val="0004077A"/>
    <w:rsid w:val="00041805"/>
    <w:rsid w:val="00043FC2"/>
    <w:rsid w:val="0004590B"/>
    <w:rsid w:val="0004786A"/>
    <w:rsid w:val="000511B1"/>
    <w:rsid w:val="00051DDF"/>
    <w:rsid w:val="00052655"/>
    <w:rsid w:val="000526ED"/>
    <w:rsid w:val="00057B13"/>
    <w:rsid w:val="00064C69"/>
    <w:rsid w:val="00066171"/>
    <w:rsid w:val="00071536"/>
    <w:rsid w:val="0007248D"/>
    <w:rsid w:val="000754E8"/>
    <w:rsid w:val="00076148"/>
    <w:rsid w:val="00076176"/>
    <w:rsid w:val="00083EBE"/>
    <w:rsid w:val="0008497C"/>
    <w:rsid w:val="00085B6E"/>
    <w:rsid w:val="00087290"/>
    <w:rsid w:val="00087CFB"/>
    <w:rsid w:val="00092E88"/>
    <w:rsid w:val="000941BB"/>
    <w:rsid w:val="0009421D"/>
    <w:rsid w:val="0009460A"/>
    <w:rsid w:val="00094710"/>
    <w:rsid w:val="000962BE"/>
    <w:rsid w:val="00096DE1"/>
    <w:rsid w:val="00097729"/>
    <w:rsid w:val="000A0283"/>
    <w:rsid w:val="000A08C9"/>
    <w:rsid w:val="000A16D9"/>
    <w:rsid w:val="000A2C33"/>
    <w:rsid w:val="000A33DF"/>
    <w:rsid w:val="000A421A"/>
    <w:rsid w:val="000A439C"/>
    <w:rsid w:val="000A70C5"/>
    <w:rsid w:val="000A728D"/>
    <w:rsid w:val="000A7D4B"/>
    <w:rsid w:val="000B6BCB"/>
    <w:rsid w:val="000B7E6E"/>
    <w:rsid w:val="000C078C"/>
    <w:rsid w:val="000C21C0"/>
    <w:rsid w:val="000C282D"/>
    <w:rsid w:val="000C4D63"/>
    <w:rsid w:val="000C51EC"/>
    <w:rsid w:val="000C56DA"/>
    <w:rsid w:val="000D3987"/>
    <w:rsid w:val="000D3D12"/>
    <w:rsid w:val="000D5C27"/>
    <w:rsid w:val="000D63BD"/>
    <w:rsid w:val="000D68B6"/>
    <w:rsid w:val="000E031D"/>
    <w:rsid w:val="000E0C14"/>
    <w:rsid w:val="000E1726"/>
    <w:rsid w:val="000E1E82"/>
    <w:rsid w:val="000E5A18"/>
    <w:rsid w:val="000E5ED6"/>
    <w:rsid w:val="000E7FB7"/>
    <w:rsid w:val="000F1311"/>
    <w:rsid w:val="000F1F8D"/>
    <w:rsid w:val="000F344B"/>
    <w:rsid w:val="0010015F"/>
    <w:rsid w:val="0010086D"/>
    <w:rsid w:val="0010227B"/>
    <w:rsid w:val="001031DF"/>
    <w:rsid w:val="0010384C"/>
    <w:rsid w:val="0010521A"/>
    <w:rsid w:val="001065E9"/>
    <w:rsid w:val="0010798F"/>
    <w:rsid w:val="00113663"/>
    <w:rsid w:val="00115AC6"/>
    <w:rsid w:val="001166FC"/>
    <w:rsid w:val="001219A4"/>
    <w:rsid w:val="001225EF"/>
    <w:rsid w:val="00124DA2"/>
    <w:rsid w:val="00126657"/>
    <w:rsid w:val="00132B3A"/>
    <w:rsid w:val="00134A08"/>
    <w:rsid w:val="00135272"/>
    <w:rsid w:val="0013541F"/>
    <w:rsid w:val="00144168"/>
    <w:rsid w:val="00144B5D"/>
    <w:rsid w:val="00145C23"/>
    <w:rsid w:val="001516A6"/>
    <w:rsid w:val="00151C46"/>
    <w:rsid w:val="00152105"/>
    <w:rsid w:val="00152A63"/>
    <w:rsid w:val="001535BC"/>
    <w:rsid w:val="00153D6B"/>
    <w:rsid w:val="0015763D"/>
    <w:rsid w:val="001606EC"/>
    <w:rsid w:val="0016191D"/>
    <w:rsid w:val="00162A48"/>
    <w:rsid w:val="001706DC"/>
    <w:rsid w:val="00170BF6"/>
    <w:rsid w:val="001718C4"/>
    <w:rsid w:val="00174200"/>
    <w:rsid w:val="0017755E"/>
    <w:rsid w:val="0018284E"/>
    <w:rsid w:val="0018471B"/>
    <w:rsid w:val="00185BEF"/>
    <w:rsid w:val="001909A8"/>
    <w:rsid w:val="00191C46"/>
    <w:rsid w:val="00192518"/>
    <w:rsid w:val="00192CE3"/>
    <w:rsid w:val="00195681"/>
    <w:rsid w:val="001959D2"/>
    <w:rsid w:val="00197AFB"/>
    <w:rsid w:val="001A2394"/>
    <w:rsid w:val="001A278D"/>
    <w:rsid w:val="001A2F36"/>
    <w:rsid w:val="001A3E6C"/>
    <w:rsid w:val="001A5A37"/>
    <w:rsid w:val="001A62CD"/>
    <w:rsid w:val="001A7305"/>
    <w:rsid w:val="001A79FF"/>
    <w:rsid w:val="001B1FB6"/>
    <w:rsid w:val="001B28FC"/>
    <w:rsid w:val="001B6473"/>
    <w:rsid w:val="001C14AF"/>
    <w:rsid w:val="001C5FC2"/>
    <w:rsid w:val="001C6299"/>
    <w:rsid w:val="001C696F"/>
    <w:rsid w:val="001C76C4"/>
    <w:rsid w:val="001C7A27"/>
    <w:rsid w:val="001C7C6F"/>
    <w:rsid w:val="001D190A"/>
    <w:rsid w:val="001D2583"/>
    <w:rsid w:val="001D3004"/>
    <w:rsid w:val="001D3583"/>
    <w:rsid w:val="001D4B19"/>
    <w:rsid w:val="001D4F4D"/>
    <w:rsid w:val="001D654A"/>
    <w:rsid w:val="001E56F3"/>
    <w:rsid w:val="001E5F87"/>
    <w:rsid w:val="001E67F0"/>
    <w:rsid w:val="001F0557"/>
    <w:rsid w:val="001F09CD"/>
    <w:rsid w:val="001F0F1B"/>
    <w:rsid w:val="001F198D"/>
    <w:rsid w:val="001F1D42"/>
    <w:rsid w:val="001F35B7"/>
    <w:rsid w:val="001F46D3"/>
    <w:rsid w:val="001F5684"/>
    <w:rsid w:val="001F58C1"/>
    <w:rsid w:val="001F6571"/>
    <w:rsid w:val="001F69ED"/>
    <w:rsid w:val="001F7BFC"/>
    <w:rsid w:val="00200861"/>
    <w:rsid w:val="00202136"/>
    <w:rsid w:val="0020443C"/>
    <w:rsid w:val="002070FA"/>
    <w:rsid w:val="00213786"/>
    <w:rsid w:val="00213CAF"/>
    <w:rsid w:val="00215830"/>
    <w:rsid w:val="002161CD"/>
    <w:rsid w:val="002225CF"/>
    <w:rsid w:val="00222A48"/>
    <w:rsid w:val="00222FD3"/>
    <w:rsid w:val="00224675"/>
    <w:rsid w:val="002307DE"/>
    <w:rsid w:val="00231CA4"/>
    <w:rsid w:val="00234C42"/>
    <w:rsid w:val="00236891"/>
    <w:rsid w:val="00243E31"/>
    <w:rsid w:val="002463BF"/>
    <w:rsid w:val="0024662B"/>
    <w:rsid w:val="0025038F"/>
    <w:rsid w:val="002511E7"/>
    <w:rsid w:val="002515B5"/>
    <w:rsid w:val="00252161"/>
    <w:rsid w:val="00252A3C"/>
    <w:rsid w:val="002537BA"/>
    <w:rsid w:val="00254722"/>
    <w:rsid w:val="00255808"/>
    <w:rsid w:val="00260C29"/>
    <w:rsid w:val="00260CAC"/>
    <w:rsid w:val="00270806"/>
    <w:rsid w:val="00271208"/>
    <w:rsid w:val="002712C7"/>
    <w:rsid w:val="002730E3"/>
    <w:rsid w:val="00275FDD"/>
    <w:rsid w:val="002775C7"/>
    <w:rsid w:val="002812FA"/>
    <w:rsid w:val="00281DE4"/>
    <w:rsid w:val="00282EAA"/>
    <w:rsid w:val="002834EC"/>
    <w:rsid w:val="002835F3"/>
    <w:rsid w:val="00283E3D"/>
    <w:rsid w:val="0028632E"/>
    <w:rsid w:val="002909C4"/>
    <w:rsid w:val="00290F43"/>
    <w:rsid w:val="0029167D"/>
    <w:rsid w:val="002918F7"/>
    <w:rsid w:val="00294C7A"/>
    <w:rsid w:val="00297E2E"/>
    <w:rsid w:val="00297FD8"/>
    <w:rsid w:val="002A305B"/>
    <w:rsid w:val="002A442C"/>
    <w:rsid w:val="002A5C4F"/>
    <w:rsid w:val="002B1DBE"/>
    <w:rsid w:val="002B4DCA"/>
    <w:rsid w:val="002C00DA"/>
    <w:rsid w:val="002C1C52"/>
    <w:rsid w:val="002C2886"/>
    <w:rsid w:val="002C39D6"/>
    <w:rsid w:val="002C7379"/>
    <w:rsid w:val="002D4DA9"/>
    <w:rsid w:val="002D7F4F"/>
    <w:rsid w:val="002E008D"/>
    <w:rsid w:val="002E019B"/>
    <w:rsid w:val="002E1C90"/>
    <w:rsid w:val="002E53DB"/>
    <w:rsid w:val="002F1D7A"/>
    <w:rsid w:val="002F37DD"/>
    <w:rsid w:val="002F37E6"/>
    <w:rsid w:val="002F3E82"/>
    <w:rsid w:val="002F426C"/>
    <w:rsid w:val="002F42EA"/>
    <w:rsid w:val="002F4353"/>
    <w:rsid w:val="002F6523"/>
    <w:rsid w:val="00300F47"/>
    <w:rsid w:val="003015A5"/>
    <w:rsid w:val="00304819"/>
    <w:rsid w:val="0030611F"/>
    <w:rsid w:val="00306326"/>
    <w:rsid w:val="0030715C"/>
    <w:rsid w:val="00307DDC"/>
    <w:rsid w:val="00310BE6"/>
    <w:rsid w:val="00310CEB"/>
    <w:rsid w:val="00312001"/>
    <w:rsid w:val="00313708"/>
    <w:rsid w:val="00315143"/>
    <w:rsid w:val="00315A20"/>
    <w:rsid w:val="003204F8"/>
    <w:rsid w:val="003213F6"/>
    <w:rsid w:val="00321FAF"/>
    <w:rsid w:val="00322476"/>
    <w:rsid w:val="00322835"/>
    <w:rsid w:val="003249F9"/>
    <w:rsid w:val="003266C6"/>
    <w:rsid w:val="0032763C"/>
    <w:rsid w:val="00332CE0"/>
    <w:rsid w:val="00333EC2"/>
    <w:rsid w:val="00336581"/>
    <w:rsid w:val="00340CC8"/>
    <w:rsid w:val="003430A5"/>
    <w:rsid w:val="003434AB"/>
    <w:rsid w:val="003461CD"/>
    <w:rsid w:val="0034733E"/>
    <w:rsid w:val="00347A2A"/>
    <w:rsid w:val="00352721"/>
    <w:rsid w:val="003547F2"/>
    <w:rsid w:val="0036694A"/>
    <w:rsid w:val="0037227B"/>
    <w:rsid w:val="00376457"/>
    <w:rsid w:val="00377ED6"/>
    <w:rsid w:val="00381B24"/>
    <w:rsid w:val="00384B0F"/>
    <w:rsid w:val="003907D7"/>
    <w:rsid w:val="00391508"/>
    <w:rsid w:val="00397173"/>
    <w:rsid w:val="00397D26"/>
    <w:rsid w:val="003A2546"/>
    <w:rsid w:val="003A3301"/>
    <w:rsid w:val="003B0497"/>
    <w:rsid w:val="003B142B"/>
    <w:rsid w:val="003B142D"/>
    <w:rsid w:val="003B2D99"/>
    <w:rsid w:val="003B3B5F"/>
    <w:rsid w:val="003B42D8"/>
    <w:rsid w:val="003B6D22"/>
    <w:rsid w:val="003C302C"/>
    <w:rsid w:val="003C43FD"/>
    <w:rsid w:val="003C49C5"/>
    <w:rsid w:val="003C75CF"/>
    <w:rsid w:val="003D172C"/>
    <w:rsid w:val="003D1D86"/>
    <w:rsid w:val="003D3BAD"/>
    <w:rsid w:val="003D48F6"/>
    <w:rsid w:val="003D53C6"/>
    <w:rsid w:val="003D7EAF"/>
    <w:rsid w:val="003E0F05"/>
    <w:rsid w:val="003E1F2E"/>
    <w:rsid w:val="003E6ED0"/>
    <w:rsid w:val="003F1699"/>
    <w:rsid w:val="003F1841"/>
    <w:rsid w:val="003F2784"/>
    <w:rsid w:val="003F2CFA"/>
    <w:rsid w:val="003F3A67"/>
    <w:rsid w:val="003F618D"/>
    <w:rsid w:val="0040017E"/>
    <w:rsid w:val="00400F35"/>
    <w:rsid w:val="00404BA4"/>
    <w:rsid w:val="00405778"/>
    <w:rsid w:val="00406965"/>
    <w:rsid w:val="004071D7"/>
    <w:rsid w:val="0041089E"/>
    <w:rsid w:val="004110E6"/>
    <w:rsid w:val="00411E3E"/>
    <w:rsid w:val="004122EB"/>
    <w:rsid w:val="00414833"/>
    <w:rsid w:val="00420087"/>
    <w:rsid w:val="004210A7"/>
    <w:rsid w:val="00421336"/>
    <w:rsid w:val="004213EC"/>
    <w:rsid w:val="0042188A"/>
    <w:rsid w:val="00421B3D"/>
    <w:rsid w:val="00421E81"/>
    <w:rsid w:val="00423575"/>
    <w:rsid w:val="00423A19"/>
    <w:rsid w:val="00430D15"/>
    <w:rsid w:val="0043650F"/>
    <w:rsid w:val="004409C5"/>
    <w:rsid w:val="00440FFA"/>
    <w:rsid w:val="00441CCC"/>
    <w:rsid w:val="00442061"/>
    <w:rsid w:val="004430FB"/>
    <w:rsid w:val="00446696"/>
    <w:rsid w:val="00447373"/>
    <w:rsid w:val="00447D16"/>
    <w:rsid w:val="00453477"/>
    <w:rsid w:val="00454BD0"/>
    <w:rsid w:val="00460163"/>
    <w:rsid w:val="0046056A"/>
    <w:rsid w:val="0046134F"/>
    <w:rsid w:val="00463AF6"/>
    <w:rsid w:val="004668C9"/>
    <w:rsid w:val="00472262"/>
    <w:rsid w:val="00472526"/>
    <w:rsid w:val="0047363A"/>
    <w:rsid w:val="00475157"/>
    <w:rsid w:val="00475B68"/>
    <w:rsid w:val="00475D81"/>
    <w:rsid w:val="0047663B"/>
    <w:rsid w:val="00481F9B"/>
    <w:rsid w:val="0048358C"/>
    <w:rsid w:val="0048565A"/>
    <w:rsid w:val="004859B6"/>
    <w:rsid w:val="00487986"/>
    <w:rsid w:val="00491137"/>
    <w:rsid w:val="00493822"/>
    <w:rsid w:val="004A1974"/>
    <w:rsid w:val="004A7D50"/>
    <w:rsid w:val="004B1B36"/>
    <w:rsid w:val="004B1ED4"/>
    <w:rsid w:val="004B2DBC"/>
    <w:rsid w:val="004B367E"/>
    <w:rsid w:val="004C0EB6"/>
    <w:rsid w:val="004C2983"/>
    <w:rsid w:val="004C2AEF"/>
    <w:rsid w:val="004C6992"/>
    <w:rsid w:val="004C70DA"/>
    <w:rsid w:val="004D2538"/>
    <w:rsid w:val="004D2879"/>
    <w:rsid w:val="004D2C4B"/>
    <w:rsid w:val="004D3345"/>
    <w:rsid w:val="004D37F1"/>
    <w:rsid w:val="004D6023"/>
    <w:rsid w:val="004E00FA"/>
    <w:rsid w:val="004E18FE"/>
    <w:rsid w:val="004E1C4C"/>
    <w:rsid w:val="004E3CC6"/>
    <w:rsid w:val="004E5048"/>
    <w:rsid w:val="004E5239"/>
    <w:rsid w:val="004F15F0"/>
    <w:rsid w:val="004F2436"/>
    <w:rsid w:val="004F2C89"/>
    <w:rsid w:val="004F3BE6"/>
    <w:rsid w:val="004F3CE8"/>
    <w:rsid w:val="004F6230"/>
    <w:rsid w:val="004F6865"/>
    <w:rsid w:val="004F6EC8"/>
    <w:rsid w:val="00500176"/>
    <w:rsid w:val="005012FC"/>
    <w:rsid w:val="00504552"/>
    <w:rsid w:val="00506765"/>
    <w:rsid w:val="005104D9"/>
    <w:rsid w:val="005130F4"/>
    <w:rsid w:val="00513ABC"/>
    <w:rsid w:val="00514CC9"/>
    <w:rsid w:val="0051798B"/>
    <w:rsid w:val="00522E43"/>
    <w:rsid w:val="00523FFE"/>
    <w:rsid w:val="005242D2"/>
    <w:rsid w:val="00526BF0"/>
    <w:rsid w:val="005312C7"/>
    <w:rsid w:val="0053602A"/>
    <w:rsid w:val="0053612D"/>
    <w:rsid w:val="00545616"/>
    <w:rsid w:val="00545A76"/>
    <w:rsid w:val="00545F94"/>
    <w:rsid w:val="005542F5"/>
    <w:rsid w:val="00554B82"/>
    <w:rsid w:val="00557022"/>
    <w:rsid w:val="00557355"/>
    <w:rsid w:val="005577FA"/>
    <w:rsid w:val="00561234"/>
    <w:rsid w:val="005614FA"/>
    <w:rsid w:val="00561922"/>
    <w:rsid w:val="00563E58"/>
    <w:rsid w:val="0056429B"/>
    <w:rsid w:val="00565A5C"/>
    <w:rsid w:val="00565A8E"/>
    <w:rsid w:val="00567DAD"/>
    <w:rsid w:val="00571200"/>
    <w:rsid w:val="005738C4"/>
    <w:rsid w:val="00573922"/>
    <w:rsid w:val="00573F8D"/>
    <w:rsid w:val="00575B7A"/>
    <w:rsid w:val="005835CE"/>
    <w:rsid w:val="005868BA"/>
    <w:rsid w:val="0058723D"/>
    <w:rsid w:val="005916F0"/>
    <w:rsid w:val="00593935"/>
    <w:rsid w:val="00593D65"/>
    <w:rsid w:val="00595A05"/>
    <w:rsid w:val="00596909"/>
    <w:rsid w:val="00597C2A"/>
    <w:rsid w:val="005A1601"/>
    <w:rsid w:val="005A3E35"/>
    <w:rsid w:val="005A5BB0"/>
    <w:rsid w:val="005A675C"/>
    <w:rsid w:val="005A68E6"/>
    <w:rsid w:val="005B5500"/>
    <w:rsid w:val="005C1972"/>
    <w:rsid w:val="005D31FD"/>
    <w:rsid w:val="005D40D2"/>
    <w:rsid w:val="005D4438"/>
    <w:rsid w:val="005D6672"/>
    <w:rsid w:val="005D6B48"/>
    <w:rsid w:val="005E2DC5"/>
    <w:rsid w:val="005E35CC"/>
    <w:rsid w:val="005E5C0C"/>
    <w:rsid w:val="005E683E"/>
    <w:rsid w:val="005F461E"/>
    <w:rsid w:val="005F7C15"/>
    <w:rsid w:val="006004DB"/>
    <w:rsid w:val="00601AEF"/>
    <w:rsid w:val="0060541B"/>
    <w:rsid w:val="00606F6E"/>
    <w:rsid w:val="006071E1"/>
    <w:rsid w:val="0061025B"/>
    <w:rsid w:val="00612577"/>
    <w:rsid w:val="00612CDF"/>
    <w:rsid w:val="00613E5D"/>
    <w:rsid w:val="00616192"/>
    <w:rsid w:val="00620E36"/>
    <w:rsid w:val="0062113E"/>
    <w:rsid w:val="00621A34"/>
    <w:rsid w:val="00621BA6"/>
    <w:rsid w:val="00622153"/>
    <w:rsid w:val="006235F3"/>
    <w:rsid w:val="00624C1A"/>
    <w:rsid w:val="00624CAC"/>
    <w:rsid w:val="00624F08"/>
    <w:rsid w:val="006265EB"/>
    <w:rsid w:val="00632BAF"/>
    <w:rsid w:val="00634F0E"/>
    <w:rsid w:val="00641C36"/>
    <w:rsid w:val="0064461A"/>
    <w:rsid w:val="006476CB"/>
    <w:rsid w:val="006500F3"/>
    <w:rsid w:val="006502A4"/>
    <w:rsid w:val="00651F2E"/>
    <w:rsid w:val="006542D7"/>
    <w:rsid w:val="006543ED"/>
    <w:rsid w:val="00654465"/>
    <w:rsid w:val="00654C46"/>
    <w:rsid w:val="00655438"/>
    <w:rsid w:val="006604AE"/>
    <w:rsid w:val="00661F8D"/>
    <w:rsid w:val="0066322C"/>
    <w:rsid w:val="00663FA4"/>
    <w:rsid w:val="00664670"/>
    <w:rsid w:val="006703DD"/>
    <w:rsid w:val="006706BC"/>
    <w:rsid w:val="006711C6"/>
    <w:rsid w:val="00671D4E"/>
    <w:rsid w:val="00673560"/>
    <w:rsid w:val="00673DA8"/>
    <w:rsid w:val="00677035"/>
    <w:rsid w:val="00680458"/>
    <w:rsid w:val="006836EE"/>
    <w:rsid w:val="00685E03"/>
    <w:rsid w:val="00686F7A"/>
    <w:rsid w:val="0069090E"/>
    <w:rsid w:val="00690F42"/>
    <w:rsid w:val="0069235F"/>
    <w:rsid w:val="006939BB"/>
    <w:rsid w:val="00694870"/>
    <w:rsid w:val="00694998"/>
    <w:rsid w:val="00694E2E"/>
    <w:rsid w:val="00695133"/>
    <w:rsid w:val="00695A0B"/>
    <w:rsid w:val="006976E9"/>
    <w:rsid w:val="006A1BC9"/>
    <w:rsid w:val="006A1E2A"/>
    <w:rsid w:val="006A38D1"/>
    <w:rsid w:val="006A599C"/>
    <w:rsid w:val="006A6B23"/>
    <w:rsid w:val="006A6B89"/>
    <w:rsid w:val="006A7087"/>
    <w:rsid w:val="006A780E"/>
    <w:rsid w:val="006B0264"/>
    <w:rsid w:val="006B0AED"/>
    <w:rsid w:val="006B1066"/>
    <w:rsid w:val="006B6D3E"/>
    <w:rsid w:val="006B7533"/>
    <w:rsid w:val="006C2405"/>
    <w:rsid w:val="006C2C47"/>
    <w:rsid w:val="006C4378"/>
    <w:rsid w:val="006C4469"/>
    <w:rsid w:val="006C48EF"/>
    <w:rsid w:val="006C4F90"/>
    <w:rsid w:val="006C51B8"/>
    <w:rsid w:val="006D677A"/>
    <w:rsid w:val="006D776C"/>
    <w:rsid w:val="006E0355"/>
    <w:rsid w:val="006E0E42"/>
    <w:rsid w:val="006E2885"/>
    <w:rsid w:val="006E2942"/>
    <w:rsid w:val="006E7B58"/>
    <w:rsid w:val="006F2894"/>
    <w:rsid w:val="006F2B9F"/>
    <w:rsid w:val="006F2E95"/>
    <w:rsid w:val="006F3998"/>
    <w:rsid w:val="006F3BFB"/>
    <w:rsid w:val="006F4251"/>
    <w:rsid w:val="007004C8"/>
    <w:rsid w:val="00701427"/>
    <w:rsid w:val="00701524"/>
    <w:rsid w:val="00701DF5"/>
    <w:rsid w:val="00703E23"/>
    <w:rsid w:val="007067DC"/>
    <w:rsid w:val="00707855"/>
    <w:rsid w:val="00707DDB"/>
    <w:rsid w:val="00711EA9"/>
    <w:rsid w:val="007127F3"/>
    <w:rsid w:val="00712B64"/>
    <w:rsid w:val="00713791"/>
    <w:rsid w:val="007161A1"/>
    <w:rsid w:val="0072090E"/>
    <w:rsid w:val="007221D4"/>
    <w:rsid w:val="00722819"/>
    <w:rsid w:val="00723FAF"/>
    <w:rsid w:val="00724F5F"/>
    <w:rsid w:val="00724FB4"/>
    <w:rsid w:val="007405C9"/>
    <w:rsid w:val="007449F1"/>
    <w:rsid w:val="00744DC8"/>
    <w:rsid w:val="00746139"/>
    <w:rsid w:val="0075019A"/>
    <w:rsid w:val="0075188C"/>
    <w:rsid w:val="00754D6B"/>
    <w:rsid w:val="00756429"/>
    <w:rsid w:val="007578EE"/>
    <w:rsid w:val="0076010A"/>
    <w:rsid w:val="0076059B"/>
    <w:rsid w:val="00761616"/>
    <w:rsid w:val="00761F36"/>
    <w:rsid w:val="00766E66"/>
    <w:rsid w:val="00771125"/>
    <w:rsid w:val="00771C8F"/>
    <w:rsid w:val="00776110"/>
    <w:rsid w:val="0077676B"/>
    <w:rsid w:val="00776D82"/>
    <w:rsid w:val="0078111A"/>
    <w:rsid w:val="007831DF"/>
    <w:rsid w:val="00790B1B"/>
    <w:rsid w:val="00794202"/>
    <w:rsid w:val="00796688"/>
    <w:rsid w:val="007974EF"/>
    <w:rsid w:val="007A05C3"/>
    <w:rsid w:val="007A1C71"/>
    <w:rsid w:val="007A2C68"/>
    <w:rsid w:val="007A45DA"/>
    <w:rsid w:val="007A6312"/>
    <w:rsid w:val="007A797B"/>
    <w:rsid w:val="007A7AB8"/>
    <w:rsid w:val="007B0BA7"/>
    <w:rsid w:val="007B2840"/>
    <w:rsid w:val="007B3ACB"/>
    <w:rsid w:val="007B4710"/>
    <w:rsid w:val="007B4FED"/>
    <w:rsid w:val="007B673B"/>
    <w:rsid w:val="007B75D5"/>
    <w:rsid w:val="007C042B"/>
    <w:rsid w:val="007C2248"/>
    <w:rsid w:val="007C2D1F"/>
    <w:rsid w:val="007C59F0"/>
    <w:rsid w:val="007C5F39"/>
    <w:rsid w:val="007C5FC5"/>
    <w:rsid w:val="007C6F4F"/>
    <w:rsid w:val="007D0C77"/>
    <w:rsid w:val="007D46C4"/>
    <w:rsid w:val="007D514E"/>
    <w:rsid w:val="007D636C"/>
    <w:rsid w:val="007E03C0"/>
    <w:rsid w:val="007E2144"/>
    <w:rsid w:val="007E35B1"/>
    <w:rsid w:val="007E7041"/>
    <w:rsid w:val="007E7139"/>
    <w:rsid w:val="007F26AD"/>
    <w:rsid w:val="007F2C3F"/>
    <w:rsid w:val="007F3794"/>
    <w:rsid w:val="007F40D8"/>
    <w:rsid w:val="007F5C27"/>
    <w:rsid w:val="007F624C"/>
    <w:rsid w:val="00800555"/>
    <w:rsid w:val="0080057A"/>
    <w:rsid w:val="0080295A"/>
    <w:rsid w:val="00803996"/>
    <w:rsid w:val="0080499D"/>
    <w:rsid w:val="0080721F"/>
    <w:rsid w:val="00812247"/>
    <w:rsid w:val="00812F03"/>
    <w:rsid w:val="008144E2"/>
    <w:rsid w:val="00816042"/>
    <w:rsid w:val="00816E4F"/>
    <w:rsid w:val="00820999"/>
    <w:rsid w:val="008209F9"/>
    <w:rsid w:val="00820E2A"/>
    <w:rsid w:val="00821AED"/>
    <w:rsid w:val="0082441F"/>
    <w:rsid w:val="0082641A"/>
    <w:rsid w:val="0083011B"/>
    <w:rsid w:val="0083411F"/>
    <w:rsid w:val="008360B4"/>
    <w:rsid w:val="00840E56"/>
    <w:rsid w:val="00842DBE"/>
    <w:rsid w:val="00842FE2"/>
    <w:rsid w:val="0084375A"/>
    <w:rsid w:val="0084445A"/>
    <w:rsid w:val="00845A0D"/>
    <w:rsid w:val="00846AC4"/>
    <w:rsid w:val="00851BBC"/>
    <w:rsid w:val="00851DD6"/>
    <w:rsid w:val="00852250"/>
    <w:rsid w:val="0085660F"/>
    <w:rsid w:val="00856973"/>
    <w:rsid w:val="00857D67"/>
    <w:rsid w:val="00863CA6"/>
    <w:rsid w:val="00864AFA"/>
    <w:rsid w:val="00864FB1"/>
    <w:rsid w:val="00864FE1"/>
    <w:rsid w:val="0086574D"/>
    <w:rsid w:val="00872F1E"/>
    <w:rsid w:val="00873C0B"/>
    <w:rsid w:val="008750DD"/>
    <w:rsid w:val="0087688E"/>
    <w:rsid w:val="00880D3B"/>
    <w:rsid w:val="00882942"/>
    <w:rsid w:val="00884E3D"/>
    <w:rsid w:val="00885740"/>
    <w:rsid w:val="00886089"/>
    <w:rsid w:val="00887925"/>
    <w:rsid w:val="008918DD"/>
    <w:rsid w:val="00892F3F"/>
    <w:rsid w:val="0089338E"/>
    <w:rsid w:val="00893BC5"/>
    <w:rsid w:val="00894A1D"/>
    <w:rsid w:val="00897F54"/>
    <w:rsid w:val="008A0346"/>
    <w:rsid w:val="008A06CB"/>
    <w:rsid w:val="008A27AF"/>
    <w:rsid w:val="008A29FB"/>
    <w:rsid w:val="008A32A5"/>
    <w:rsid w:val="008A37D9"/>
    <w:rsid w:val="008A392E"/>
    <w:rsid w:val="008A39AC"/>
    <w:rsid w:val="008A6A0D"/>
    <w:rsid w:val="008A7F1B"/>
    <w:rsid w:val="008A7FF7"/>
    <w:rsid w:val="008B0455"/>
    <w:rsid w:val="008B1ABE"/>
    <w:rsid w:val="008B22C4"/>
    <w:rsid w:val="008B30ED"/>
    <w:rsid w:val="008B4E15"/>
    <w:rsid w:val="008B4F73"/>
    <w:rsid w:val="008B74EF"/>
    <w:rsid w:val="008C0E69"/>
    <w:rsid w:val="008C380C"/>
    <w:rsid w:val="008C4AD2"/>
    <w:rsid w:val="008C57C9"/>
    <w:rsid w:val="008C738E"/>
    <w:rsid w:val="008D0159"/>
    <w:rsid w:val="008D28EC"/>
    <w:rsid w:val="008D601F"/>
    <w:rsid w:val="008D690E"/>
    <w:rsid w:val="008D6F24"/>
    <w:rsid w:val="008E00F7"/>
    <w:rsid w:val="008E6CA4"/>
    <w:rsid w:val="008E6EA7"/>
    <w:rsid w:val="008F0670"/>
    <w:rsid w:val="008F0BBF"/>
    <w:rsid w:val="008F1F72"/>
    <w:rsid w:val="008F38CC"/>
    <w:rsid w:val="008F4CD4"/>
    <w:rsid w:val="008F51F4"/>
    <w:rsid w:val="009032B6"/>
    <w:rsid w:val="00910D63"/>
    <w:rsid w:val="00910F48"/>
    <w:rsid w:val="0091757F"/>
    <w:rsid w:val="009218AA"/>
    <w:rsid w:val="009243E2"/>
    <w:rsid w:val="00924638"/>
    <w:rsid w:val="00930C3D"/>
    <w:rsid w:val="009310B6"/>
    <w:rsid w:val="009312AB"/>
    <w:rsid w:val="009313F0"/>
    <w:rsid w:val="00932F3F"/>
    <w:rsid w:val="0093408C"/>
    <w:rsid w:val="00940B5D"/>
    <w:rsid w:val="00943530"/>
    <w:rsid w:val="00944D05"/>
    <w:rsid w:val="00945490"/>
    <w:rsid w:val="009460CD"/>
    <w:rsid w:val="00947BE2"/>
    <w:rsid w:val="0095011F"/>
    <w:rsid w:val="009523DF"/>
    <w:rsid w:val="009532B4"/>
    <w:rsid w:val="00955D9F"/>
    <w:rsid w:val="00955E81"/>
    <w:rsid w:val="00956384"/>
    <w:rsid w:val="009611BD"/>
    <w:rsid w:val="00961F9A"/>
    <w:rsid w:val="00962316"/>
    <w:rsid w:val="0096266B"/>
    <w:rsid w:val="00962822"/>
    <w:rsid w:val="00963351"/>
    <w:rsid w:val="00964DA2"/>
    <w:rsid w:val="0096772C"/>
    <w:rsid w:val="009737EC"/>
    <w:rsid w:val="00974894"/>
    <w:rsid w:val="00980FFC"/>
    <w:rsid w:val="0098214E"/>
    <w:rsid w:val="00990149"/>
    <w:rsid w:val="00991E7C"/>
    <w:rsid w:val="00993606"/>
    <w:rsid w:val="00994447"/>
    <w:rsid w:val="00994CC1"/>
    <w:rsid w:val="00995F95"/>
    <w:rsid w:val="0099661A"/>
    <w:rsid w:val="0099699B"/>
    <w:rsid w:val="0099781D"/>
    <w:rsid w:val="009A1664"/>
    <w:rsid w:val="009A1727"/>
    <w:rsid w:val="009A18A5"/>
    <w:rsid w:val="009A388B"/>
    <w:rsid w:val="009A51DA"/>
    <w:rsid w:val="009A5DF9"/>
    <w:rsid w:val="009A7AC5"/>
    <w:rsid w:val="009B0400"/>
    <w:rsid w:val="009B21CE"/>
    <w:rsid w:val="009B7CC5"/>
    <w:rsid w:val="009C04CA"/>
    <w:rsid w:val="009C0BBB"/>
    <w:rsid w:val="009C2ED6"/>
    <w:rsid w:val="009C4D93"/>
    <w:rsid w:val="009C788C"/>
    <w:rsid w:val="009D09FE"/>
    <w:rsid w:val="009D0D30"/>
    <w:rsid w:val="009D2F02"/>
    <w:rsid w:val="009D4E83"/>
    <w:rsid w:val="009D511C"/>
    <w:rsid w:val="009E0819"/>
    <w:rsid w:val="009E0C0A"/>
    <w:rsid w:val="009E1A1C"/>
    <w:rsid w:val="009E1DEC"/>
    <w:rsid w:val="009E2849"/>
    <w:rsid w:val="009E2FB8"/>
    <w:rsid w:val="009E38B9"/>
    <w:rsid w:val="009E500F"/>
    <w:rsid w:val="009E68FA"/>
    <w:rsid w:val="009F1EFA"/>
    <w:rsid w:val="009F2CFB"/>
    <w:rsid w:val="009F35A0"/>
    <w:rsid w:val="009F457C"/>
    <w:rsid w:val="009F457E"/>
    <w:rsid w:val="009F67DE"/>
    <w:rsid w:val="009F67EB"/>
    <w:rsid w:val="00A00399"/>
    <w:rsid w:val="00A00B7E"/>
    <w:rsid w:val="00A00D13"/>
    <w:rsid w:val="00A01493"/>
    <w:rsid w:val="00A02B6B"/>
    <w:rsid w:val="00A04665"/>
    <w:rsid w:val="00A04F66"/>
    <w:rsid w:val="00A06991"/>
    <w:rsid w:val="00A07975"/>
    <w:rsid w:val="00A07CA6"/>
    <w:rsid w:val="00A07FB5"/>
    <w:rsid w:val="00A11275"/>
    <w:rsid w:val="00A11F1C"/>
    <w:rsid w:val="00A17C07"/>
    <w:rsid w:val="00A17DC3"/>
    <w:rsid w:val="00A2135A"/>
    <w:rsid w:val="00A25CD3"/>
    <w:rsid w:val="00A3159A"/>
    <w:rsid w:val="00A33B0F"/>
    <w:rsid w:val="00A439FF"/>
    <w:rsid w:val="00A44B4C"/>
    <w:rsid w:val="00A45CCA"/>
    <w:rsid w:val="00A47E29"/>
    <w:rsid w:val="00A501C5"/>
    <w:rsid w:val="00A51D09"/>
    <w:rsid w:val="00A5452B"/>
    <w:rsid w:val="00A5460B"/>
    <w:rsid w:val="00A54DAD"/>
    <w:rsid w:val="00A55B3B"/>
    <w:rsid w:val="00A567E8"/>
    <w:rsid w:val="00A56B08"/>
    <w:rsid w:val="00A57192"/>
    <w:rsid w:val="00A60DED"/>
    <w:rsid w:val="00A60E5C"/>
    <w:rsid w:val="00A64A0B"/>
    <w:rsid w:val="00A65102"/>
    <w:rsid w:val="00A663BA"/>
    <w:rsid w:val="00A66EB0"/>
    <w:rsid w:val="00A73121"/>
    <w:rsid w:val="00A767E2"/>
    <w:rsid w:val="00A8095C"/>
    <w:rsid w:val="00A80E56"/>
    <w:rsid w:val="00A815DB"/>
    <w:rsid w:val="00A816F3"/>
    <w:rsid w:val="00A81F10"/>
    <w:rsid w:val="00A81FC8"/>
    <w:rsid w:val="00A851CA"/>
    <w:rsid w:val="00A91AC5"/>
    <w:rsid w:val="00A93C05"/>
    <w:rsid w:val="00A94773"/>
    <w:rsid w:val="00A94EDB"/>
    <w:rsid w:val="00A95D05"/>
    <w:rsid w:val="00AA07A9"/>
    <w:rsid w:val="00AA32CF"/>
    <w:rsid w:val="00AA4DC4"/>
    <w:rsid w:val="00AA5188"/>
    <w:rsid w:val="00AA69D3"/>
    <w:rsid w:val="00AA7E2C"/>
    <w:rsid w:val="00AB03D2"/>
    <w:rsid w:val="00AB2C17"/>
    <w:rsid w:val="00AB6111"/>
    <w:rsid w:val="00AC51E4"/>
    <w:rsid w:val="00AD3628"/>
    <w:rsid w:val="00AD5028"/>
    <w:rsid w:val="00AD597D"/>
    <w:rsid w:val="00AE0AE9"/>
    <w:rsid w:val="00AE2428"/>
    <w:rsid w:val="00AE2506"/>
    <w:rsid w:val="00AE4AC7"/>
    <w:rsid w:val="00AE4E48"/>
    <w:rsid w:val="00AE53D6"/>
    <w:rsid w:val="00AE59E0"/>
    <w:rsid w:val="00AE6DC2"/>
    <w:rsid w:val="00AF2FFC"/>
    <w:rsid w:val="00AF351A"/>
    <w:rsid w:val="00AF7805"/>
    <w:rsid w:val="00AF78A8"/>
    <w:rsid w:val="00B01C8D"/>
    <w:rsid w:val="00B026F1"/>
    <w:rsid w:val="00B07669"/>
    <w:rsid w:val="00B07898"/>
    <w:rsid w:val="00B1090B"/>
    <w:rsid w:val="00B122A4"/>
    <w:rsid w:val="00B131D2"/>
    <w:rsid w:val="00B157DB"/>
    <w:rsid w:val="00B157E2"/>
    <w:rsid w:val="00B15E2C"/>
    <w:rsid w:val="00B21AFD"/>
    <w:rsid w:val="00B260C1"/>
    <w:rsid w:val="00B30432"/>
    <w:rsid w:val="00B30DAB"/>
    <w:rsid w:val="00B35CE8"/>
    <w:rsid w:val="00B37859"/>
    <w:rsid w:val="00B37DFF"/>
    <w:rsid w:val="00B41936"/>
    <w:rsid w:val="00B4387F"/>
    <w:rsid w:val="00B45575"/>
    <w:rsid w:val="00B4784C"/>
    <w:rsid w:val="00B50CBE"/>
    <w:rsid w:val="00B60DDE"/>
    <w:rsid w:val="00B63E25"/>
    <w:rsid w:val="00B64AA9"/>
    <w:rsid w:val="00B65404"/>
    <w:rsid w:val="00B66032"/>
    <w:rsid w:val="00B66BDF"/>
    <w:rsid w:val="00B7645B"/>
    <w:rsid w:val="00B77868"/>
    <w:rsid w:val="00B8040F"/>
    <w:rsid w:val="00B83D0B"/>
    <w:rsid w:val="00B83F9F"/>
    <w:rsid w:val="00B8468E"/>
    <w:rsid w:val="00B87D6D"/>
    <w:rsid w:val="00B91499"/>
    <w:rsid w:val="00B919AE"/>
    <w:rsid w:val="00B91F36"/>
    <w:rsid w:val="00B9416F"/>
    <w:rsid w:val="00BA04B8"/>
    <w:rsid w:val="00BA3617"/>
    <w:rsid w:val="00BA4049"/>
    <w:rsid w:val="00BA47FA"/>
    <w:rsid w:val="00BA52EB"/>
    <w:rsid w:val="00BA629D"/>
    <w:rsid w:val="00BB0C15"/>
    <w:rsid w:val="00BB2CFE"/>
    <w:rsid w:val="00BB394D"/>
    <w:rsid w:val="00BB56E1"/>
    <w:rsid w:val="00BB6296"/>
    <w:rsid w:val="00BB7CC5"/>
    <w:rsid w:val="00BC1756"/>
    <w:rsid w:val="00BC1E3D"/>
    <w:rsid w:val="00BC2C6D"/>
    <w:rsid w:val="00BC7D0F"/>
    <w:rsid w:val="00BD0B6D"/>
    <w:rsid w:val="00BD12CC"/>
    <w:rsid w:val="00BD1D60"/>
    <w:rsid w:val="00BD1DFA"/>
    <w:rsid w:val="00BD3B1B"/>
    <w:rsid w:val="00BD4B4C"/>
    <w:rsid w:val="00BD5C8C"/>
    <w:rsid w:val="00BE059F"/>
    <w:rsid w:val="00BE0A01"/>
    <w:rsid w:val="00BE1458"/>
    <w:rsid w:val="00BE53AE"/>
    <w:rsid w:val="00BE5904"/>
    <w:rsid w:val="00BE5B5C"/>
    <w:rsid w:val="00BF3CEB"/>
    <w:rsid w:val="00BF5923"/>
    <w:rsid w:val="00BF65BE"/>
    <w:rsid w:val="00BF67C1"/>
    <w:rsid w:val="00C002E3"/>
    <w:rsid w:val="00C0115D"/>
    <w:rsid w:val="00C0212B"/>
    <w:rsid w:val="00C06AF9"/>
    <w:rsid w:val="00C10975"/>
    <w:rsid w:val="00C117E9"/>
    <w:rsid w:val="00C119A9"/>
    <w:rsid w:val="00C13905"/>
    <w:rsid w:val="00C1650B"/>
    <w:rsid w:val="00C174F3"/>
    <w:rsid w:val="00C202D3"/>
    <w:rsid w:val="00C221F8"/>
    <w:rsid w:val="00C23055"/>
    <w:rsid w:val="00C25887"/>
    <w:rsid w:val="00C25CD4"/>
    <w:rsid w:val="00C3393E"/>
    <w:rsid w:val="00C342FD"/>
    <w:rsid w:val="00C364A7"/>
    <w:rsid w:val="00C37A35"/>
    <w:rsid w:val="00C410DD"/>
    <w:rsid w:val="00C41D5B"/>
    <w:rsid w:val="00C43053"/>
    <w:rsid w:val="00C44CEC"/>
    <w:rsid w:val="00C51807"/>
    <w:rsid w:val="00C56F80"/>
    <w:rsid w:val="00C57734"/>
    <w:rsid w:val="00C57D19"/>
    <w:rsid w:val="00C57D38"/>
    <w:rsid w:val="00C60457"/>
    <w:rsid w:val="00C60909"/>
    <w:rsid w:val="00C616C2"/>
    <w:rsid w:val="00C620B9"/>
    <w:rsid w:val="00C727EA"/>
    <w:rsid w:val="00C73217"/>
    <w:rsid w:val="00C746CD"/>
    <w:rsid w:val="00C74DE3"/>
    <w:rsid w:val="00C7503B"/>
    <w:rsid w:val="00C75E88"/>
    <w:rsid w:val="00C81E1D"/>
    <w:rsid w:val="00C83AEA"/>
    <w:rsid w:val="00C84457"/>
    <w:rsid w:val="00C8559D"/>
    <w:rsid w:val="00C9008F"/>
    <w:rsid w:val="00C91AD3"/>
    <w:rsid w:val="00C91CA4"/>
    <w:rsid w:val="00C91F44"/>
    <w:rsid w:val="00C93169"/>
    <w:rsid w:val="00C9550A"/>
    <w:rsid w:val="00CA1D75"/>
    <w:rsid w:val="00CA1DF9"/>
    <w:rsid w:val="00CA60C0"/>
    <w:rsid w:val="00CB1001"/>
    <w:rsid w:val="00CB14CC"/>
    <w:rsid w:val="00CB3FB7"/>
    <w:rsid w:val="00CB687D"/>
    <w:rsid w:val="00CC03FD"/>
    <w:rsid w:val="00CC44EE"/>
    <w:rsid w:val="00CC5101"/>
    <w:rsid w:val="00CC5AFE"/>
    <w:rsid w:val="00CC5D46"/>
    <w:rsid w:val="00CC7365"/>
    <w:rsid w:val="00CC7786"/>
    <w:rsid w:val="00CD1F92"/>
    <w:rsid w:val="00CD27D7"/>
    <w:rsid w:val="00CD3193"/>
    <w:rsid w:val="00CD68A9"/>
    <w:rsid w:val="00CD6AB7"/>
    <w:rsid w:val="00CE19D2"/>
    <w:rsid w:val="00CE25CA"/>
    <w:rsid w:val="00CE5FD4"/>
    <w:rsid w:val="00CE79F1"/>
    <w:rsid w:val="00CF06F4"/>
    <w:rsid w:val="00CF1102"/>
    <w:rsid w:val="00CF496F"/>
    <w:rsid w:val="00CF4DA3"/>
    <w:rsid w:val="00CF61B3"/>
    <w:rsid w:val="00CF7DF9"/>
    <w:rsid w:val="00D00869"/>
    <w:rsid w:val="00D01A9B"/>
    <w:rsid w:val="00D02C9F"/>
    <w:rsid w:val="00D076DD"/>
    <w:rsid w:val="00D07EB3"/>
    <w:rsid w:val="00D1032C"/>
    <w:rsid w:val="00D104E2"/>
    <w:rsid w:val="00D10D16"/>
    <w:rsid w:val="00D1291B"/>
    <w:rsid w:val="00D144FD"/>
    <w:rsid w:val="00D16B72"/>
    <w:rsid w:val="00D16F38"/>
    <w:rsid w:val="00D2320F"/>
    <w:rsid w:val="00D30297"/>
    <w:rsid w:val="00D307B1"/>
    <w:rsid w:val="00D317CC"/>
    <w:rsid w:val="00D331FE"/>
    <w:rsid w:val="00D35A5C"/>
    <w:rsid w:val="00D379A1"/>
    <w:rsid w:val="00D42F8D"/>
    <w:rsid w:val="00D4364D"/>
    <w:rsid w:val="00D51D4C"/>
    <w:rsid w:val="00D53AF3"/>
    <w:rsid w:val="00D565A1"/>
    <w:rsid w:val="00D63433"/>
    <w:rsid w:val="00D63A61"/>
    <w:rsid w:val="00D63E68"/>
    <w:rsid w:val="00D71483"/>
    <w:rsid w:val="00D719BE"/>
    <w:rsid w:val="00D73954"/>
    <w:rsid w:val="00D75FA9"/>
    <w:rsid w:val="00D81041"/>
    <w:rsid w:val="00D838EF"/>
    <w:rsid w:val="00D87607"/>
    <w:rsid w:val="00D87DB5"/>
    <w:rsid w:val="00D902B9"/>
    <w:rsid w:val="00D93293"/>
    <w:rsid w:val="00D95F59"/>
    <w:rsid w:val="00DA26B4"/>
    <w:rsid w:val="00DA2C36"/>
    <w:rsid w:val="00DA62A9"/>
    <w:rsid w:val="00DB27AC"/>
    <w:rsid w:val="00DB283C"/>
    <w:rsid w:val="00DC15D1"/>
    <w:rsid w:val="00DD18A5"/>
    <w:rsid w:val="00DD3B2C"/>
    <w:rsid w:val="00DD4176"/>
    <w:rsid w:val="00DD4B85"/>
    <w:rsid w:val="00DD792C"/>
    <w:rsid w:val="00DE1D92"/>
    <w:rsid w:val="00DE32BD"/>
    <w:rsid w:val="00DE42BA"/>
    <w:rsid w:val="00DE4ADD"/>
    <w:rsid w:val="00DE4C0F"/>
    <w:rsid w:val="00DE66FD"/>
    <w:rsid w:val="00DF054E"/>
    <w:rsid w:val="00DF15DA"/>
    <w:rsid w:val="00DF2FFD"/>
    <w:rsid w:val="00DF7FA4"/>
    <w:rsid w:val="00E00DD8"/>
    <w:rsid w:val="00E01DA4"/>
    <w:rsid w:val="00E02157"/>
    <w:rsid w:val="00E03E3F"/>
    <w:rsid w:val="00E04CAC"/>
    <w:rsid w:val="00E05B32"/>
    <w:rsid w:val="00E07831"/>
    <w:rsid w:val="00E10617"/>
    <w:rsid w:val="00E13CC8"/>
    <w:rsid w:val="00E17F02"/>
    <w:rsid w:val="00E23DDB"/>
    <w:rsid w:val="00E24E83"/>
    <w:rsid w:val="00E27A18"/>
    <w:rsid w:val="00E27AFA"/>
    <w:rsid w:val="00E30966"/>
    <w:rsid w:val="00E3421A"/>
    <w:rsid w:val="00E36342"/>
    <w:rsid w:val="00E36ECC"/>
    <w:rsid w:val="00E4130A"/>
    <w:rsid w:val="00E415ED"/>
    <w:rsid w:val="00E42604"/>
    <w:rsid w:val="00E455A1"/>
    <w:rsid w:val="00E45882"/>
    <w:rsid w:val="00E4633F"/>
    <w:rsid w:val="00E47ADE"/>
    <w:rsid w:val="00E5120A"/>
    <w:rsid w:val="00E513EF"/>
    <w:rsid w:val="00E51C26"/>
    <w:rsid w:val="00E51CD8"/>
    <w:rsid w:val="00E54E94"/>
    <w:rsid w:val="00E56F21"/>
    <w:rsid w:val="00E60FAF"/>
    <w:rsid w:val="00E616BB"/>
    <w:rsid w:val="00E6345F"/>
    <w:rsid w:val="00E64F86"/>
    <w:rsid w:val="00E65D2E"/>
    <w:rsid w:val="00E74146"/>
    <w:rsid w:val="00E74F78"/>
    <w:rsid w:val="00E75672"/>
    <w:rsid w:val="00E762FB"/>
    <w:rsid w:val="00E82807"/>
    <w:rsid w:val="00E82EE1"/>
    <w:rsid w:val="00E87805"/>
    <w:rsid w:val="00E90B5B"/>
    <w:rsid w:val="00E90ED7"/>
    <w:rsid w:val="00E95C55"/>
    <w:rsid w:val="00E96259"/>
    <w:rsid w:val="00E975B3"/>
    <w:rsid w:val="00E97DEF"/>
    <w:rsid w:val="00EA1319"/>
    <w:rsid w:val="00EA25ED"/>
    <w:rsid w:val="00EA261B"/>
    <w:rsid w:val="00EA60E9"/>
    <w:rsid w:val="00EB2298"/>
    <w:rsid w:val="00EB4377"/>
    <w:rsid w:val="00EB4A0D"/>
    <w:rsid w:val="00EB55FB"/>
    <w:rsid w:val="00EB58C5"/>
    <w:rsid w:val="00EC0314"/>
    <w:rsid w:val="00EC3DF3"/>
    <w:rsid w:val="00EC5350"/>
    <w:rsid w:val="00EC63CE"/>
    <w:rsid w:val="00EC6846"/>
    <w:rsid w:val="00ED052F"/>
    <w:rsid w:val="00ED37D7"/>
    <w:rsid w:val="00ED6CC7"/>
    <w:rsid w:val="00EE28C2"/>
    <w:rsid w:val="00EE571D"/>
    <w:rsid w:val="00EE5C00"/>
    <w:rsid w:val="00EE7886"/>
    <w:rsid w:val="00EF1A07"/>
    <w:rsid w:val="00EF2AF9"/>
    <w:rsid w:val="00F0308D"/>
    <w:rsid w:val="00F059B2"/>
    <w:rsid w:val="00F05ADE"/>
    <w:rsid w:val="00F061C2"/>
    <w:rsid w:val="00F069AD"/>
    <w:rsid w:val="00F1034C"/>
    <w:rsid w:val="00F1185A"/>
    <w:rsid w:val="00F13E8F"/>
    <w:rsid w:val="00F1565C"/>
    <w:rsid w:val="00F201CC"/>
    <w:rsid w:val="00F20ECB"/>
    <w:rsid w:val="00F22826"/>
    <w:rsid w:val="00F24E15"/>
    <w:rsid w:val="00F25E3D"/>
    <w:rsid w:val="00F30DA9"/>
    <w:rsid w:val="00F31519"/>
    <w:rsid w:val="00F4561D"/>
    <w:rsid w:val="00F50449"/>
    <w:rsid w:val="00F52375"/>
    <w:rsid w:val="00F53D02"/>
    <w:rsid w:val="00F544DC"/>
    <w:rsid w:val="00F55648"/>
    <w:rsid w:val="00F57065"/>
    <w:rsid w:val="00F602FC"/>
    <w:rsid w:val="00F62C05"/>
    <w:rsid w:val="00F64C9F"/>
    <w:rsid w:val="00F65B3C"/>
    <w:rsid w:val="00F66818"/>
    <w:rsid w:val="00F70943"/>
    <w:rsid w:val="00F72745"/>
    <w:rsid w:val="00F7612F"/>
    <w:rsid w:val="00F767E6"/>
    <w:rsid w:val="00F76F97"/>
    <w:rsid w:val="00F775E0"/>
    <w:rsid w:val="00F8286B"/>
    <w:rsid w:val="00F942B8"/>
    <w:rsid w:val="00F958B9"/>
    <w:rsid w:val="00FA0149"/>
    <w:rsid w:val="00FA284B"/>
    <w:rsid w:val="00FA48D5"/>
    <w:rsid w:val="00FA5751"/>
    <w:rsid w:val="00FA5DC9"/>
    <w:rsid w:val="00FA63CB"/>
    <w:rsid w:val="00FB0BCA"/>
    <w:rsid w:val="00FB2DEA"/>
    <w:rsid w:val="00FB46FC"/>
    <w:rsid w:val="00FC001B"/>
    <w:rsid w:val="00FC0EFF"/>
    <w:rsid w:val="00FC3050"/>
    <w:rsid w:val="00FC7BF1"/>
    <w:rsid w:val="00FD18AC"/>
    <w:rsid w:val="00FD3AAA"/>
    <w:rsid w:val="00FD432A"/>
    <w:rsid w:val="00FD4C17"/>
    <w:rsid w:val="00FD5C3C"/>
    <w:rsid w:val="00FE0EB0"/>
    <w:rsid w:val="00FE3F6B"/>
    <w:rsid w:val="00FE40C6"/>
    <w:rsid w:val="00FE5B4A"/>
    <w:rsid w:val="00FE6097"/>
    <w:rsid w:val="00FF263E"/>
    <w:rsid w:val="00FF4CFA"/>
    <w:rsid w:val="00FF6F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2DAE"/>
  <w15:chartTrackingRefBased/>
  <w15:docId w15:val="{B2B9ED92-FE93-4A7E-BBEF-81EEECBB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basedOn w:val="DefaultParagraphFont"/>
    <w:uiPriority w:val="99"/>
    <w:semiHidden/>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semiHidden/>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1A79FF"/>
    <w:rPr>
      <w:color w:val="605E5C"/>
      <w:shd w:val="clear" w:color="auto" w:fill="E1DFDD"/>
    </w:rPr>
  </w:style>
  <w:style w:type="numbering" w:customStyle="1" w:styleId="ListCBD1">
    <w:name w:val="ListCBD1"/>
    <w:uiPriority w:val="99"/>
    <w:rsid w:val="00EB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ch.cbd.int/protocol/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op-14/cop-14-dec-33-zh.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zh.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p-mop-09/cp-mop-09-dec-13-zh.pdf" TargetMode="External"/><Relationship Id="rId20" Type="http://schemas.openxmlformats.org/officeDocument/2006/relationships/hyperlink" Target="https://www.cbd.int/decisions/mop/?m=cp-mop-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11/cp-mop-11-dec-07-zh.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ch.cbd.int/protoco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3-zh.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P/RA/AHTEG/2025/1/INF/1" TargetMode="External"/><Relationship Id="rId3" Type="http://schemas.openxmlformats.org/officeDocument/2006/relationships/hyperlink" Target="https://www.cbd.int/documents/CBD/CP/RA/AHTEG/2025/1/3" TargetMode="External"/><Relationship Id="rId7" Type="http://schemas.openxmlformats.org/officeDocument/2006/relationships/hyperlink" Target="https://www.cbd.int/documents/CBD/CP/MOP/11/9" TargetMode="External"/><Relationship Id="rId2" Type="http://schemas.openxmlformats.org/officeDocument/2006/relationships/hyperlink" Target="https://www.cbd.int/documents/CBD/SBSTTA/27/6" TargetMode="External"/><Relationship Id="rId1" Type="http://schemas.openxmlformats.org/officeDocument/2006/relationships/hyperlink" Target="https://www.cbd.int/documents/CBD/CP/RA/AHTEG/2025/1/3" TargetMode="External"/><Relationship Id="rId6" Type="http://schemas.openxmlformats.org/officeDocument/2006/relationships/hyperlink" Target="https://www.cbd.int/doc/decisions/cop-08/full/cop-08-dec-zh.pdf" TargetMode="External"/><Relationship Id="rId5" Type="http://schemas.openxmlformats.org/officeDocument/2006/relationships/hyperlink" Target="https://www.cbd.int/documents/CBD/CP/MOP/11/9" TargetMode="External"/><Relationship Id="rId4" Type="http://schemas.openxmlformats.org/officeDocument/2006/relationships/hyperlink" Target="https://www.cbd.int/tsc/tscm/subregionalcentres" TargetMode="External"/><Relationship Id="rId9" Type="http://schemas.openxmlformats.org/officeDocument/2006/relationships/hyperlink" Target="https://www.cbd.int/documents/CBD/CP/RA/AHTEG/2025/1/IN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LOUGHLI\OneDrive%20-%20United%20Nations\Desktop\Working%20on%20plane%20(AHTEG%20+%20SBSTTA)\sbstta-27-template-en%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37824C5C-C09A-4566-959B-C4BFA96B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 (1).dotm</Template>
  <TotalTime>10</TotalTime>
  <Pages>4</Pages>
  <Words>1726</Words>
  <Characters>1865</Characters>
  <Application>Microsoft Office Word</Application>
  <DocSecurity>0</DocSecurity>
  <Lines>77</Lines>
  <Paragraphs>59</Paragraphs>
  <ScaleCrop>false</ScaleCrop>
  <HeadingPairs>
    <vt:vector size="2" baseType="variant">
      <vt:variant>
        <vt:lpstr>Title</vt:lpstr>
      </vt:variant>
      <vt:variant>
        <vt:i4>1</vt:i4>
      </vt:variant>
    </vt:vector>
  </HeadingPairs>
  <TitlesOfParts>
    <vt:vector size="1" baseType="lpstr">
      <vt:lpstr>改性活生物体风险评估和风险管理</vt:lpstr>
    </vt:vector>
  </TitlesOfParts>
  <Company/>
  <LinksUpToDate>false</LinksUpToDate>
  <CharactersWithSpaces>3532</CharactersWithSpaces>
  <SharedDoc>false</SharedDoc>
  <HLinks>
    <vt:vector size="90" baseType="variant">
      <vt:variant>
        <vt:i4>7405681</vt:i4>
      </vt:variant>
      <vt:variant>
        <vt:i4>15</vt:i4>
      </vt:variant>
      <vt:variant>
        <vt:i4>0</vt:i4>
      </vt:variant>
      <vt:variant>
        <vt:i4>5</vt:i4>
      </vt:variant>
      <vt:variant>
        <vt:lpwstr>https://www.cbd.int/decisions/mop/?m=cp-mop-11</vt:lpwstr>
      </vt:variant>
      <vt:variant>
        <vt:lpwstr/>
      </vt:variant>
      <vt:variant>
        <vt:i4>3145838</vt:i4>
      </vt:variant>
      <vt:variant>
        <vt:i4>12</vt:i4>
      </vt:variant>
      <vt:variant>
        <vt:i4>0</vt:i4>
      </vt:variant>
      <vt:variant>
        <vt:i4>5</vt:i4>
      </vt:variant>
      <vt:variant>
        <vt:lpwstr>https://www.cbd.int/decisions/?id=13668</vt:lpwstr>
      </vt:variant>
      <vt:variant>
        <vt:lpwstr/>
      </vt:variant>
      <vt:variant>
        <vt:i4>7798832</vt:i4>
      </vt:variant>
      <vt:variant>
        <vt:i4>9</vt:i4>
      </vt:variant>
      <vt:variant>
        <vt:i4>0</vt:i4>
      </vt:variant>
      <vt:variant>
        <vt:i4>5</vt:i4>
      </vt:variant>
      <vt:variant>
        <vt:lpwstr>https://www.cbd.int/doc/decisions/cp-mop-09/cp-mop-09-dec-13-en.pdf</vt:lpwstr>
      </vt:variant>
      <vt:variant>
        <vt:lpwstr/>
      </vt:variant>
      <vt:variant>
        <vt:i4>7798832</vt:i4>
      </vt:variant>
      <vt:variant>
        <vt:i4>6</vt:i4>
      </vt:variant>
      <vt:variant>
        <vt:i4>0</vt:i4>
      </vt:variant>
      <vt:variant>
        <vt:i4>5</vt:i4>
      </vt:variant>
      <vt:variant>
        <vt:lpwstr>https://www.cbd.int/doc/decisions/cp-mop-09/cp-mop-09-dec-13-en.pdf</vt:lpwstr>
      </vt:variant>
      <vt:variant>
        <vt:lpwstr/>
      </vt:variant>
      <vt:variant>
        <vt:i4>7536689</vt:i4>
      </vt:variant>
      <vt:variant>
        <vt:i4>3</vt:i4>
      </vt:variant>
      <vt:variant>
        <vt:i4>0</vt:i4>
      </vt:variant>
      <vt:variant>
        <vt:i4>5</vt:i4>
      </vt:variant>
      <vt:variant>
        <vt:lpwstr>https://www.cbd.int/doc/decisions/cp-mop-11/cp-mop-11-dec-07-en.pdf</vt:lpwstr>
      </vt:variant>
      <vt:variant>
        <vt:lpwstr/>
      </vt:variant>
      <vt:variant>
        <vt:i4>7798832</vt:i4>
      </vt:variant>
      <vt:variant>
        <vt:i4>0</vt:i4>
      </vt:variant>
      <vt:variant>
        <vt:i4>0</vt:i4>
      </vt:variant>
      <vt:variant>
        <vt:i4>5</vt:i4>
      </vt:variant>
      <vt:variant>
        <vt:lpwstr>https://www.cbd.int/doc/decisions/cp-mop-09/cp-mop-09-dec-13-en.pdf</vt:lpwstr>
      </vt:variant>
      <vt:variant>
        <vt:lpwstr/>
      </vt:variant>
      <vt:variant>
        <vt:i4>2752564</vt:i4>
      </vt:variant>
      <vt:variant>
        <vt:i4>21</vt:i4>
      </vt:variant>
      <vt:variant>
        <vt:i4>0</vt:i4>
      </vt:variant>
      <vt:variant>
        <vt:i4>5</vt:i4>
      </vt:variant>
      <vt:variant>
        <vt:lpwstr>https://www.cbd.int/documents/CBD/CP/RA/AHTEG/2025/1/INF/2</vt:lpwstr>
      </vt:variant>
      <vt:variant>
        <vt:lpwstr/>
      </vt:variant>
      <vt:variant>
        <vt:i4>2687028</vt:i4>
      </vt:variant>
      <vt:variant>
        <vt:i4>18</vt:i4>
      </vt:variant>
      <vt:variant>
        <vt:i4>0</vt:i4>
      </vt:variant>
      <vt:variant>
        <vt:i4>5</vt:i4>
      </vt:variant>
      <vt:variant>
        <vt:lpwstr>https://www.cbd.int/documents/CBD/CP/RA/AHTEG/2025/1/INF/1</vt:lpwstr>
      </vt:variant>
      <vt:variant>
        <vt:lpwstr/>
      </vt:variant>
      <vt:variant>
        <vt:i4>7405681</vt:i4>
      </vt:variant>
      <vt:variant>
        <vt:i4>15</vt:i4>
      </vt:variant>
      <vt:variant>
        <vt:i4>0</vt:i4>
      </vt:variant>
      <vt:variant>
        <vt:i4>5</vt:i4>
      </vt:variant>
      <vt:variant>
        <vt:lpwstr>https://www.cbd.int/decisions/mop/?m=cp-mop-11</vt:lpwstr>
      </vt:variant>
      <vt:variant>
        <vt:lpwstr/>
      </vt:variant>
      <vt:variant>
        <vt:i4>3539048</vt:i4>
      </vt:variant>
      <vt:variant>
        <vt:i4>12</vt:i4>
      </vt:variant>
      <vt:variant>
        <vt:i4>0</vt:i4>
      </vt:variant>
      <vt:variant>
        <vt:i4>5</vt:i4>
      </vt:variant>
      <vt:variant>
        <vt:lpwstr>https://www.cbd.int/decisions/?id=11024</vt:lpwstr>
      </vt:variant>
      <vt:variant>
        <vt:lpwstr/>
      </vt:variant>
      <vt:variant>
        <vt:i4>7077988</vt:i4>
      </vt:variant>
      <vt:variant>
        <vt:i4>9</vt:i4>
      </vt:variant>
      <vt:variant>
        <vt:i4>0</vt:i4>
      </vt:variant>
      <vt:variant>
        <vt:i4>5</vt:i4>
      </vt:variant>
      <vt:variant>
        <vt:lpwstr>https://www.cbd.int/tsc/tscm/subregionalcentres</vt:lpwstr>
      </vt:variant>
      <vt:variant>
        <vt:lpwstr/>
      </vt:variant>
      <vt:variant>
        <vt:i4>2359413</vt:i4>
      </vt:variant>
      <vt:variant>
        <vt:i4>6</vt:i4>
      </vt:variant>
      <vt:variant>
        <vt:i4>0</vt:i4>
      </vt:variant>
      <vt:variant>
        <vt:i4>5</vt:i4>
      </vt:variant>
      <vt:variant>
        <vt:lpwstr>https://www.cbd.int/documents/CBD/CP/RA/AHTEG/2025/1/3</vt:lpwstr>
      </vt:variant>
      <vt:variant>
        <vt:lpwstr/>
      </vt:variant>
      <vt:variant>
        <vt:i4>4587590</vt:i4>
      </vt:variant>
      <vt:variant>
        <vt:i4>3</vt:i4>
      </vt:variant>
      <vt:variant>
        <vt:i4>0</vt:i4>
      </vt:variant>
      <vt:variant>
        <vt:i4>5</vt:i4>
      </vt:variant>
      <vt:variant>
        <vt:lpwstr>https://www.cbd.int/documents/CBD/SBSTTA/27/6</vt:lpwstr>
      </vt:variant>
      <vt:variant>
        <vt:lpwstr/>
      </vt:variant>
      <vt:variant>
        <vt:i4>2359413</vt:i4>
      </vt:variant>
      <vt:variant>
        <vt:i4>0</vt:i4>
      </vt:variant>
      <vt:variant>
        <vt:i4>0</vt:i4>
      </vt:variant>
      <vt:variant>
        <vt:i4>5</vt:i4>
      </vt:variant>
      <vt:variant>
        <vt:lpwstr>https://www.cbd.int/documents/CBD/CP/RA/AHTEG/2025/1/3</vt:lpwstr>
      </vt:variant>
      <vt:variant>
        <vt:lpwstr/>
      </vt:variant>
      <vt:variant>
        <vt:i4>4587590</vt:i4>
      </vt:variant>
      <vt:variant>
        <vt:i4>0</vt:i4>
      </vt:variant>
      <vt:variant>
        <vt:i4>0</vt:i4>
      </vt:variant>
      <vt:variant>
        <vt:i4>5</vt:i4>
      </vt:variant>
      <vt:variant>
        <vt:lpwstr>https://www.cbd.int/documents/CBD/SBSTTA/27/6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改性活生物体的风险评估与风险管理</dc:title>
  <dc:subject/>
  <dc:creator>Secretariat of the Convention on Biological Diversity</dc:creator>
  <cp:keywords>Subsidiary Body on Scientific, Technical and Technological Advice, twenty-seventh meeting</cp:keywords>
  <dc:description/>
  <cp:lastModifiedBy>SCBD</cp:lastModifiedBy>
  <cp:revision>6</cp:revision>
  <dcterms:created xsi:type="dcterms:W3CDTF">2025-11-17T18:18:00Z</dcterms:created>
  <dcterms:modified xsi:type="dcterms:W3CDTF">2025-11-17T18:47:00Z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