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82" w:type="dxa"/>
        <w:tblInd w:w="-283" w:type="dxa"/>
        <w:tblLayout w:type="fixed"/>
        <w:tblLook w:val="0000" w:firstRow="0" w:lastRow="0" w:firstColumn="0" w:lastColumn="0" w:noHBand="0" w:noVBand="0"/>
      </w:tblPr>
      <w:tblGrid>
        <w:gridCol w:w="975"/>
        <w:gridCol w:w="1434"/>
        <w:gridCol w:w="8073"/>
      </w:tblGrid>
      <w:tr w:rsidR="001F4AB4" w:rsidRPr="006B2D93" w14:paraId="5CAAFEBC" w14:textId="77777777" w:rsidTr="008A1499">
        <w:trPr>
          <w:trHeight w:val="850"/>
        </w:trPr>
        <w:tc>
          <w:tcPr>
            <w:tcW w:w="975" w:type="dxa"/>
            <w:vAlign w:val="bottom"/>
          </w:tcPr>
          <w:p w14:paraId="5CAAFEB7" w14:textId="77777777" w:rsidR="008A1499" w:rsidRPr="006B2D93" w:rsidRDefault="00062144" w:rsidP="008A1499">
            <w:pPr>
              <w:pStyle w:val="AASmallLogo"/>
              <w:rPr>
                <w:lang w:val="fr-FR"/>
              </w:rPr>
            </w:pPr>
            <w:r w:rsidRPr="006B2D93">
              <w:rPr>
                <w:noProof/>
                <w:lang w:val="fr-FR" w:eastAsia="fr-FR"/>
              </w:rPr>
              <w:drawing>
                <wp:inline distT="0" distB="0" distL="0" distR="0" wp14:anchorId="5CAAFFBA" wp14:editId="5CAAFFBB">
                  <wp:extent cx="474727" cy="402337"/>
                  <wp:effectExtent l="0" t="0" r="1905" b="0"/>
                  <wp:docPr id="1244614358" name="Picture 1"/>
                  <wp:cNvGraphicFramePr/>
                  <a:graphic xmlns:a="http://schemas.openxmlformats.org/drawingml/2006/main">
                    <a:graphicData uri="http://schemas.openxmlformats.org/drawingml/2006/picture">
                      <pic:pic xmlns:pic="http://schemas.openxmlformats.org/drawingml/2006/picture">
                        <pic:nvPicPr>
                          <pic:cNvPr id="1244614358" name=""/>
                          <pic:cNvPicPr/>
                        </pic:nvPicPr>
                        <pic:blipFill>
                          <a:blip r:embed="rId12"/>
                          <a:stretch>
                            <a:fillRect/>
                          </a:stretch>
                        </pic:blipFill>
                        <pic:spPr>
                          <a:xfrm>
                            <a:off x="0" y="0"/>
                            <a:ext cx="474727" cy="402337"/>
                          </a:xfrm>
                          <a:prstGeom prst="rect">
                            <a:avLst/>
                          </a:prstGeom>
                        </pic:spPr>
                      </pic:pic>
                    </a:graphicData>
                  </a:graphic>
                </wp:inline>
              </w:drawing>
            </w:r>
            <w:r w:rsidRPr="006B2D93">
              <w:rPr>
                <w:lang w:val="fr-FR"/>
              </w:rPr>
              <w:t xml:space="preserve"> </w:t>
            </w:r>
          </w:p>
          <w:p w14:paraId="5CAAFEB8" w14:textId="77777777" w:rsidR="008A1499" w:rsidRPr="006B2D93" w:rsidRDefault="008A1499" w:rsidP="008A1499">
            <w:pPr>
              <w:pStyle w:val="AASmallLogo"/>
              <w:rPr>
                <w:lang w:val="fr-FR"/>
              </w:rPr>
            </w:pPr>
          </w:p>
        </w:tc>
        <w:tc>
          <w:tcPr>
            <w:tcW w:w="1434" w:type="dxa"/>
            <w:noWrap/>
            <w:vAlign w:val="bottom"/>
          </w:tcPr>
          <w:p w14:paraId="5CAAFEB9" w14:textId="77777777" w:rsidR="008A1499" w:rsidRPr="006B2D93" w:rsidRDefault="00062144" w:rsidP="008A1499">
            <w:pPr>
              <w:pStyle w:val="AASmallLogo"/>
              <w:rPr>
                <w:lang w:val="fr-FR"/>
              </w:rPr>
            </w:pPr>
            <w:r w:rsidRPr="006B2D93">
              <w:rPr>
                <w:noProof/>
                <w:lang w:val="fr-FR" w:eastAsia="fr-FR"/>
              </w:rPr>
              <w:drawing>
                <wp:inline distT="0" distB="0" distL="0" distR="0" wp14:anchorId="5CAAFFBC" wp14:editId="5CAAFFBD">
                  <wp:extent cx="590550" cy="361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590550" cy="361950"/>
                          </a:xfrm>
                          <a:prstGeom prst="rect">
                            <a:avLst/>
                          </a:prstGeom>
                          <a:noFill/>
                          <a:ln>
                            <a:noFill/>
                          </a:ln>
                        </pic:spPr>
                      </pic:pic>
                    </a:graphicData>
                  </a:graphic>
                </wp:inline>
              </w:drawing>
            </w:r>
            <w:r w:rsidRPr="006B2D93">
              <w:rPr>
                <w:lang w:val="fr-FR"/>
              </w:rPr>
              <w:t xml:space="preserve"> </w:t>
            </w:r>
          </w:p>
          <w:p w14:paraId="5CAAFEBA" w14:textId="77777777" w:rsidR="008A1499" w:rsidRPr="006B2D93" w:rsidRDefault="008A1499" w:rsidP="008A1499">
            <w:pPr>
              <w:pStyle w:val="AASmallLogo"/>
              <w:rPr>
                <w:lang w:val="fr-FR"/>
              </w:rPr>
            </w:pPr>
          </w:p>
        </w:tc>
        <w:tc>
          <w:tcPr>
            <w:tcW w:w="8073" w:type="dxa"/>
            <w:vAlign w:val="bottom"/>
          </w:tcPr>
          <w:p w14:paraId="5CAAFEBB" w14:textId="51E6A28E" w:rsidR="008A1499" w:rsidRPr="006B2D93" w:rsidRDefault="00062144" w:rsidP="003F1A75">
            <w:pPr>
              <w:pStyle w:val="ABSymbol"/>
              <w:rPr>
                <w:lang w:val="fr-FR"/>
              </w:rPr>
            </w:pPr>
            <w:r w:rsidRPr="006B2D93">
              <w:rPr>
                <w:rFonts w:eastAsia="Times New Roman"/>
                <w:sz w:val="40"/>
                <w:szCs w:val="40"/>
                <w:lang w:val="fr-FR"/>
              </w:rPr>
              <w:t>CBD</w:t>
            </w:r>
            <w:r w:rsidRPr="006B2D93">
              <w:rPr>
                <w:rFonts w:eastAsia="Times New Roman"/>
                <w:lang w:val="fr-FR"/>
              </w:rPr>
              <w:t>/SBSTTA/</w:t>
            </w:r>
            <w:r w:rsidR="00943821" w:rsidRPr="006B2D93">
              <w:rPr>
                <w:rFonts w:eastAsia="Times New Roman"/>
                <w:lang w:val="fr-FR"/>
              </w:rPr>
              <w:t>REC/</w:t>
            </w:r>
            <w:r w:rsidRPr="006B2D93">
              <w:rPr>
                <w:rFonts w:eastAsia="Times New Roman"/>
                <w:lang w:val="fr-FR"/>
              </w:rPr>
              <w:t>28/</w:t>
            </w:r>
            <w:r w:rsidR="00943821" w:rsidRPr="006B2D93">
              <w:rPr>
                <w:rFonts w:eastAsia="Times New Roman"/>
                <w:lang w:val="fr-FR"/>
              </w:rPr>
              <w:t>3</w:t>
            </w:r>
          </w:p>
        </w:tc>
      </w:tr>
    </w:tbl>
    <w:p w14:paraId="5CAAFEBD" w14:textId="77777777" w:rsidR="008A1499" w:rsidRPr="006B2D93" w:rsidRDefault="008A1499" w:rsidP="008A1499">
      <w:pPr>
        <w:pStyle w:val="AISpacer"/>
        <w:rPr>
          <w:lang w:val="fr-FR"/>
        </w:rPr>
      </w:pPr>
    </w:p>
    <w:tbl>
      <w:tblPr>
        <w:tblW w:w="10482" w:type="dxa"/>
        <w:tblInd w:w="-283" w:type="dxa"/>
        <w:tblBorders>
          <w:top w:val="single" w:sz="8" w:space="0" w:color="auto"/>
          <w:bottom w:val="single" w:sz="12" w:space="0" w:color="auto"/>
        </w:tblBorders>
        <w:tblLayout w:type="fixed"/>
        <w:tblLook w:val="0000" w:firstRow="0" w:lastRow="0" w:firstColumn="0" w:lastColumn="0" w:noHBand="0" w:noVBand="0"/>
      </w:tblPr>
      <w:tblGrid>
        <w:gridCol w:w="7370"/>
        <w:gridCol w:w="3112"/>
      </w:tblGrid>
      <w:tr w:rsidR="001F4AB4" w:rsidRPr="00395997" w14:paraId="5CAAFEC6" w14:textId="77777777" w:rsidTr="008A1499">
        <w:trPr>
          <w:trHeight w:val="1814"/>
        </w:trPr>
        <w:tc>
          <w:tcPr>
            <w:tcW w:w="7370" w:type="dxa"/>
          </w:tcPr>
          <w:p w14:paraId="5CAAFEBE" w14:textId="77777777" w:rsidR="008A1499" w:rsidRPr="006B2D93" w:rsidRDefault="00062144" w:rsidP="008A1499">
            <w:pPr>
              <w:pStyle w:val="ACLargeLogo"/>
              <w:rPr>
                <w:lang w:val="fr-FR"/>
              </w:rPr>
            </w:pPr>
            <w:r w:rsidRPr="006B2D93">
              <w:rPr>
                <w:noProof/>
                <w:lang w:val="fr-FR" w:eastAsia="fr-FR"/>
              </w:rPr>
              <w:drawing>
                <wp:inline distT="0" distB="0" distL="0" distR="0" wp14:anchorId="5CAAFFBE" wp14:editId="5CAAFFBF">
                  <wp:extent cx="2857500" cy="1076325"/>
                  <wp:effectExtent l="0" t="0" r="0" b="9525"/>
                  <wp:docPr id="1" name="Image 1" descr="CBD_logo_fr-CMYK-black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8" descr="CBD_logo_fr-CMYK-black [Converted]"/>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857500" cy="1076325"/>
                          </a:xfrm>
                          <a:prstGeom prst="rect">
                            <a:avLst/>
                          </a:prstGeom>
                          <a:noFill/>
                          <a:ln>
                            <a:noFill/>
                          </a:ln>
                        </pic:spPr>
                      </pic:pic>
                    </a:graphicData>
                  </a:graphic>
                </wp:inline>
              </w:drawing>
            </w:r>
            <w:r w:rsidRPr="006B2D93">
              <w:rPr>
                <w:rFonts w:eastAsia="Times New Roman"/>
                <w:szCs w:val="8"/>
                <w:lang w:val="fr-FR"/>
              </w:rPr>
              <w:t xml:space="preserve"> </w:t>
            </w:r>
          </w:p>
          <w:p w14:paraId="5CAAFEBF" w14:textId="77777777" w:rsidR="008A1499" w:rsidRPr="006B2D93" w:rsidRDefault="008A1499" w:rsidP="008A1499">
            <w:pPr>
              <w:pStyle w:val="ACLargeLogo"/>
              <w:rPr>
                <w:lang w:val="fr-FR"/>
              </w:rPr>
            </w:pPr>
          </w:p>
        </w:tc>
        <w:tc>
          <w:tcPr>
            <w:tcW w:w="3112" w:type="dxa"/>
          </w:tcPr>
          <w:p w14:paraId="5CAAFEC0" w14:textId="3847ADDC" w:rsidR="00EB360A" w:rsidRPr="006B2D93" w:rsidRDefault="00062144" w:rsidP="00EB360A">
            <w:pPr>
              <w:pStyle w:val="AEDistrNormal"/>
              <w:rPr>
                <w:lang w:val="fr-FR"/>
              </w:rPr>
            </w:pPr>
            <w:proofErr w:type="spellStart"/>
            <w:r w:rsidRPr="006B2D93">
              <w:rPr>
                <w:rFonts w:eastAsia="Times New Roman"/>
                <w:lang w:val="fr-FR"/>
              </w:rPr>
              <w:t>Distr</w:t>
            </w:r>
            <w:proofErr w:type="spellEnd"/>
            <w:r w:rsidRPr="006B2D93">
              <w:rPr>
                <w:rFonts w:eastAsia="Times New Roman"/>
                <w:lang w:val="fr-FR"/>
              </w:rPr>
              <w:t>. </w:t>
            </w:r>
            <w:proofErr w:type="gramStart"/>
            <w:r w:rsidR="00943821" w:rsidRPr="006B2D93">
              <w:rPr>
                <w:rFonts w:eastAsia="Times New Roman"/>
                <w:lang w:val="fr-FR"/>
              </w:rPr>
              <w:t>générale</w:t>
            </w:r>
            <w:proofErr w:type="gramEnd"/>
          </w:p>
          <w:p w14:paraId="5CAAFEC1" w14:textId="01E8196B" w:rsidR="00EB360A" w:rsidRPr="006B2D93" w:rsidRDefault="008117AA" w:rsidP="00EB360A">
            <w:pPr>
              <w:pStyle w:val="AEDistrNormal"/>
              <w:rPr>
                <w:lang w:val="fr-FR"/>
              </w:rPr>
            </w:pPr>
            <w:r w:rsidRPr="006B2D93">
              <w:rPr>
                <w:rFonts w:eastAsia="Times New Roman"/>
                <w:lang w:val="fr-FR"/>
              </w:rPr>
              <w:t>1</w:t>
            </w:r>
            <w:r w:rsidRPr="006B2D93">
              <w:rPr>
                <w:rFonts w:eastAsia="Times New Roman"/>
                <w:vertAlign w:val="superscript"/>
                <w:lang w:val="fr-FR"/>
              </w:rPr>
              <w:t>er</w:t>
            </w:r>
            <w:r w:rsidR="00C57D56">
              <w:rPr>
                <w:rFonts w:eastAsia="Times New Roman"/>
                <w:lang w:val="fr-FR"/>
              </w:rPr>
              <w:t> </w:t>
            </w:r>
            <w:r w:rsidRPr="006B2D93">
              <w:rPr>
                <w:rFonts w:eastAsia="Times New Roman"/>
                <w:lang w:val="fr-FR"/>
              </w:rPr>
              <w:t>août</w:t>
            </w:r>
            <w:r w:rsidR="00C57D56">
              <w:rPr>
                <w:rFonts w:eastAsia="Times New Roman"/>
                <w:lang w:val="fr-FR"/>
              </w:rPr>
              <w:t> </w:t>
            </w:r>
            <w:r w:rsidR="00062144" w:rsidRPr="006B2D93">
              <w:rPr>
                <w:rFonts w:eastAsia="Times New Roman"/>
                <w:lang w:val="fr-FR"/>
              </w:rPr>
              <w:t>2026</w:t>
            </w:r>
          </w:p>
          <w:p w14:paraId="5CAAFEC2" w14:textId="77777777" w:rsidR="00EB360A" w:rsidRPr="006B2D93" w:rsidRDefault="00062144" w:rsidP="00EB360A">
            <w:pPr>
              <w:pStyle w:val="AEDistrNormal"/>
              <w:rPr>
                <w:lang w:val="fr-FR"/>
              </w:rPr>
            </w:pPr>
            <w:r w:rsidRPr="006B2D93">
              <w:rPr>
                <w:rFonts w:eastAsia="Times New Roman"/>
                <w:lang w:val="fr-FR"/>
              </w:rPr>
              <w:t>Français</w:t>
            </w:r>
          </w:p>
          <w:p w14:paraId="5CAAFEC3" w14:textId="77777777" w:rsidR="00EB360A" w:rsidRPr="006B2D93" w:rsidRDefault="00062144" w:rsidP="00EB360A">
            <w:pPr>
              <w:pStyle w:val="AEDistrNormal"/>
              <w:rPr>
                <w:lang w:val="fr-FR"/>
              </w:rPr>
            </w:pPr>
            <w:r w:rsidRPr="006B2D93">
              <w:rPr>
                <w:rFonts w:eastAsia="Times New Roman"/>
                <w:lang w:val="fr-FR"/>
              </w:rPr>
              <w:t>Original : anglais</w:t>
            </w:r>
          </w:p>
          <w:p w14:paraId="5CAAFEC4" w14:textId="77777777" w:rsidR="008A1499" w:rsidRPr="006B2D93" w:rsidRDefault="008A1499" w:rsidP="008A1499">
            <w:pPr>
              <w:pStyle w:val="AEDistrNormal6pt"/>
              <w:rPr>
                <w:lang w:val="fr-FR"/>
              </w:rPr>
            </w:pPr>
          </w:p>
          <w:p w14:paraId="5CAAFEC5" w14:textId="77777777" w:rsidR="008A1499" w:rsidRPr="006B2D93" w:rsidRDefault="008A1499" w:rsidP="008A1499">
            <w:pPr>
              <w:pStyle w:val="AEDistrNormal6pt"/>
              <w:rPr>
                <w:lang w:val="fr-FR"/>
              </w:rPr>
            </w:pPr>
          </w:p>
        </w:tc>
      </w:tr>
    </w:tbl>
    <w:p w14:paraId="5CAAFEC7" w14:textId="77777777" w:rsidR="008A1499" w:rsidRPr="006B2D93" w:rsidRDefault="008A1499" w:rsidP="008A1499">
      <w:pPr>
        <w:pStyle w:val="AISpacer"/>
        <w:rPr>
          <w:lang w:val="fr-FR"/>
        </w:rPr>
      </w:pPr>
    </w:p>
    <w:tbl>
      <w:tblPr>
        <w:tblW w:w="10482" w:type="dxa"/>
        <w:tblInd w:w="-283" w:type="dxa"/>
        <w:tblLayout w:type="fixed"/>
        <w:tblCellMar>
          <w:left w:w="283" w:type="dxa"/>
        </w:tblCellMar>
        <w:tblLook w:val="0000" w:firstRow="0" w:lastRow="0" w:firstColumn="0" w:lastColumn="0" w:noHBand="0" w:noVBand="0"/>
      </w:tblPr>
      <w:tblGrid>
        <w:gridCol w:w="6094"/>
        <w:gridCol w:w="4388"/>
      </w:tblGrid>
      <w:tr w:rsidR="001F4AB4" w:rsidRPr="00395997" w14:paraId="5CAAFECE" w14:textId="77777777" w:rsidTr="008A1499">
        <w:trPr>
          <w:trHeight w:val="57"/>
        </w:trPr>
        <w:tc>
          <w:tcPr>
            <w:tcW w:w="6094" w:type="dxa"/>
          </w:tcPr>
          <w:p w14:paraId="5CAAFEC8" w14:textId="77777777" w:rsidR="004E7E8A" w:rsidRPr="006B2D93" w:rsidRDefault="00062144" w:rsidP="004E7E8A">
            <w:pPr>
              <w:pStyle w:val="AFCorN12Bold"/>
              <w:rPr>
                <w:lang w:val="fr-FR"/>
              </w:rPr>
            </w:pPr>
            <w:r w:rsidRPr="006B2D93">
              <w:rPr>
                <w:rFonts w:eastAsia="Times New Roman"/>
                <w:bCs/>
                <w:szCs w:val="24"/>
                <w:lang w:val="fr-FR"/>
              </w:rPr>
              <w:t>Organe subsidiaire chargé de fournir des avis</w:t>
            </w:r>
            <w:r w:rsidRPr="006B2D93">
              <w:rPr>
                <w:rFonts w:eastAsia="Times New Roman"/>
                <w:bCs/>
                <w:szCs w:val="24"/>
                <w:lang w:val="fr-FR"/>
              </w:rPr>
              <w:br/>
              <w:t>scientifiques, techniques et technologiques</w:t>
            </w:r>
          </w:p>
          <w:p w14:paraId="5CAAFEC9" w14:textId="77777777" w:rsidR="004E7E8A" w:rsidRPr="006B2D93" w:rsidRDefault="00062144" w:rsidP="004E7E8A">
            <w:pPr>
              <w:pStyle w:val="Venuedate"/>
              <w:rPr>
                <w:b/>
                <w:bCs w:val="0"/>
                <w:lang w:val="fr-FR"/>
              </w:rPr>
            </w:pPr>
            <w:r w:rsidRPr="006B2D93">
              <w:rPr>
                <w:rFonts w:eastAsia="Times New Roman"/>
                <w:b/>
                <w:lang w:val="fr-FR"/>
              </w:rPr>
              <w:t>Vingt-huitième réunion</w:t>
            </w:r>
          </w:p>
          <w:p w14:paraId="5CAAFECA" w14:textId="3CED8C89" w:rsidR="004E7E8A" w:rsidRPr="006B2D93" w:rsidRDefault="00062144" w:rsidP="004E7E8A">
            <w:pPr>
              <w:pStyle w:val="AEDistrNormal"/>
              <w:rPr>
                <w:lang w:val="fr-FR"/>
              </w:rPr>
            </w:pPr>
            <w:r w:rsidRPr="006B2D93">
              <w:rPr>
                <w:rFonts w:eastAsia="Times New Roman"/>
                <w:lang w:val="fr-FR"/>
              </w:rPr>
              <w:t>Nairobi, 27</w:t>
            </w:r>
            <w:r w:rsidR="00C57D56">
              <w:rPr>
                <w:rFonts w:eastAsia="Times New Roman"/>
                <w:lang w:val="fr-FR"/>
              </w:rPr>
              <w:t> </w:t>
            </w:r>
            <w:r w:rsidRPr="006B2D93">
              <w:rPr>
                <w:rFonts w:eastAsia="Times New Roman"/>
                <w:lang w:val="fr-FR"/>
              </w:rPr>
              <w:t>juillet–1</w:t>
            </w:r>
            <w:r w:rsidRPr="006B2D93">
              <w:rPr>
                <w:rFonts w:eastAsia="Times New Roman"/>
                <w:vertAlign w:val="superscript"/>
                <w:lang w:val="fr-FR"/>
              </w:rPr>
              <w:t>er</w:t>
            </w:r>
            <w:r w:rsidRPr="006B2D93">
              <w:rPr>
                <w:rFonts w:eastAsia="Times New Roman"/>
                <w:lang w:val="fr-FR"/>
              </w:rPr>
              <w:t xml:space="preserve"> août</w:t>
            </w:r>
            <w:r w:rsidR="00C57D56">
              <w:rPr>
                <w:rFonts w:eastAsia="Times New Roman"/>
                <w:lang w:val="fr-FR"/>
              </w:rPr>
              <w:t> </w:t>
            </w:r>
            <w:r w:rsidRPr="006B2D93">
              <w:rPr>
                <w:rFonts w:eastAsia="Times New Roman"/>
                <w:lang w:val="fr-FR"/>
              </w:rPr>
              <w:t>2026</w:t>
            </w:r>
          </w:p>
          <w:p w14:paraId="5CAAFECB" w14:textId="4BA3D665" w:rsidR="008A1499" w:rsidRPr="006B2D93" w:rsidRDefault="00062144" w:rsidP="004E7E8A">
            <w:pPr>
              <w:pStyle w:val="AFCorNNormal"/>
              <w:rPr>
                <w:lang w:val="fr-FR"/>
              </w:rPr>
            </w:pPr>
            <w:r w:rsidRPr="006B2D93">
              <w:rPr>
                <w:rFonts w:eastAsia="Times New Roman"/>
                <w:lang w:val="fr-FR"/>
              </w:rPr>
              <w:t>Point</w:t>
            </w:r>
            <w:r w:rsidR="00C57D56">
              <w:rPr>
                <w:rFonts w:eastAsia="Times New Roman"/>
                <w:lang w:val="fr-FR"/>
              </w:rPr>
              <w:t> </w:t>
            </w:r>
            <w:r w:rsidRPr="006B2D93">
              <w:rPr>
                <w:rFonts w:eastAsia="Times New Roman"/>
                <w:lang w:val="fr-FR"/>
              </w:rPr>
              <w:t xml:space="preserve">5 de l’ordre du jour </w:t>
            </w:r>
          </w:p>
          <w:p w14:paraId="5CAAFECC" w14:textId="77777777" w:rsidR="008A1499" w:rsidRPr="006B2D93" w:rsidRDefault="00062144" w:rsidP="008A1499">
            <w:pPr>
              <w:pStyle w:val="AFCorNBold"/>
              <w:rPr>
                <w:lang w:val="fr-FR"/>
              </w:rPr>
            </w:pPr>
            <w:r w:rsidRPr="006B2D93">
              <w:rPr>
                <w:rFonts w:eastAsia="Times New Roman"/>
                <w:bCs/>
                <w:lang w:val="fr-FR"/>
              </w:rPr>
              <w:t>Biologie de synthèse</w:t>
            </w:r>
          </w:p>
        </w:tc>
        <w:tc>
          <w:tcPr>
            <w:tcW w:w="4388" w:type="dxa"/>
          </w:tcPr>
          <w:p w14:paraId="5CAAFECD" w14:textId="77777777" w:rsidR="008A1499" w:rsidRPr="006B2D93" w:rsidRDefault="008A1499" w:rsidP="008A1499">
            <w:pPr>
              <w:pStyle w:val="CBDNormal"/>
              <w:jc w:val="left"/>
              <w:rPr>
                <w:lang w:val="fr-FR"/>
              </w:rPr>
            </w:pPr>
          </w:p>
        </w:tc>
      </w:tr>
    </w:tbl>
    <w:p w14:paraId="6C5F6882" w14:textId="16CA3719" w:rsidR="00943821" w:rsidRPr="006B2D93" w:rsidRDefault="00943821" w:rsidP="003C129A">
      <w:pPr>
        <w:pStyle w:val="CBDSubTitle"/>
        <w:rPr>
          <w:rFonts w:eastAsia="Times New Roman"/>
          <w:bCs/>
          <w:sz w:val="28"/>
          <w:szCs w:val="28"/>
          <w:lang w:val="fr-FR"/>
        </w:rPr>
      </w:pPr>
      <w:r w:rsidRPr="006B2D93">
        <w:rPr>
          <w:rFonts w:eastAsia="Times New Roman"/>
          <w:bCs/>
          <w:sz w:val="28"/>
          <w:szCs w:val="28"/>
          <w:lang w:val="fr-FR"/>
        </w:rPr>
        <w:t>Recommandation adoptée le 1</w:t>
      </w:r>
      <w:r w:rsidRPr="006B2D93">
        <w:rPr>
          <w:rFonts w:eastAsia="Times New Roman"/>
          <w:bCs/>
          <w:sz w:val="28"/>
          <w:szCs w:val="28"/>
          <w:vertAlign w:val="superscript"/>
          <w:lang w:val="fr-FR"/>
        </w:rPr>
        <w:t>er</w:t>
      </w:r>
      <w:r w:rsidR="00C57D56">
        <w:rPr>
          <w:rFonts w:eastAsia="Times New Roman"/>
          <w:bCs/>
          <w:sz w:val="28"/>
          <w:szCs w:val="28"/>
          <w:lang w:val="fr-FR"/>
        </w:rPr>
        <w:t> </w:t>
      </w:r>
      <w:r w:rsidRPr="006B2D93">
        <w:rPr>
          <w:rFonts w:eastAsia="Times New Roman"/>
          <w:bCs/>
          <w:sz w:val="28"/>
          <w:szCs w:val="28"/>
          <w:lang w:val="fr-FR"/>
        </w:rPr>
        <w:t>août</w:t>
      </w:r>
      <w:r w:rsidR="00C57D56">
        <w:rPr>
          <w:rFonts w:eastAsia="Times New Roman"/>
          <w:bCs/>
          <w:sz w:val="28"/>
          <w:szCs w:val="28"/>
          <w:lang w:val="fr-FR"/>
        </w:rPr>
        <w:t> </w:t>
      </w:r>
      <w:r w:rsidRPr="006B2D93">
        <w:rPr>
          <w:rFonts w:eastAsia="Times New Roman"/>
          <w:bCs/>
          <w:sz w:val="28"/>
          <w:szCs w:val="28"/>
          <w:lang w:val="fr-FR"/>
        </w:rPr>
        <w:t>2026 par l’Organe subsidiaire chargé de fournir des avis scientifiques, techniques et technologiques</w:t>
      </w:r>
    </w:p>
    <w:p w14:paraId="5CAAFED0" w14:textId="4E3E2741" w:rsidR="003C129A" w:rsidRPr="006B2D93" w:rsidRDefault="00943821" w:rsidP="003C129A">
      <w:pPr>
        <w:pStyle w:val="CBDSubTitle"/>
        <w:rPr>
          <w:lang w:val="fr-FR"/>
        </w:rPr>
      </w:pPr>
      <w:r w:rsidRPr="006B2D93">
        <w:rPr>
          <w:rFonts w:eastAsia="Times New Roman"/>
          <w:bCs/>
          <w:lang w:val="fr-FR"/>
        </w:rPr>
        <w:t>28/3.</w:t>
      </w:r>
      <w:r w:rsidRPr="006B2D93">
        <w:rPr>
          <w:rFonts w:eastAsia="Times New Roman"/>
          <w:bCs/>
          <w:lang w:val="fr-FR"/>
        </w:rPr>
        <w:tab/>
        <w:t>Biologie de synthèse</w:t>
      </w:r>
    </w:p>
    <w:p w14:paraId="5CAAFED1" w14:textId="77777777" w:rsidR="003C129A" w:rsidRPr="006B2D93" w:rsidRDefault="00062144" w:rsidP="003C129A">
      <w:pPr>
        <w:pStyle w:val="CBDNormalNumber"/>
        <w:keepNext/>
        <w:numPr>
          <w:ilvl w:val="0"/>
          <w:numId w:val="0"/>
        </w:numPr>
        <w:tabs>
          <w:tab w:val="clear" w:pos="567"/>
          <w:tab w:val="clear" w:pos="1134"/>
        </w:tabs>
        <w:ind w:left="567" w:firstLine="567"/>
        <w:rPr>
          <w:i/>
          <w:iCs/>
          <w:lang w:val="fr-FR"/>
        </w:rPr>
      </w:pPr>
      <w:r w:rsidRPr="006B2D93">
        <w:rPr>
          <w:rFonts w:eastAsia="Times New Roman"/>
          <w:i/>
          <w:iCs/>
          <w:lang w:val="fr-FR"/>
        </w:rPr>
        <w:t>L’Organe subsidiaire chargé de fournir des avis scientifiques, techniques et technologiques</w:t>
      </w:r>
    </w:p>
    <w:p w14:paraId="5CAAFED2" w14:textId="77777777" w:rsidR="003C129A" w:rsidRPr="006B2D93" w:rsidRDefault="00062144" w:rsidP="003C129A">
      <w:pPr>
        <w:pStyle w:val="CBDNormalNumber"/>
        <w:keepNext/>
        <w:numPr>
          <w:ilvl w:val="0"/>
          <w:numId w:val="0"/>
        </w:numPr>
        <w:tabs>
          <w:tab w:val="clear" w:pos="567"/>
          <w:tab w:val="clear" w:pos="1134"/>
        </w:tabs>
        <w:ind w:left="567" w:firstLine="567"/>
        <w:rPr>
          <w:i/>
          <w:iCs/>
          <w:lang w:val="fr-FR"/>
        </w:rPr>
      </w:pPr>
      <w:r w:rsidRPr="006B2D93">
        <w:rPr>
          <w:rFonts w:eastAsia="Times New Roman"/>
          <w:i/>
          <w:iCs/>
          <w:lang w:val="fr-FR"/>
        </w:rPr>
        <w:t xml:space="preserve">Recommande </w:t>
      </w:r>
      <w:r w:rsidRPr="006B2D93">
        <w:rPr>
          <w:rFonts w:eastAsia="Times New Roman"/>
          <w:lang w:val="fr-FR"/>
        </w:rPr>
        <w:t>à la Conférence des Parties d’adopter, à sa dix-septième réunion, une décision libellée comme suit :</w:t>
      </w:r>
    </w:p>
    <w:p w14:paraId="5CAAFED3" w14:textId="77777777" w:rsidR="0000692B" w:rsidRPr="006B2D93" w:rsidRDefault="00062144" w:rsidP="0077767A">
      <w:pPr>
        <w:pStyle w:val="CBDRecommendText"/>
        <w:tabs>
          <w:tab w:val="clear" w:pos="567"/>
        </w:tabs>
        <w:ind w:left="1134"/>
        <w:rPr>
          <w:i/>
          <w:iCs/>
          <w:lang w:val="fr-FR"/>
        </w:rPr>
      </w:pPr>
      <w:r w:rsidRPr="006B2D93">
        <w:rPr>
          <w:rFonts w:eastAsia="Times New Roman"/>
          <w:lang w:val="fr-FR"/>
        </w:rPr>
        <w:tab/>
      </w:r>
      <w:r w:rsidRPr="006B2D93">
        <w:rPr>
          <w:rFonts w:eastAsia="Times New Roman"/>
          <w:i/>
          <w:iCs/>
          <w:lang w:val="fr-FR"/>
        </w:rPr>
        <w:t>La Conférence des Parties</w:t>
      </w:r>
      <w:r w:rsidRPr="006B2D93">
        <w:rPr>
          <w:rFonts w:eastAsia="Times New Roman"/>
          <w:lang w:val="fr-FR"/>
        </w:rPr>
        <w:t>,</w:t>
      </w:r>
    </w:p>
    <w:p w14:paraId="5CAAFED4" w14:textId="2F2B56FC" w:rsidR="001E745E" w:rsidRPr="006B2D93" w:rsidRDefault="00062144" w:rsidP="0077767A">
      <w:pPr>
        <w:pStyle w:val="CBDNormalNoNumber"/>
        <w:tabs>
          <w:tab w:val="clear" w:pos="567"/>
        </w:tabs>
        <w:ind w:left="1134" w:firstLine="567"/>
        <w:rPr>
          <w:lang w:val="fr-FR"/>
        </w:rPr>
      </w:pPr>
      <w:r w:rsidRPr="006B2D93">
        <w:rPr>
          <w:rFonts w:eastAsia="Times New Roman"/>
          <w:i/>
          <w:iCs/>
          <w:lang w:val="fr-FR"/>
        </w:rPr>
        <w:t xml:space="preserve">Rappelant </w:t>
      </w:r>
      <w:r w:rsidRPr="006B2D93">
        <w:rPr>
          <w:rFonts w:eastAsia="Times New Roman"/>
          <w:lang w:val="fr-FR"/>
        </w:rPr>
        <w:t>les décisions </w:t>
      </w:r>
      <w:hyperlink r:id="rId15" w:history="1">
        <w:r w:rsidRPr="006B2D93">
          <w:rPr>
            <w:rFonts w:eastAsia="Times New Roman"/>
            <w:color w:val="0000FF"/>
            <w:u w:val="single"/>
            <w:lang w:val="fr-FR"/>
          </w:rPr>
          <w:t>14/19</w:t>
        </w:r>
      </w:hyperlink>
      <w:r w:rsidRPr="006B2D93">
        <w:rPr>
          <w:rFonts w:eastAsia="Times New Roman"/>
          <w:lang w:val="fr-FR"/>
        </w:rPr>
        <w:t xml:space="preserve"> du 29 novembre</w:t>
      </w:r>
      <w:r w:rsidR="00C57D56">
        <w:rPr>
          <w:rFonts w:eastAsia="Times New Roman"/>
          <w:lang w:val="fr-FR"/>
        </w:rPr>
        <w:t> </w:t>
      </w:r>
      <w:r w:rsidRPr="006B2D93">
        <w:rPr>
          <w:rFonts w:eastAsia="Times New Roman"/>
          <w:lang w:val="fr-FR"/>
        </w:rPr>
        <w:t xml:space="preserve">2018, </w:t>
      </w:r>
      <w:hyperlink r:id="rId16" w:history="1">
        <w:r w:rsidRPr="006B2D93">
          <w:rPr>
            <w:rFonts w:eastAsia="Times New Roman"/>
            <w:color w:val="0000FF"/>
            <w:u w:val="single"/>
            <w:lang w:val="fr-FR"/>
          </w:rPr>
          <w:t>15/31</w:t>
        </w:r>
      </w:hyperlink>
      <w:r w:rsidRPr="006B2D93">
        <w:rPr>
          <w:rFonts w:eastAsia="Times New Roman"/>
          <w:lang w:val="fr-FR"/>
        </w:rPr>
        <w:t xml:space="preserve"> du 19 décembre</w:t>
      </w:r>
      <w:r w:rsidR="00C57D56">
        <w:rPr>
          <w:rFonts w:eastAsia="Times New Roman"/>
          <w:lang w:val="fr-FR"/>
        </w:rPr>
        <w:t> </w:t>
      </w:r>
      <w:r w:rsidRPr="006B2D93">
        <w:rPr>
          <w:rFonts w:eastAsia="Times New Roman"/>
          <w:lang w:val="fr-FR"/>
        </w:rPr>
        <w:t xml:space="preserve">2022 et </w:t>
      </w:r>
      <w:hyperlink r:id="rId17" w:history="1">
        <w:r w:rsidRPr="006B2D93">
          <w:rPr>
            <w:rFonts w:eastAsia="Times New Roman"/>
            <w:color w:val="0000FF"/>
            <w:u w:val="single"/>
            <w:lang w:val="fr-FR"/>
          </w:rPr>
          <w:t>16/21</w:t>
        </w:r>
      </w:hyperlink>
      <w:r w:rsidRPr="006B2D93">
        <w:rPr>
          <w:rFonts w:eastAsia="Times New Roman"/>
          <w:lang w:val="fr-FR"/>
        </w:rPr>
        <w:t xml:space="preserve"> du 1</w:t>
      </w:r>
      <w:r w:rsidRPr="006B2D93">
        <w:rPr>
          <w:rFonts w:eastAsia="Times New Roman"/>
          <w:vertAlign w:val="superscript"/>
          <w:lang w:val="fr-FR"/>
        </w:rPr>
        <w:t>er</w:t>
      </w:r>
      <w:r w:rsidRPr="006B2D93">
        <w:rPr>
          <w:rFonts w:eastAsia="Times New Roman"/>
          <w:lang w:val="fr-FR"/>
        </w:rPr>
        <w:t> novembre</w:t>
      </w:r>
      <w:r w:rsidR="00C57D56">
        <w:rPr>
          <w:rFonts w:eastAsia="Times New Roman"/>
          <w:lang w:val="fr-FR"/>
        </w:rPr>
        <w:t> </w:t>
      </w:r>
      <w:r w:rsidRPr="006B2D93">
        <w:rPr>
          <w:rFonts w:eastAsia="Times New Roman"/>
          <w:lang w:val="fr-FR"/>
        </w:rPr>
        <w:t>2024,</w:t>
      </w:r>
    </w:p>
    <w:p w14:paraId="5CAAFED5" w14:textId="0360B803" w:rsidR="001E37DD" w:rsidRPr="006B2D93" w:rsidRDefault="00062144" w:rsidP="0077767A">
      <w:pPr>
        <w:pStyle w:val="CBDNormalNoNumber"/>
        <w:tabs>
          <w:tab w:val="clear" w:pos="567"/>
        </w:tabs>
        <w:ind w:left="1134" w:firstLine="567"/>
        <w:rPr>
          <w:lang w:val="fr-FR"/>
        </w:rPr>
      </w:pPr>
      <w:r w:rsidRPr="006B2D93">
        <w:rPr>
          <w:rFonts w:eastAsia="Times New Roman"/>
          <w:lang w:val="fr-FR"/>
        </w:rPr>
        <w:t>[1.</w:t>
      </w:r>
      <w:r w:rsidRPr="006B2D93">
        <w:rPr>
          <w:rFonts w:eastAsia="Times New Roman"/>
          <w:lang w:val="fr-FR"/>
        </w:rPr>
        <w:tab/>
        <w:t>[</w:t>
      </w:r>
      <w:r w:rsidRPr="006B2D93">
        <w:rPr>
          <w:rFonts w:eastAsia="Times New Roman"/>
          <w:i/>
          <w:iCs/>
          <w:lang w:val="fr-FR"/>
        </w:rPr>
        <w:t xml:space="preserve">Adopte </w:t>
      </w:r>
      <w:r w:rsidRPr="006B2D93">
        <w:rPr>
          <w:rFonts w:eastAsia="Times New Roman"/>
          <w:lang w:val="fr-FR"/>
        </w:rPr>
        <w:t>le]</w:t>
      </w:r>
      <w:r w:rsidRPr="006B2D93">
        <w:rPr>
          <w:rFonts w:eastAsia="Times New Roman"/>
          <w:i/>
          <w:iCs/>
          <w:lang w:val="fr-FR"/>
        </w:rPr>
        <w:t xml:space="preserve"> </w:t>
      </w:r>
      <w:r w:rsidRPr="006B2D93">
        <w:rPr>
          <w:rFonts w:eastAsia="Times New Roman"/>
          <w:lang w:val="fr-FR"/>
        </w:rPr>
        <w:t>[</w:t>
      </w:r>
      <w:r w:rsidRPr="006B2D93">
        <w:rPr>
          <w:rFonts w:eastAsia="Times New Roman"/>
          <w:i/>
          <w:iCs/>
          <w:lang w:val="fr-FR"/>
        </w:rPr>
        <w:t xml:space="preserve">Prend note </w:t>
      </w:r>
      <w:r w:rsidRPr="006B2D93">
        <w:rPr>
          <w:rFonts w:eastAsia="Times New Roman"/>
          <w:lang w:val="fr-FR"/>
        </w:rPr>
        <w:t>du]</w:t>
      </w:r>
      <w:r w:rsidRPr="006B2D93">
        <w:rPr>
          <w:rFonts w:eastAsia="Times New Roman"/>
          <w:i/>
          <w:iCs/>
          <w:lang w:val="fr-FR"/>
        </w:rPr>
        <w:t xml:space="preserve"> </w:t>
      </w:r>
      <w:r w:rsidRPr="006B2D93">
        <w:rPr>
          <w:rFonts w:eastAsia="Times New Roman"/>
          <w:lang w:val="fr-FR"/>
        </w:rPr>
        <w:t>plan d’action thématique [volontaire] visant à appuyer la création et le renforcement des capacités, l’accès aux technologies et leur transfert, ainsi que le partage des connaissances dans le domaine de la biologie de synthèse, en vue de la mise en œuvre de la Convention sur la diversité biologique</w:t>
      </w:r>
      <w:r w:rsidRPr="006B2D93">
        <w:rPr>
          <w:rStyle w:val="FootnoteReference"/>
          <w:lang w:val="fr-FR"/>
        </w:rPr>
        <w:footnoteReference w:id="1"/>
      </w:r>
      <w:r w:rsidRPr="006B2D93">
        <w:rPr>
          <w:rFonts w:eastAsia="Times New Roman"/>
          <w:lang w:val="fr-FR"/>
        </w:rPr>
        <w:t xml:space="preserve"> et du Cadre mondial de la biodiversité de Kunming-Montréal</w:t>
      </w:r>
      <w:r w:rsidRPr="006B2D93">
        <w:rPr>
          <w:rStyle w:val="FootnoteReference"/>
          <w:lang w:val="fr-FR"/>
        </w:rPr>
        <w:footnoteReference w:id="2"/>
      </w:r>
      <w:r w:rsidRPr="006B2D93">
        <w:rPr>
          <w:rFonts w:eastAsia="Times New Roman"/>
          <w:lang w:val="fr-FR"/>
        </w:rPr>
        <w:t xml:space="preserve">, </w:t>
      </w:r>
      <w:r w:rsidR="004D7A23">
        <w:rPr>
          <w:rFonts w:eastAsia="Times New Roman"/>
          <w:lang w:val="fr-FR"/>
        </w:rPr>
        <w:t>tel</w:t>
      </w:r>
      <w:r w:rsidRPr="006B2D93">
        <w:rPr>
          <w:rFonts w:eastAsia="Times New Roman"/>
          <w:lang w:val="fr-FR"/>
        </w:rPr>
        <w:t xml:space="preserve"> qu’</w:t>
      </w:r>
      <w:r w:rsidR="004D7A23">
        <w:rPr>
          <w:rFonts w:eastAsia="Times New Roman"/>
          <w:lang w:val="fr-FR"/>
        </w:rPr>
        <w:t>il</w:t>
      </w:r>
      <w:r w:rsidRPr="006B2D93">
        <w:rPr>
          <w:rFonts w:eastAsia="Times New Roman"/>
          <w:lang w:val="fr-FR"/>
        </w:rPr>
        <w:t xml:space="preserve"> figure à l’annexe I de la présente décision, en tant qu’outil non redondant et complémentaire visant à </w:t>
      </w:r>
      <w:r w:rsidR="00D447C5">
        <w:rPr>
          <w:rFonts w:eastAsia="Times New Roman"/>
          <w:lang w:val="fr-FR"/>
        </w:rPr>
        <w:t>appuyer</w:t>
      </w:r>
      <w:r w:rsidRPr="006B2D93">
        <w:rPr>
          <w:rFonts w:eastAsia="Times New Roman"/>
          <w:lang w:val="fr-FR"/>
        </w:rPr>
        <w:t xml:space="preserve"> les Parties conformément à leurs priorités et </w:t>
      </w:r>
      <w:r w:rsidR="00D447C5">
        <w:rPr>
          <w:rFonts w:eastAsia="Times New Roman"/>
          <w:lang w:val="fr-FR"/>
        </w:rPr>
        <w:t>situations</w:t>
      </w:r>
      <w:r w:rsidRPr="006B2D93">
        <w:rPr>
          <w:rFonts w:eastAsia="Times New Roman"/>
          <w:lang w:val="fr-FR"/>
        </w:rPr>
        <w:t xml:space="preserve"> nationa</w:t>
      </w:r>
      <w:r w:rsidR="00D447C5">
        <w:rPr>
          <w:rFonts w:eastAsia="Times New Roman"/>
          <w:lang w:val="fr-FR"/>
        </w:rPr>
        <w:t>les</w:t>
      </w:r>
      <w:r w:rsidRPr="006B2D93">
        <w:rPr>
          <w:rFonts w:eastAsia="Times New Roman"/>
          <w:lang w:val="fr-FR"/>
        </w:rPr>
        <w:t>[, tout en reconnaissant la nécessité d’une analyse prospective, d’un suivi et d’une évaluation approfondis et réguliers des avancées technologiques les plus récentes en matière de biologie de synthèse] ;]</w:t>
      </w:r>
    </w:p>
    <w:p w14:paraId="5CAAFED6" w14:textId="53B76270" w:rsidR="005E7C33" w:rsidRPr="006B2D93" w:rsidRDefault="00062144" w:rsidP="0077767A">
      <w:pPr>
        <w:pStyle w:val="CBDNormalNoNumber"/>
        <w:tabs>
          <w:tab w:val="clear" w:pos="567"/>
        </w:tabs>
        <w:ind w:left="1134" w:firstLine="567"/>
        <w:rPr>
          <w:lang w:val="fr-FR"/>
        </w:rPr>
      </w:pPr>
      <w:r w:rsidRPr="006B2D93">
        <w:rPr>
          <w:rFonts w:eastAsia="Times New Roman"/>
          <w:lang w:val="fr-FR"/>
        </w:rPr>
        <w:t>2.</w:t>
      </w:r>
      <w:r w:rsidRPr="006B2D93">
        <w:rPr>
          <w:rFonts w:eastAsia="Times New Roman"/>
          <w:lang w:val="fr-FR"/>
        </w:rPr>
        <w:tab/>
      </w:r>
      <w:r w:rsidRPr="006B2D93">
        <w:rPr>
          <w:rFonts w:eastAsia="Times New Roman"/>
          <w:i/>
          <w:iCs/>
          <w:lang w:val="fr-FR"/>
        </w:rPr>
        <w:t>Prend note</w:t>
      </w:r>
      <w:r w:rsidRPr="006B2D93">
        <w:rPr>
          <w:rFonts w:eastAsia="Times New Roman"/>
          <w:lang w:val="fr-FR"/>
        </w:rPr>
        <w:t xml:space="preserve"> </w:t>
      </w:r>
      <w:r w:rsidRPr="00D36CC0">
        <w:rPr>
          <w:rFonts w:eastAsia="Times New Roman"/>
          <w:i/>
          <w:iCs/>
          <w:lang w:val="fr-FR"/>
        </w:rPr>
        <w:t>avec satisfaction</w:t>
      </w:r>
      <w:r w:rsidRPr="006B2D93">
        <w:rPr>
          <w:rFonts w:eastAsia="Times New Roman"/>
          <w:lang w:val="fr-FR"/>
        </w:rPr>
        <w:t xml:space="preserve"> des résultats de la réunion du Groupe spécial d’experts techniques sur la biologie de </w:t>
      </w:r>
      <w:proofErr w:type="gramStart"/>
      <w:r w:rsidRPr="006B2D93">
        <w:rPr>
          <w:rFonts w:eastAsia="Times New Roman"/>
          <w:lang w:val="fr-FR"/>
        </w:rPr>
        <w:t>synthèse[</w:t>
      </w:r>
      <w:proofErr w:type="gramEnd"/>
      <w:r w:rsidRPr="006B2D93">
        <w:rPr>
          <w:rFonts w:eastAsia="Times New Roman"/>
          <w:lang w:val="fr-FR"/>
        </w:rPr>
        <w:t xml:space="preserve">, et note que le Groupe a </w:t>
      </w:r>
      <w:r w:rsidR="00D36CC0">
        <w:rPr>
          <w:rFonts w:eastAsia="Times New Roman"/>
          <w:lang w:val="fr-FR"/>
        </w:rPr>
        <w:t>relevé</w:t>
      </w:r>
      <w:r w:rsidRPr="006B2D93">
        <w:rPr>
          <w:rFonts w:eastAsia="Times New Roman"/>
          <w:lang w:val="fr-FR"/>
        </w:rPr>
        <w:t xml:space="preserve"> la nécessité de </w:t>
      </w:r>
      <w:r w:rsidR="00D36CC0">
        <w:rPr>
          <w:rFonts w:eastAsia="Times New Roman"/>
          <w:lang w:val="fr-FR"/>
        </w:rPr>
        <w:t>nouveaux</w:t>
      </w:r>
      <w:r w:rsidRPr="006B2D93">
        <w:rPr>
          <w:rFonts w:eastAsia="Times New Roman"/>
          <w:lang w:val="fr-FR"/>
        </w:rPr>
        <w:t xml:space="preserve"> travaux visant à renforcer les méthodes et les approches scientifiques permettant d’évaluer les </w:t>
      </w:r>
      <w:r w:rsidR="00D36CC0">
        <w:rPr>
          <w:rFonts w:eastAsia="Times New Roman"/>
          <w:lang w:val="fr-FR"/>
        </w:rPr>
        <w:t>éventuel</w:t>
      </w:r>
      <w:r w:rsidR="0017024B">
        <w:rPr>
          <w:rFonts w:eastAsia="Times New Roman"/>
          <w:lang w:val="fr-FR"/>
        </w:rPr>
        <w:t>les</w:t>
      </w:r>
      <w:r w:rsidR="00D36CC0">
        <w:rPr>
          <w:rFonts w:eastAsia="Times New Roman"/>
          <w:lang w:val="fr-FR"/>
        </w:rPr>
        <w:t xml:space="preserve"> </w:t>
      </w:r>
      <w:r w:rsidR="0017024B">
        <w:rPr>
          <w:rFonts w:eastAsia="Times New Roman"/>
          <w:lang w:val="fr-FR"/>
        </w:rPr>
        <w:t>incidences</w:t>
      </w:r>
      <w:r w:rsidRPr="006B2D93">
        <w:rPr>
          <w:rFonts w:eastAsia="Times New Roman"/>
          <w:lang w:val="fr-FR"/>
        </w:rPr>
        <w:t>, tant positi</w:t>
      </w:r>
      <w:r w:rsidR="0017024B">
        <w:rPr>
          <w:rFonts w:eastAsia="Times New Roman"/>
          <w:lang w:val="fr-FR"/>
        </w:rPr>
        <w:t>ve</w:t>
      </w:r>
      <w:r w:rsidRPr="006B2D93">
        <w:rPr>
          <w:rFonts w:eastAsia="Times New Roman"/>
          <w:lang w:val="fr-FR"/>
        </w:rPr>
        <w:t>s que négati</w:t>
      </w:r>
      <w:r w:rsidR="0017024B">
        <w:rPr>
          <w:rFonts w:eastAsia="Times New Roman"/>
          <w:lang w:val="fr-FR"/>
        </w:rPr>
        <w:t>ve</w:t>
      </w:r>
      <w:r w:rsidRPr="006B2D93">
        <w:rPr>
          <w:rFonts w:eastAsia="Times New Roman"/>
          <w:lang w:val="fr-FR"/>
        </w:rPr>
        <w:t>s, de la biologie de synthèse au regard des objectifs de la Convention, comme indiqué dans son rapport]</w:t>
      </w:r>
      <w:r w:rsidRPr="006B2D93">
        <w:rPr>
          <w:vertAlign w:val="superscript"/>
          <w:lang w:val="fr-FR"/>
        </w:rPr>
        <w:footnoteReference w:id="3"/>
      </w:r>
      <w:r w:rsidR="00C57D56">
        <w:rPr>
          <w:rFonts w:eastAsia="Times New Roman"/>
          <w:lang w:val="fr-FR"/>
        </w:rPr>
        <w:t> </w:t>
      </w:r>
      <w:r w:rsidRPr="006B2D93">
        <w:rPr>
          <w:rFonts w:eastAsia="Times New Roman"/>
          <w:lang w:val="fr-FR"/>
        </w:rPr>
        <w:t>;</w:t>
      </w:r>
    </w:p>
    <w:p w14:paraId="5CAAFED7" w14:textId="0461F86B" w:rsidR="00092003" w:rsidRPr="006B2D93" w:rsidRDefault="00062144" w:rsidP="00092003">
      <w:pPr>
        <w:pStyle w:val="CBDNormalNoNumber"/>
        <w:ind w:left="1134" w:firstLine="567"/>
        <w:rPr>
          <w:lang w:val="fr-FR"/>
        </w:rPr>
      </w:pPr>
      <w:r w:rsidRPr="006B2D93">
        <w:rPr>
          <w:rFonts w:eastAsia="Times New Roman"/>
          <w:lang w:val="fr-FR"/>
        </w:rPr>
        <w:t xml:space="preserve">[3. </w:t>
      </w:r>
      <w:r w:rsidRPr="006B2D93">
        <w:rPr>
          <w:rFonts w:eastAsia="Times New Roman"/>
          <w:i/>
          <w:iCs/>
          <w:lang w:val="fr-FR"/>
        </w:rPr>
        <w:t>Constate</w:t>
      </w:r>
      <w:r w:rsidRPr="006B2D93">
        <w:rPr>
          <w:rFonts w:eastAsia="Times New Roman"/>
          <w:lang w:val="fr-FR"/>
        </w:rPr>
        <w:t xml:space="preserve"> qu’il n’existe pas de mécanisme ni de </w:t>
      </w:r>
      <w:proofErr w:type="gramStart"/>
      <w:r w:rsidRPr="006B2D93">
        <w:rPr>
          <w:rFonts w:eastAsia="Times New Roman"/>
          <w:lang w:val="fr-FR"/>
        </w:rPr>
        <w:t>méthode clairs</w:t>
      </w:r>
      <w:proofErr w:type="gramEnd"/>
      <w:r w:rsidRPr="006B2D93">
        <w:rPr>
          <w:rFonts w:eastAsia="Times New Roman"/>
          <w:lang w:val="fr-FR"/>
        </w:rPr>
        <w:t xml:space="preserve"> permettant </w:t>
      </w:r>
      <w:r w:rsidR="0017024B">
        <w:rPr>
          <w:rFonts w:eastAsia="Times New Roman"/>
          <w:lang w:val="fr-FR"/>
        </w:rPr>
        <w:t>de recenser</w:t>
      </w:r>
      <w:r w:rsidRPr="006B2D93">
        <w:rPr>
          <w:rFonts w:eastAsia="Times New Roman"/>
          <w:lang w:val="fr-FR"/>
        </w:rPr>
        <w:t xml:space="preserve"> les avancées technologiques les plus récentes et d’évaluer leurs </w:t>
      </w:r>
      <w:r w:rsidR="0017024B">
        <w:rPr>
          <w:rFonts w:eastAsia="Times New Roman"/>
          <w:lang w:val="fr-FR"/>
        </w:rPr>
        <w:t>incidences</w:t>
      </w:r>
      <w:r w:rsidRPr="006B2D93">
        <w:rPr>
          <w:rFonts w:eastAsia="Times New Roman"/>
          <w:lang w:val="fr-FR"/>
        </w:rPr>
        <w:t xml:space="preserve"> sur la biodiversité ;]</w:t>
      </w:r>
    </w:p>
    <w:p w14:paraId="5CAAFED8" w14:textId="1671110B" w:rsidR="006B3C93" w:rsidRPr="006B2D93" w:rsidRDefault="00062144" w:rsidP="0077767A">
      <w:pPr>
        <w:pStyle w:val="CBDNormalNoNumber"/>
        <w:tabs>
          <w:tab w:val="clear" w:pos="567"/>
        </w:tabs>
        <w:ind w:left="1134" w:firstLine="567"/>
        <w:rPr>
          <w:lang w:val="fr-FR"/>
        </w:rPr>
      </w:pPr>
      <w:r w:rsidRPr="006B2D93">
        <w:rPr>
          <w:rFonts w:eastAsia="Times New Roman"/>
          <w:lang w:val="fr-FR"/>
        </w:rPr>
        <w:lastRenderedPageBreak/>
        <w:t>4.</w:t>
      </w:r>
      <w:r w:rsidRPr="006B2D93">
        <w:rPr>
          <w:rFonts w:eastAsia="Times New Roman"/>
          <w:lang w:val="fr-FR"/>
        </w:rPr>
        <w:tab/>
      </w:r>
      <w:r w:rsidRPr="006B2D93">
        <w:rPr>
          <w:rFonts w:eastAsia="Times New Roman"/>
          <w:i/>
          <w:iCs/>
          <w:lang w:val="fr-FR"/>
        </w:rPr>
        <w:t xml:space="preserve">Prend note également </w:t>
      </w:r>
      <w:r w:rsidRPr="006B2D93">
        <w:rPr>
          <w:rFonts w:eastAsia="Times New Roman"/>
          <w:lang w:val="fr-FR"/>
        </w:rPr>
        <w:t xml:space="preserve">des avantages actuels et </w:t>
      </w:r>
      <w:r w:rsidR="00A47069">
        <w:rPr>
          <w:rFonts w:eastAsia="Times New Roman"/>
          <w:lang w:val="fr-FR"/>
        </w:rPr>
        <w:t>éventuels</w:t>
      </w:r>
      <w:r w:rsidRPr="006B2D93">
        <w:rPr>
          <w:rFonts w:eastAsia="Times New Roman"/>
          <w:lang w:val="fr-FR"/>
        </w:rPr>
        <w:t xml:space="preserve"> de la biologie de synthèse au regard des cibles du Cadre, tels qu’ils sont indiqués aux annexes II et III du rapport du Groupe spécial d’experts techniques, </w:t>
      </w:r>
      <w:r w:rsidR="00943821" w:rsidRPr="006B2D93">
        <w:rPr>
          <w:rFonts w:eastAsia="Times New Roman"/>
          <w:lang w:val="fr-FR"/>
        </w:rPr>
        <w:t xml:space="preserve">respectivement, </w:t>
      </w:r>
      <w:r w:rsidRPr="006B2D93">
        <w:rPr>
          <w:rFonts w:eastAsia="Times New Roman"/>
          <w:lang w:val="fr-FR"/>
        </w:rPr>
        <w:t>en reconnaissant que les exemples qui y figurent sont donnés à titre indicatif et ne résultent pas d’une évaluation par le Groupe d’experts ;</w:t>
      </w:r>
    </w:p>
    <w:p w14:paraId="5CAAFED9" w14:textId="3A55A337" w:rsidR="00576AFA" w:rsidRPr="006B2D93" w:rsidRDefault="00062144" w:rsidP="00B81CB4">
      <w:pPr>
        <w:pStyle w:val="CBDNormalNoNumber"/>
        <w:tabs>
          <w:tab w:val="clear" w:pos="567"/>
        </w:tabs>
        <w:ind w:left="1134" w:firstLine="567"/>
        <w:rPr>
          <w:lang w:val="fr-FR"/>
        </w:rPr>
      </w:pPr>
      <w:r w:rsidRPr="006B2D93">
        <w:rPr>
          <w:rFonts w:eastAsia="Times New Roman"/>
          <w:lang w:val="fr-FR"/>
        </w:rPr>
        <w:t>5.</w:t>
      </w:r>
      <w:r w:rsidRPr="006B2D93">
        <w:rPr>
          <w:rFonts w:eastAsia="Times New Roman"/>
          <w:lang w:val="fr-FR"/>
        </w:rPr>
        <w:tab/>
      </w:r>
      <w:r w:rsidRPr="006B2D93">
        <w:rPr>
          <w:rFonts w:eastAsia="Times New Roman"/>
          <w:i/>
          <w:iCs/>
          <w:lang w:val="fr-FR"/>
        </w:rPr>
        <w:t xml:space="preserve">Prend note en outre </w:t>
      </w:r>
      <w:r w:rsidRPr="006B2D93">
        <w:rPr>
          <w:rFonts w:eastAsia="Times New Roman"/>
          <w:lang w:val="fr-FR"/>
        </w:rPr>
        <w:t>des travaux préliminaires sur les</w:t>
      </w:r>
      <w:r w:rsidR="00A47069">
        <w:rPr>
          <w:rFonts w:eastAsia="Times New Roman"/>
          <w:lang w:val="fr-FR"/>
        </w:rPr>
        <w:t xml:space="preserve"> éventuelles</w:t>
      </w:r>
      <w:r w:rsidRPr="006B2D93">
        <w:rPr>
          <w:rFonts w:eastAsia="Times New Roman"/>
          <w:lang w:val="fr-FR"/>
        </w:rPr>
        <w:t xml:space="preserve"> incidences positives et négatives des dernières avancées technologiques </w:t>
      </w:r>
      <w:r w:rsidR="00A47069">
        <w:rPr>
          <w:rFonts w:eastAsia="Times New Roman"/>
          <w:lang w:val="fr-FR"/>
        </w:rPr>
        <w:t>dans le domaine de la</w:t>
      </w:r>
      <w:r w:rsidRPr="006B2D93">
        <w:rPr>
          <w:rFonts w:eastAsia="Times New Roman"/>
          <w:lang w:val="fr-FR"/>
        </w:rPr>
        <w:t xml:space="preserve"> biologie de synthèse</w:t>
      </w:r>
      <w:r w:rsidRPr="006B2D93">
        <w:rPr>
          <w:rStyle w:val="FootnoteReference"/>
          <w:lang w:val="fr-FR"/>
        </w:rPr>
        <w:footnoteReference w:id="4"/>
      </w:r>
      <w:r w:rsidRPr="006B2D93">
        <w:rPr>
          <w:rFonts w:eastAsia="Times New Roman"/>
          <w:lang w:val="fr-FR"/>
        </w:rPr>
        <w:t> ;</w:t>
      </w:r>
    </w:p>
    <w:p w14:paraId="5CAAFEDA" w14:textId="77777777" w:rsidR="00632E26" w:rsidRPr="006B2D93" w:rsidRDefault="00062144" w:rsidP="0077767A">
      <w:pPr>
        <w:pStyle w:val="CBDNormalNoNumber"/>
        <w:tabs>
          <w:tab w:val="clear" w:pos="567"/>
        </w:tabs>
        <w:ind w:left="1134" w:firstLine="567"/>
        <w:rPr>
          <w:lang w:val="fr-FR"/>
        </w:rPr>
      </w:pPr>
      <w:r w:rsidRPr="006B2D93">
        <w:rPr>
          <w:rFonts w:eastAsia="Times New Roman"/>
          <w:lang w:val="fr-FR"/>
        </w:rPr>
        <w:t>[6. [</w:t>
      </w:r>
      <w:r w:rsidRPr="006B2D93">
        <w:rPr>
          <w:rFonts w:eastAsia="Times New Roman"/>
          <w:i/>
          <w:iCs/>
          <w:lang w:val="fr-FR"/>
        </w:rPr>
        <w:t>Rappelle</w:t>
      </w:r>
      <w:r w:rsidRPr="006B2D93">
        <w:rPr>
          <w:rFonts w:eastAsia="Times New Roman"/>
          <w:lang w:val="fr-FR"/>
        </w:rPr>
        <w:t xml:space="preserve"> </w:t>
      </w:r>
      <w:proofErr w:type="gramStart"/>
      <w:r w:rsidRPr="006B2D93">
        <w:rPr>
          <w:rFonts w:eastAsia="Times New Roman"/>
          <w:lang w:val="fr-FR"/>
        </w:rPr>
        <w:t>aux][</w:t>
      </w:r>
      <w:proofErr w:type="gramEnd"/>
      <w:r w:rsidRPr="006B2D93">
        <w:rPr>
          <w:rFonts w:eastAsia="Times New Roman"/>
          <w:i/>
          <w:iCs/>
          <w:lang w:val="fr-FR"/>
        </w:rPr>
        <w:t>Prie instamment</w:t>
      </w:r>
      <w:r w:rsidRPr="006B2D93">
        <w:rPr>
          <w:rFonts w:eastAsia="Times New Roman"/>
          <w:lang w:val="fr-FR"/>
        </w:rPr>
        <w:t xml:space="preserve"> les] Parties d’adopter une approche de précaution</w:t>
      </w:r>
      <w:r w:rsidRPr="006B2D93">
        <w:rPr>
          <w:rStyle w:val="FootnoteReference"/>
          <w:lang w:val="fr-FR"/>
        </w:rPr>
        <w:footnoteReference w:id="5"/>
      </w:r>
      <w:r w:rsidRPr="006B2D93">
        <w:rPr>
          <w:rFonts w:eastAsia="Times New Roman"/>
          <w:lang w:val="fr-FR"/>
        </w:rPr>
        <w:t xml:space="preserve"> [fondée sur la science] en matière de recherche et développement, d’innovation, de dissémination dans l’environnement et d’utilisation des applications de la biologie de synthèse dans le contexte de la Convention ;]</w:t>
      </w:r>
    </w:p>
    <w:p w14:paraId="5CAAFEDB" w14:textId="36FF1586" w:rsidR="004326A1" w:rsidRPr="006B2D93" w:rsidRDefault="00062144" w:rsidP="00092003">
      <w:pPr>
        <w:pStyle w:val="Para1"/>
        <w:numPr>
          <w:ilvl w:val="0"/>
          <w:numId w:val="0"/>
        </w:numPr>
        <w:spacing w:before="0"/>
        <w:ind w:left="1134" w:firstLine="567"/>
        <w:rPr>
          <w:lang w:val="fr-FR"/>
        </w:rPr>
      </w:pPr>
      <w:r w:rsidRPr="006B2D93">
        <w:rPr>
          <w:rFonts w:eastAsia="Times New Roman"/>
          <w:szCs w:val="22"/>
          <w:lang w:val="fr-FR"/>
        </w:rPr>
        <w:t xml:space="preserve">[7.   </w:t>
      </w:r>
      <w:r w:rsidRPr="006B2D93">
        <w:rPr>
          <w:rFonts w:eastAsia="Times New Roman"/>
          <w:i/>
          <w:iCs/>
          <w:szCs w:val="22"/>
          <w:lang w:val="fr-FR"/>
        </w:rPr>
        <w:t>Reconnaît</w:t>
      </w:r>
      <w:r w:rsidRPr="006B2D93">
        <w:rPr>
          <w:rFonts w:eastAsia="Times New Roman"/>
          <w:szCs w:val="22"/>
          <w:lang w:val="fr-FR"/>
        </w:rPr>
        <w:t xml:space="preserve"> l’importance des approches préventives, notamment l’analyse prospective et les mécanismes de suivi, pour faciliter </w:t>
      </w:r>
      <w:r w:rsidR="00666395">
        <w:rPr>
          <w:rFonts w:eastAsia="Times New Roman"/>
          <w:szCs w:val="22"/>
          <w:lang w:val="fr-FR"/>
        </w:rPr>
        <w:t>le recensement</w:t>
      </w:r>
      <w:r w:rsidRPr="006B2D93">
        <w:rPr>
          <w:rFonts w:eastAsia="Times New Roman"/>
          <w:szCs w:val="22"/>
          <w:lang w:val="fr-FR"/>
        </w:rPr>
        <w:t xml:space="preserve"> et l’évaluation en temps utile des </w:t>
      </w:r>
      <w:r w:rsidR="00A47069">
        <w:rPr>
          <w:rFonts w:eastAsia="Times New Roman"/>
          <w:szCs w:val="22"/>
          <w:lang w:val="fr-FR"/>
        </w:rPr>
        <w:t>éventuelles incidences</w:t>
      </w:r>
      <w:r w:rsidRPr="006B2D93">
        <w:rPr>
          <w:rFonts w:eastAsia="Times New Roman"/>
          <w:szCs w:val="22"/>
          <w:lang w:val="fr-FR"/>
        </w:rPr>
        <w:t>, tant positi</w:t>
      </w:r>
      <w:r w:rsidR="00A47069">
        <w:rPr>
          <w:rFonts w:eastAsia="Times New Roman"/>
          <w:szCs w:val="22"/>
          <w:lang w:val="fr-FR"/>
        </w:rPr>
        <w:t>ve</w:t>
      </w:r>
      <w:r w:rsidRPr="006B2D93">
        <w:rPr>
          <w:rFonts w:eastAsia="Times New Roman"/>
          <w:szCs w:val="22"/>
          <w:lang w:val="fr-FR"/>
        </w:rPr>
        <w:t>s que négati</w:t>
      </w:r>
      <w:r w:rsidR="00A47069">
        <w:rPr>
          <w:rFonts w:eastAsia="Times New Roman"/>
          <w:szCs w:val="22"/>
          <w:lang w:val="fr-FR"/>
        </w:rPr>
        <w:t>ve</w:t>
      </w:r>
      <w:r w:rsidRPr="006B2D93">
        <w:rPr>
          <w:rFonts w:eastAsia="Times New Roman"/>
          <w:szCs w:val="22"/>
          <w:lang w:val="fr-FR"/>
        </w:rPr>
        <w:t xml:space="preserve">s, des </w:t>
      </w:r>
      <w:r w:rsidR="00A47069">
        <w:rPr>
          <w:rFonts w:eastAsia="Times New Roman"/>
          <w:szCs w:val="22"/>
          <w:lang w:val="fr-FR"/>
        </w:rPr>
        <w:t>avancées</w:t>
      </w:r>
      <w:r w:rsidRPr="006B2D93">
        <w:rPr>
          <w:rFonts w:eastAsia="Times New Roman"/>
          <w:szCs w:val="22"/>
          <w:lang w:val="fr-FR"/>
        </w:rPr>
        <w:t xml:space="preserve"> futures en matière de biologie de synthèse ;]</w:t>
      </w:r>
    </w:p>
    <w:p w14:paraId="5CAAFEDC" w14:textId="6B3FD0CD" w:rsidR="004326A1" w:rsidRPr="006B2D93" w:rsidRDefault="00062144" w:rsidP="00092003">
      <w:pPr>
        <w:pStyle w:val="Para1"/>
        <w:numPr>
          <w:ilvl w:val="0"/>
          <w:numId w:val="0"/>
        </w:numPr>
        <w:spacing w:before="0"/>
        <w:ind w:left="1134" w:hanging="567"/>
        <w:jc w:val="left"/>
        <w:rPr>
          <w:b/>
          <w:lang w:val="fr-FR"/>
        </w:rPr>
      </w:pPr>
      <w:r w:rsidRPr="006B2D93">
        <w:rPr>
          <w:rFonts w:eastAsia="Times New Roman"/>
          <w:b/>
          <w:bCs/>
          <w:szCs w:val="22"/>
          <w:lang w:val="fr-FR"/>
        </w:rPr>
        <w:t xml:space="preserve">I.       Nouvelles avancées technologiques </w:t>
      </w:r>
      <w:r w:rsidR="009F395C">
        <w:rPr>
          <w:rFonts w:eastAsia="Times New Roman"/>
          <w:b/>
          <w:bCs/>
          <w:szCs w:val="22"/>
          <w:lang w:val="fr-FR"/>
        </w:rPr>
        <w:t>dans le domaine de la</w:t>
      </w:r>
      <w:r w:rsidRPr="006B2D93">
        <w:rPr>
          <w:rFonts w:eastAsia="Times New Roman"/>
          <w:b/>
          <w:bCs/>
          <w:szCs w:val="22"/>
          <w:lang w:val="fr-FR"/>
        </w:rPr>
        <w:t xml:space="preserve"> biologie de synthèse</w:t>
      </w:r>
    </w:p>
    <w:p w14:paraId="5CAAFEDD" w14:textId="7E00DBCB" w:rsidR="00164329" w:rsidRPr="006B2D93" w:rsidRDefault="00062144" w:rsidP="004326A1">
      <w:pPr>
        <w:pStyle w:val="Para1"/>
        <w:numPr>
          <w:ilvl w:val="0"/>
          <w:numId w:val="0"/>
        </w:numPr>
        <w:ind w:left="1134" w:firstLine="567"/>
        <w:rPr>
          <w:lang w:val="fr-FR"/>
        </w:rPr>
      </w:pPr>
      <w:r w:rsidRPr="006B2D93">
        <w:rPr>
          <w:rFonts w:eastAsia="Times New Roman"/>
          <w:szCs w:val="22"/>
          <w:lang w:val="fr-FR"/>
        </w:rPr>
        <w:t>[8.</w:t>
      </w:r>
      <w:r w:rsidRPr="006B2D93">
        <w:rPr>
          <w:rFonts w:eastAsia="Times New Roman"/>
          <w:szCs w:val="22"/>
          <w:lang w:val="fr-FR"/>
        </w:rPr>
        <w:tab/>
      </w:r>
      <w:r w:rsidRPr="006B2D93">
        <w:rPr>
          <w:rFonts w:eastAsia="Times New Roman"/>
          <w:i/>
          <w:iCs/>
          <w:szCs w:val="22"/>
          <w:lang w:val="fr-FR"/>
        </w:rPr>
        <w:t xml:space="preserve">Décide </w:t>
      </w:r>
      <w:r w:rsidRPr="006B2D93">
        <w:rPr>
          <w:rFonts w:eastAsia="Times New Roman"/>
          <w:szCs w:val="22"/>
          <w:lang w:val="fr-FR"/>
        </w:rPr>
        <w:t>de créer un groupe spécial d’experts techniques sur la biologie de synthèse, conformément au mandat figurant à l’annexe II de la présente décision, afin d’approfondir les travaux dans les domaines de [l’intelligence artificielle et de la biologie computationnelle] [la convergence de l’intelligence artificielle et de la biologie computationnelle avec la biologie de synthèse] [et] [</w:t>
      </w:r>
      <w:r w:rsidR="00B24623">
        <w:rPr>
          <w:rFonts w:eastAsia="Times New Roman"/>
          <w:szCs w:val="22"/>
          <w:lang w:val="fr-FR"/>
        </w:rPr>
        <w:t>d</w:t>
      </w:r>
      <w:r w:rsidRPr="006B2D93">
        <w:rPr>
          <w:rFonts w:eastAsia="Times New Roman"/>
          <w:szCs w:val="22"/>
          <w:lang w:val="fr-FR"/>
        </w:rPr>
        <w:t>es applications à des fins de conservation] [</w:t>
      </w:r>
      <w:r w:rsidR="00B24623">
        <w:rPr>
          <w:rFonts w:eastAsia="Times New Roman"/>
          <w:szCs w:val="22"/>
          <w:lang w:val="fr-FR"/>
        </w:rPr>
        <w:t xml:space="preserve">de </w:t>
      </w:r>
      <w:r w:rsidRPr="006B2D93">
        <w:rPr>
          <w:rFonts w:eastAsia="Times New Roman"/>
          <w:szCs w:val="22"/>
          <w:lang w:val="fr-FR"/>
        </w:rPr>
        <w:t xml:space="preserve">l’élaboration de méthodes visant à évaluer les </w:t>
      </w:r>
      <w:r w:rsidR="00B24623">
        <w:rPr>
          <w:rFonts w:eastAsia="Times New Roman"/>
          <w:szCs w:val="22"/>
          <w:lang w:val="fr-FR"/>
        </w:rPr>
        <w:t>éventuelles incidences, tant positives que négatives,</w:t>
      </w:r>
      <w:r w:rsidRPr="006B2D93">
        <w:rPr>
          <w:rFonts w:eastAsia="Times New Roman"/>
          <w:szCs w:val="22"/>
          <w:lang w:val="fr-FR"/>
        </w:rPr>
        <w:t xml:space="preserve"> des applications de la biologie de synthèse] dans le contexte de la Convention et du Cadre ;]</w:t>
      </w:r>
    </w:p>
    <w:p w14:paraId="5CAAFEDE" w14:textId="7F0D8753" w:rsidR="006C7F57" w:rsidRPr="006B2D93" w:rsidRDefault="00062144" w:rsidP="004326A1">
      <w:pPr>
        <w:pStyle w:val="Para1"/>
        <w:numPr>
          <w:ilvl w:val="0"/>
          <w:numId w:val="0"/>
        </w:numPr>
        <w:ind w:left="1134" w:firstLine="567"/>
        <w:rPr>
          <w:rFonts w:eastAsia="Times New Roman"/>
          <w:szCs w:val="22"/>
          <w:lang w:val="fr-FR"/>
        </w:rPr>
      </w:pPr>
      <w:r w:rsidRPr="006B2D93">
        <w:rPr>
          <w:rFonts w:eastAsia="Times New Roman"/>
          <w:szCs w:val="22"/>
          <w:lang w:val="fr-FR"/>
        </w:rPr>
        <w:t xml:space="preserve">[8.Alt. </w:t>
      </w:r>
      <w:r w:rsidR="00943821" w:rsidRPr="006B2D93">
        <w:rPr>
          <w:rFonts w:eastAsia="Times New Roman"/>
          <w:i/>
          <w:iCs/>
          <w:szCs w:val="22"/>
          <w:lang w:val="fr-FR"/>
        </w:rPr>
        <w:t>P</w:t>
      </w:r>
      <w:r w:rsidRPr="006B2D93">
        <w:rPr>
          <w:rFonts w:eastAsia="Times New Roman"/>
          <w:i/>
          <w:iCs/>
          <w:szCs w:val="22"/>
          <w:lang w:val="fr-FR"/>
        </w:rPr>
        <w:t>rend note</w:t>
      </w:r>
      <w:r w:rsidRPr="006B2D93">
        <w:rPr>
          <w:rFonts w:eastAsia="Times New Roman"/>
          <w:szCs w:val="22"/>
          <w:lang w:val="fr-FR"/>
        </w:rPr>
        <w:t xml:space="preserve"> des résultats des travaux menés sur la biologie de synthèse conformément aux décisions </w:t>
      </w:r>
      <w:hyperlink r:id="rId18" w:history="1">
        <w:r w:rsidRPr="006B2D93">
          <w:rPr>
            <w:rStyle w:val="Hyperlink"/>
            <w:rFonts w:eastAsia="Times New Roman"/>
            <w:szCs w:val="22"/>
            <w:lang w:val="fr-FR"/>
          </w:rPr>
          <w:t>14/19</w:t>
        </w:r>
      </w:hyperlink>
      <w:r w:rsidRPr="006B2D93">
        <w:rPr>
          <w:rFonts w:eastAsia="Times New Roman"/>
          <w:szCs w:val="22"/>
          <w:lang w:val="fr-FR"/>
        </w:rPr>
        <w:t xml:space="preserve">, </w:t>
      </w:r>
      <w:hyperlink r:id="rId19" w:history="1">
        <w:r w:rsidRPr="006B2D93">
          <w:rPr>
            <w:rStyle w:val="Hyperlink"/>
            <w:rFonts w:eastAsia="Times New Roman"/>
            <w:szCs w:val="22"/>
            <w:lang w:val="fr-FR"/>
          </w:rPr>
          <w:t>15/31</w:t>
        </w:r>
      </w:hyperlink>
      <w:r w:rsidRPr="006B2D93">
        <w:rPr>
          <w:rFonts w:eastAsia="Times New Roman"/>
          <w:szCs w:val="22"/>
          <w:lang w:val="fr-FR"/>
        </w:rPr>
        <w:t xml:space="preserve"> et </w:t>
      </w:r>
      <w:hyperlink r:id="rId20" w:history="1">
        <w:r w:rsidRPr="006B2D93">
          <w:rPr>
            <w:rStyle w:val="Hyperlink"/>
            <w:rFonts w:eastAsia="Times New Roman"/>
            <w:szCs w:val="22"/>
            <w:lang w:val="fr-FR"/>
          </w:rPr>
          <w:t>16/21</w:t>
        </w:r>
      </w:hyperlink>
      <w:r w:rsidRPr="006B2D93">
        <w:rPr>
          <w:rFonts w:eastAsia="Times New Roman"/>
          <w:szCs w:val="22"/>
          <w:lang w:val="fr-FR"/>
        </w:rPr>
        <w:t xml:space="preserve"> et décide qu’à ce stade, l</w:t>
      </w:r>
      <w:r w:rsidR="00943821" w:rsidRPr="006B2D93">
        <w:rPr>
          <w:rFonts w:eastAsia="Times New Roman"/>
          <w:szCs w:val="22"/>
          <w:lang w:val="fr-FR"/>
        </w:rPr>
        <w:t xml:space="preserve">a création </w:t>
      </w:r>
      <w:r w:rsidRPr="006B2D93">
        <w:rPr>
          <w:rFonts w:eastAsia="Times New Roman"/>
          <w:szCs w:val="22"/>
          <w:lang w:val="fr-FR"/>
        </w:rPr>
        <w:t xml:space="preserve">d’un </w:t>
      </w:r>
      <w:r w:rsidR="00943821" w:rsidRPr="006B2D93">
        <w:rPr>
          <w:rFonts w:eastAsia="Times New Roman"/>
          <w:szCs w:val="22"/>
          <w:lang w:val="fr-FR"/>
        </w:rPr>
        <w:t xml:space="preserve">nouveau </w:t>
      </w:r>
      <w:r w:rsidRPr="006B2D93">
        <w:rPr>
          <w:rFonts w:eastAsia="Times New Roman"/>
          <w:szCs w:val="22"/>
          <w:lang w:val="fr-FR"/>
        </w:rPr>
        <w:t>groupe spécial d’experts techniques sur la biologie de synthèse n’est pas nécessaire</w:t>
      </w:r>
      <w:r w:rsidR="00943821" w:rsidRPr="006B2D93">
        <w:rPr>
          <w:rFonts w:eastAsia="Times New Roman"/>
          <w:szCs w:val="22"/>
          <w:lang w:val="fr-FR"/>
        </w:rPr>
        <w:t> </w:t>
      </w:r>
      <w:r w:rsidRPr="006B2D93">
        <w:rPr>
          <w:rFonts w:eastAsia="Times New Roman"/>
          <w:szCs w:val="22"/>
          <w:lang w:val="fr-FR"/>
        </w:rPr>
        <w:t>;]</w:t>
      </w:r>
    </w:p>
    <w:p w14:paraId="2EE02144" w14:textId="6768F33C" w:rsidR="00162B1B" w:rsidRPr="006B2D93" w:rsidRDefault="00162B1B" w:rsidP="004326A1">
      <w:pPr>
        <w:pStyle w:val="Para1"/>
        <w:numPr>
          <w:ilvl w:val="0"/>
          <w:numId w:val="0"/>
        </w:numPr>
        <w:ind w:left="1134" w:firstLine="567"/>
        <w:rPr>
          <w:b/>
          <w:bCs/>
          <w:lang w:val="fr-FR"/>
        </w:rPr>
      </w:pPr>
      <w:r w:rsidRPr="006B2D93">
        <w:rPr>
          <w:rFonts w:eastAsia="Times New Roman"/>
          <w:b/>
          <w:bCs/>
          <w:szCs w:val="22"/>
          <w:lang w:val="fr-FR"/>
        </w:rPr>
        <w:t>[</w:t>
      </w:r>
    </w:p>
    <w:p w14:paraId="5CAAFEDF" w14:textId="27ADD64A" w:rsidR="006C7F57" w:rsidRPr="006B2D93" w:rsidRDefault="00062144" w:rsidP="00092003">
      <w:pPr>
        <w:pStyle w:val="Para1"/>
        <w:numPr>
          <w:ilvl w:val="0"/>
          <w:numId w:val="0"/>
        </w:numPr>
        <w:spacing w:before="0"/>
        <w:ind w:left="1134" w:firstLine="567"/>
        <w:rPr>
          <w:lang w:val="fr-FR"/>
        </w:rPr>
      </w:pPr>
      <w:r w:rsidRPr="006B2D93">
        <w:rPr>
          <w:rFonts w:eastAsia="Times New Roman"/>
          <w:szCs w:val="22"/>
          <w:lang w:val="fr-FR"/>
        </w:rPr>
        <w:t>9.</w:t>
      </w:r>
      <w:r w:rsidRPr="006B2D93">
        <w:rPr>
          <w:rFonts w:eastAsia="Times New Roman"/>
          <w:szCs w:val="22"/>
          <w:lang w:val="fr-FR"/>
        </w:rPr>
        <w:tab/>
      </w:r>
      <w:r w:rsidRPr="006B2D93">
        <w:rPr>
          <w:rFonts w:eastAsia="Times New Roman"/>
          <w:i/>
          <w:iCs/>
          <w:szCs w:val="22"/>
          <w:lang w:val="fr-FR"/>
        </w:rPr>
        <w:t xml:space="preserve">Invite </w:t>
      </w:r>
      <w:r w:rsidRPr="006B2D93">
        <w:rPr>
          <w:rFonts w:eastAsia="Times New Roman"/>
          <w:szCs w:val="22"/>
          <w:lang w:val="fr-FR"/>
        </w:rPr>
        <w:t>les Parties, les autres gouvernements, les peuples autochtones et communautés locales, les organisations de femmes et de jeunes, les milieux universitaires, les instituts de recherche et les autres organisations compétentes à fournir des informations sur [l’intelligence artificielle et la biologie computationnelle][la convergence de l’intelligence artificielle et de la biologie computationnelle avec la biologie de synthèse], [les applications à des fins de conservation]</w:t>
      </w:r>
      <w:r w:rsidR="00943821" w:rsidRPr="006B2D93">
        <w:rPr>
          <w:rFonts w:eastAsia="Times New Roman"/>
          <w:szCs w:val="22"/>
          <w:lang w:val="fr-FR"/>
        </w:rPr>
        <w:t xml:space="preserve"> et </w:t>
      </w:r>
      <w:r w:rsidRPr="006B2D93">
        <w:rPr>
          <w:rFonts w:eastAsia="Times New Roman"/>
          <w:szCs w:val="22"/>
          <w:lang w:val="fr-FR"/>
        </w:rPr>
        <w:t xml:space="preserve">[l’élaboration de méthodes visant à évaluer les </w:t>
      </w:r>
      <w:r w:rsidR="00B24623">
        <w:rPr>
          <w:rFonts w:eastAsia="Times New Roman"/>
          <w:szCs w:val="22"/>
          <w:lang w:val="fr-FR"/>
        </w:rPr>
        <w:t>éventuelles incidences, tant positives que négatives,</w:t>
      </w:r>
      <w:r w:rsidR="00B24623" w:rsidRPr="006B2D93">
        <w:rPr>
          <w:rFonts w:eastAsia="Times New Roman"/>
          <w:szCs w:val="22"/>
          <w:lang w:val="fr-FR"/>
        </w:rPr>
        <w:t xml:space="preserve"> </w:t>
      </w:r>
      <w:r w:rsidRPr="006B2D93">
        <w:rPr>
          <w:rFonts w:eastAsia="Times New Roman"/>
          <w:szCs w:val="22"/>
          <w:lang w:val="fr-FR"/>
        </w:rPr>
        <w:t>des applications de la biologie de synthèse] [afin d</w:t>
      </w:r>
      <w:r w:rsidR="00B24623">
        <w:rPr>
          <w:rFonts w:eastAsia="Times New Roman"/>
          <w:szCs w:val="22"/>
          <w:lang w:val="fr-FR"/>
        </w:rPr>
        <w:t xml:space="preserve">’appuyer </w:t>
      </w:r>
      <w:r w:rsidRPr="006B2D93">
        <w:rPr>
          <w:rFonts w:eastAsia="Times New Roman"/>
          <w:szCs w:val="22"/>
          <w:lang w:val="fr-FR"/>
        </w:rPr>
        <w:t>les travaux du Groupe spécial d’experts techniques] ;</w:t>
      </w:r>
    </w:p>
    <w:p w14:paraId="5CAAFEE0" w14:textId="5A25AA6E" w:rsidR="00C92850" w:rsidRPr="006B2D93" w:rsidRDefault="00062144" w:rsidP="00092003">
      <w:pPr>
        <w:pStyle w:val="Para1"/>
        <w:numPr>
          <w:ilvl w:val="0"/>
          <w:numId w:val="0"/>
        </w:numPr>
        <w:spacing w:before="0"/>
        <w:ind w:left="1134" w:firstLine="567"/>
        <w:rPr>
          <w:lang w:val="fr-FR"/>
        </w:rPr>
      </w:pPr>
      <w:r w:rsidRPr="006B2D93">
        <w:rPr>
          <w:rFonts w:eastAsia="Times New Roman"/>
          <w:szCs w:val="22"/>
          <w:lang w:val="fr-FR"/>
        </w:rPr>
        <w:t>10.</w:t>
      </w:r>
      <w:r w:rsidRPr="006B2D93">
        <w:rPr>
          <w:rFonts w:eastAsia="Times New Roman"/>
          <w:i/>
          <w:iCs/>
          <w:szCs w:val="22"/>
          <w:lang w:val="fr-FR"/>
        </w:rPr>
        <w:tab/>
        <w:t xml:space="preserve">Décide </w:t>
      </w:r>
      <w:r w:rsidRPr="006B2D93">
        <w:rPr>
          <w:rFonts w:eastAsia="Times New Roman"/>
          <w:szCs w:val="22"/>
          <w:lang w:val="fr-FR"/>
        </w:rPr>
        <w:t xml:space="preserve">d’organiser des discussions au sein du Forum en ligne à composition non limitée sur la biologie de synthèse afin de recueillir des informations relatives à[l’intelligence artificielle et la biologie computationnelle][la convergence de l’intelligence artificielle et de la biologie computationnelle avec la biologie de synthèse], [les applications à des fins de conservation] et [l’élaboration de méthodes visant à évaluer les </w:t>
      </w:r>
      <w:r w:rsidR="0064443D">
        <w:rPr>
          <w:rFonts w:eastAsia="Times New Roman"/>
          <w:szCs w:val="22"/>
          <w:lang w:val="fr-FR"/>
        </w:rPr>
        <w:t>éventuelles incidences, tant positives que négatives,</w:t>
      </w:r>
      <w:r w:rsidR="0064443D" w:rsidRPr="006B2D93">
        <w:rPr>
          <w:rFonts w:eastAsia="Times New Roman"/>
          <w:szCs w:val="22"/>
          <w:lang w:val="fr-FR"/>
        </w:rPr>
        <w:t xml:space="preserve"> </w:t>
      </w:r>
      <w:r w:rsidRPr="006B2D93">
        <w:rPr>
          <w:rFonts w:eastAsia="Times New Roman"/>
          <w:szCs w:val="22"/>
          <w:lang w:val="fr-FR"/>
        </w:rPr>
        <w:t>des applications de la biologie de synthèse] [afin d</w:t>
      </w:r>
      <w:r w:rsidR="0064443D">
        <w:rPr>
          <w:rFonts w:eastAsia="Times New Roman"/>
          <w:szCs w:val="22"/>
          <w:lang w:val="fr-FR"/>
        </w:rPr>
        <w:t xml:space="preserve">’appuyer </w:t>
      </w:r>
      <w:r w:rsidRPr="006B2D93">
        <w:rPr>
          <w:rFonts w:eastAsia="Times New Roman"/>
          <w:szCs w:val="22"/>
          <w:lang w:val="fr-FR"/>
        </w:rPr>
        <w:t>les travaux du Groupe spécial d’experts techniques] ;</w:t>
      </w:r>
    </w:p>
    <w:p w14:paraId="5CAAFEE1" w14:textId="60913507" w:rsidR="00505E3D" w:rsidRPr="006B2D93" w:rsidRDefault="00062144" w:rsidP="0077767A">
      <w:pPr>
        <w:pStyle w:val="Para1"/>
        <w:keepNext/>
        <w:numPr>
          <w:ilvl w:val="0"/>
          <w:numId w:val="0"/>
        </w:numPr>
        <w:ind w:left="1134" w:firstLine="567"/>
        <w:rPr>
          <w:lang w:val="fr-FR"/>
        </w:rPr>
      </w:pPr>
      <w:r w:rsidRPr="006B2D93">
        <w:rPr>
          <w:rFonts w:eastAsia="Times New Roman"/>
          <w:szCs w:val="22"/>
          <w:lang w:val="fr-FR"/>
        </w:rPr>
        <w:lastRenderedPageBreak/>
        <w:t>11.</w:t>
      </w:r>
      <w:r w:rsidRPr="006B2D93">
        <w:rPr>
          <w:rFonts w:eastAsia="Times New Roman"/>
          <w:szCs w:val="22"/>
          <w:lang w:val="fr-FR"/>
        </w:rPr>
        <w:tab/>
      </w:r>
      <w:r w:rsidRPr="006B2D93">
        <w:rPr>
          <w:rFonts w:eastAsia="Times New Roman"/>
          <w:i/>
          <w:iCs/>
          <w:szCs w:val="22"/>
          <w:lang w:val="fr-FR"/>
        </w:rPr>
        <w:t xml:space="preserve">Prie </w:t>
      </w:r>
      <w:r w:rsidRPr="006B2D93">
        <w:rPr>
          <w:rFonts w:eastAsia="Times New Roman"/>
          <w:szCs w:val="22"/>
          <w:lang w:val="fr-FR"/>
        </w:rPr>
        <w:t>la Secrétaire exécutive, dans la limite des ressources disponibles :</w:t>
      </w:r>
    </w:p>
    <w:p w14:paraId="5CAAFEE2" w14:textId="202DCC05" w:rsidR="00892777" w:rsidRPr="006B2D93" w:rsidRDefault="00062144" w:rsidP="0077767A">
      <w:pPr>
        <w:pStyle w:val="CBDNormalNoNumber"/>
        <w:tabs>
          <w:tab w:val="clear" w:pos="567"/>
        </w:tabs>
        <w:ind w:left="1134" w:firstLine="567"/>
        <w:rPr>
          <w:lang w:val="fr-FR"/>
        </w:rPr>
      </w:pPr>
      <w:r w:rsidRPr="006B2D93">
        <w:rPr>
          <w:rFonts w:eastAsia="Times New Roman"/>
          <w:lang w:val="fr-FR"/>
        </w:rPr>
        <w:t>a)</w:t>
      </w:r>
      <w:r w:rsidRPr="006B2D93">
        <w:rPr>
          <w:rFonts w:eastAsia="Times New Roman"/>
          <w:lang w:val="fr-FR"/>
        </w:rPr>
        <w:tab/>
      </w:r>
      <w:r w:rsidR="00CA7AC0">
        <w:rPr>
          <w:rFonts w:eastAsia="Times New Roman"/>
          <w:lang w:val="fr-FR"/>
        </w:rPr>
        <w:t>De r</w:t>
      </w:r>
      <w:r w:rsidR="006B2D93" w:rsidRPr="006B2D93">
        <w:rPr>
          <w:rFonts w:eastAsia="Times New Roman"/>
          <w:lang w:val="fr-FR"/>
        </w:rPr>
        <w:t>ésumer</w:t>
      </w:r>
      <w:r w:rsidRPr="006B2D93">
        <w:rPr>
          <w:rFonts w:eastAsia="Times New Roman"/>
          <w:lang w:val="fr-FR"/>
        </w:rPr>
        <w:t xml:space="preserve"> les informations relatives à la biologie de synthèse </w:t>
      </w:r>
      <w:r w:rsidR="0064443D">
        <w:rPr>
          <w:rFonts w:eastAsia="Times New Roman"/>
          <w:lang w:val="fr-FR"/>
        </w:rPr>
        <w:t>fournies</w:t>
      </w:r>
      <w:r w:rsidRPr="006B2D93">
        <w:rPr>
          <w:rFonts w:eastAsia="Times New Roman"/>
          <w:lang w:val="fr-FR"/>
        </w:rPr>
        <w:t xml:space="preserve"> </w:t>
      </w:r>
      <w:r w:rsidR="0064443D">
        <w:rPr>
          <w:rFonts w:eastAsia="Times New Roman"/>
          <w:lang w:val="fr-FR"/>
        </w:rPr>
        <w:t>en réponse</w:t>
      </w:r>
      <w:r w:rsidRPr="006B2D93">
        <w:rPr>
          <w:rFonts w:eastAsia="Times New Roman"/>
          <w:lang w:val="fr-FR"/>
        </w:rPr>
        <w:t xml:space="preserve"> au paragraphe </w:t>
      </w:r>
      <w:r w:rsidR="008B0D6A" w:rsidRPr="006B2D93">
        <w:rPr>
          <w:rFonts w:eastAsia="Times New Roman"/>
          <w:lang w:val="fr-FR"/>
        </w:rPr>
        <w:t>9</w:t>
      </w:r>
      <w:r w:rsidRPr="006B2D93">
        <w:rPr>
          <w:rFonts w:eastAsia="Times New Roman"/>
          <w:lang w:val="fr-FR"/>
        </w:rPr>
        <w:t xml:space="preserve"> ci-dessus ainsi que les débats du </w:t>
      </w:r>
      <w:r w:rsidR="0064443D">
        <w:rPr>
          <w:rFonts w:eastAsia="Times New Roman"/>
          <w:lang w:val="fr-FR"/>
        </w:rPr>
        <w:t>F</w:t>
      </w:r>
      <w:r w:rsidRPr="006B2D93">
        <w:rPr>
          <w:rFonts w:eastAsia="Times New Roman"/>
          <w:lang w:val="fr-FR"/>
        </w:rPr>
        <w:t>orum en ligne à composition non limitée mentionné au paragraphe </w:t>
      </w:r>
      <w:r w:rsidR="008B0D6A" w:rsidRPr="006B2D93">
        <w:rPr>
          <w:rFonts w:eastAsia="Times New Roman"/>
          <w:lang w:val="fr-FR"/>
        </w:rPr>
        <w:t>10</w:t>
      </w:r>
      <w:r w:rsidRPr="006B2D93">
        <w:rPr>
          <w:rFonts w:eastAsia="Times New Roman"/>
          <w:lang w:val="fr-FR"/>
        </w:rPr>
        <w:t xml:space="preserve"> ci-</w:t>
      </w:r>
      <w:proofErr w:type="gramStart"/>
      <w:r w:rsidRPr="006B2D93">
        <w:rPr>
          <w:rFonts w:eastAsia="Times New Roman"/>
          <w:lang w:val="fr-FR"/>
        </w:rPr>
        <w:t>dessus[</w:t>
      </w:r>
      <w:proofErr w:type="gramEnd"/>
      <w:r w:rsidRPr="006B2D93">
        <w:rPr>
          <w:rFonts w:eastAsia="Times New Roman"/>
          <w:lang w:val="fr-FR"/>
        </w:rPr>
        <w:t>, afin d’apporter un appui aux travaux du Groupe spécial d’experts techniques] ;</w:t>
      </w:r>
    </w:p>
    <w:p w14:paraId="5CAAFEE3" w14:textId="5A3E1FAC" w:rsidR="007A7ED4" w:rsidRPr="006B2D93" w:rsidRDefault="00062144" w:rsidP="0077767A">
      <w:pPr>
        <w:pStyle w:val="CBDNormalNoNumber"/>
        <w:tabs>
          <w:tab w:val="clear" w:pos="567"/>
        </w:tabs>
        <w:ind w:left="1134" w:firstLine="567"/>
        <w:rPr>
          <w:lang w:val="fr-FR"/>
        </w:rPr>
      </w:pPr>
      <w:r w:rsidRPr="006B2D93">
        <w:rPr>
          <w:rFonts w:eastAsia="Times New Roman"/>
          <w:lang w:val="fr-FR"/>
        </w:rPr>
        <w:t>[</w:t>
      </w:r>
      <w:proofErr w:type="gramStart"/>
      <w:r w:rsidRPr="006B2D93">
        <w:rPr>
          <w:rFonts w:eastAsia="Times New Roman"/>
          <w:lang w:val="fr-FR"/>
        </w:rPr>
        <w:t>b</w:t>
      </w:r>
      <w:proofErr w:type="gramEnd"/>
      <w:r w:rsidRPr="006B2D93">
        <w:rPr>
          <w:rFonts w:eastAsia="Times New Roman"/>
          <w:lang w:val="fr-FR"/>
        </w:rPr>
        <w:t>)</w:t>
      </w:r>
      <w:r w:rsidRPr="006B2D93">
        <w:rPr>
          <w:rFonts w:eastAsia="Times New Roman"/>
          <w:lang w:val="fr-FR"/>
        </w:rPr>
        <w:tab/>
      </w:r>
      <w:r w:rsidR="00CA7AC0">
        <w:rPr>
          <w:rFonts w:eastAsia="Times New Roman"/>
          <w:lang w:val="fr-FR"/>
        </w:rPr>
        <w:t>De c</w:t>
      </w:r>
      <w:r w:rsidRPr="006B2D93">
        <w:rPr>
          <w:rFonts w:eastAsia="Times New Roman"/>
          <w:lang w:val="fr-FR"/>
        </w:rPr>
        <w:t>onvoquer au moins une réunion en présentiel du Groupe spécial d’experts techniques avant une réunion de l’Organe subsidiaire chargé de fournir des avis scientifiques, techniques et technologiques qui se tiendra avant la dix-huitième réunion de la Conférence des Parties ;]</w:t>
      </w:r>
    </w:p>
    <w:p w14:paraId="5CAAFEE4" w14:textId="4685064A" w:rsidR="00332B60" w:rsidRPr="006B2D93" w:rsidRDefault="00062144" w:rsidP="0077767A">
      <w:pPr>
        <w:pStyle w:val="CBDNormalNoNumber"/>
        <w:tabs>
          <w:tab w:val="clear" w:pos="567"/>
        </w:tabs>
        <w:ind w:left="1134" w:firstLine="567"/>
        <w:rPr>
          <w:lang w:val="fr-FR"/>
        </w:rPr>
      </w:pPr>
      <w:r w:rsidRPr="006B2D93">
        <w:rPr>
          <w:rFonts w:eastAsia="Times New Roman"/>
          <w:lang w:val="fr-FR"/>
        </w:rPr>
        <w:t>c)</w:t>
      </w:r>
      <w:r w:rsidRPr="006B2D93">
        <w:rPr>
          <w:rFonts w:eastAsia="Times New Roman"/>
          <w:lang w:val="fr-FR"/>
        </w:rPr>
        <w:tab/>
      </w:r>
      <w:r w:rsidR="00CA7AC0">
        <w:rPr>
          <w:rFonts w:eastAsia="Times New Roman"/>
          <w:lang w:val="fr-FR"/>
        </w:rPr>
        <w:t>D’a</w:t>
      </w:r>
      <w:r w:rsidRPr="006B2D93">
        <w:rPr>
          <w:rFonts w:eastAsia="Times New Roman"/>
          <w:lang w:val="fr-FR"/>
        </w:rPr>
        <w:t>pporter un appui à la participation pleine et effective des peuples autochtones et communautés locales aux travaux relatifs à la biologie de synthèse menés dans le cadre de la Convention, conformément à la décision </w:t>
      </w:r>
      <w:hyperlink r:id="rId21" w:history="1">
        <w:r w:rsidRPr="006B2D93">
          <w:rPr>
            <w:rFonts w:eastAsia="Times New Roman"/>
            <w:color w:val="0000FF"/>
            <w:u w:val="single"/>
            <w:lang w:val="fr-FR"/>
          </w:rPr>
          <w:t>X/40</w:t>
        </w:r>
      </w:hyperlink>
      <w:r w:rsidRPr="006B2D93">
        <w:rPr>
          <w:rFonts w:eastAsia="Times New Roman"/>
          <w:lang w:val="fr-FR"/>
        </w:rPr>
        <w:t xml:space="preserve"> du 29 octobre</w:t>
      </w:r>
      <w:r w:rsidR="00C57D56">
        <w:rPr>
          <w:rFonts w:eastAsia="Times New Roman"/>
          <w:lang w:val="fr-FR"/>
        </w:rPr>
        <w:t> </w:t>
      </w:r>
      <w:r w:rsidRPr="006B2D93">
        <w:rPr>
          <w:rFonts w:eastAsia="Times New Roman"/>
          <w:lang w:val="fr-FR"/>
        </w:rPr>
        <w:t>2010 ;</w:t>
      </w:r>
    </w:p>
    <w:p w14:paraId="5CAAFEE5" w14:textId="6A35D4DE" w:rsidR="00332B60" w:rsidRPr="006B2D93" w:rsidRDefault="00062144" w:rsidP="0077767A">
      <w:pPr>
        <w:pStyle w:val="CBDNormalNoNumber"/>
        <w:tabs>
          <w:tab w:val="clear" w:pos="567"/>
        </w:tabs>
        <w:ind w:left="1134" w:firstLine="567"/>
        <w:rPr>
          <w:lang w:val="fr-FR"/>
        </w:rPr>
      </w:pPr>
      <w:r w:rsidRPr="006B2D93">
        <w:rPr>
          <w:rFonts w:eastAsia="Times New Roman"/>
          <w:lang w:val="fr-FR"/>
        </w:rPr>
        <w:t>d)</w:t>
      </w:r>
      <w:r w:rsidRPr="006B2D93">
        <w:rPr>
          <w:rFonts w:eastAsia="Times New Roman"/>
          <w:lang w:val="fr-FR"/>
        </w:rPr>
        <w:tab/>
      </w:r>
      <w:r w:rsidR="00CA7AC0">
        <w:rPr>
          <w:rFonts w:eastAsia="Times New Roman"/>
          <w:lang w:val="fr-FR"/>
        </w:rPr>
        <w:t>D’a</w:t>
      </w:r>
      <w:r w:rsidR="0064443D">
        <w:rPr>
          <w:rFonts w:eastAsia="Times New Roman"/>
          <w:lang w:val="fr-FR"/>
        </w:rPr>
        <w:t>pporter en outre un appui à</w:t>
      </w:r>
      <w:r w:rsidRPr="006B2D93">
        <w:rPr>
          <w:rFonts w:eastAsia="Times New Roman"/>
          <w:lang w:val="fr-FR"/>
        </w:rPr>
        <w:t xml:space="preserve"> la participation des organisations de femmes et de jeunes, ainsi que des milieux universitaires et des instituts de recherche, aux travaux liés à la biologie de synthèse menés dans le cadre de la Convention ;</w:t>
      </w:r>
    </w:p>
    <w:p w14:paraId="5CAAFEE6" w14:textId="56817C12" w:rsidR="00217B35" w:rsidRPr="006B2D93" w:rsidRDefault="00C46A30" w:rsidP="0077767A">
      <w:pPr>
        <w:pStyle w:val="Para1"/>
        <w:numPr>
          <w:ilvl w:val="0"/>
          <w:numId w:val="0"/>
        </w:numPr>
        <w:ind w:left="1134" w:firstLine="567"/>
        <w:rPr>
          <w:rFonts w:eastAsia="Times New Roman"/>
          <w:szCs w:val="22"/>
          <w:lang w:val="fr-FR"/>
        </w:rPr>
      </w:pPr>
      <w:r w:rsidRPr="006B2D93">
        <w:rPr>
          <w:rFonts w:eastAsia="Times New Roman"/>
          <w:szCs w:val="22"/>
          <w:lang w:val="fr-FR"/>
        </w:rPr>
        <w:t>[</w:t>
      </w:r>
      <w:r w:rsidR="00062144" w:rsidRPr="006B2D93">
        <w:rPr>
          <w:rFonts w:eastAsia="Times New Roman"/>
          <w:szCs w:val="22"/>
          <w:lang w:val="fr-FR"/>
        </w:rPr>
        <w:t>12.</w:t>
      </w:r>
      <w:r w:rsidR="00062144" w:rsidRPr="006B2D93">
        <w:rPr>
          <w:rFonts w:eastAsia="Times New Roman"/>
          <w:szCs w:val="22"/>
          <w:lang w:val="fr-FR"/>
        </w:rPr>
        <w:tab/>
      </w:r>
      <w:r w:rsidR="00062144" w:rsidRPr="006B2D93">
        <w:rPr>
          <w:rFonts w:eastAsia="Times New Roman"/>
          <w:i/>
          <w:iCs/>
          <w:szCs w:val="22"/>
          <w:lang w:val="fr-FR"/>
        </w:rPr>
        <w:t xml:space="preserve">Prie </w:t>
      </w:r>
      <w:r w:rsidR="00062144" w:rsidRPr="006B2D93">
        <w:rPr>
          <w:rFonts w:eastAsia="Times New Roman"/>
          <w:szCs w:val="22"/>
          <w:lang w:val="fr-FR"/>
        </w:rPr>
        <w:t xml:space="preserve">l’Organe subsidiaire chargé de fournir des avis scientifiques, techniques et technologiques d’examiner, à </w:t>
      </w:r>
      <w:r w:rsidR="0064443D">
        <w:rPr>
          <w:rFonts w:eastAsia="Times New Roman"/>
          <w:szCs w:val="22"/>
          <w:lang w:val="fr-FR"/>
        </w:rPr>
        <w:t>une</w:t>
      </w:r>
      <w:r w:rsidR="00062144" w:rsidRPr="006B2D93">
        <w:rPr>
          <w:rFonts w:eastAsia="Times New Roman"/>
          <w:szCs w:val="22"/>
          <w:lang w:val="fr-FR"/>
        </w:rPr>
        <w:t xml:space="preserve"> réunion qui se tiendra avant la dix-huitième réunion de la Conférence des Parties, les conclusions [des travaux du Groupe spécial d’experts,] [</w:t>
      </w:r>
      <w:r w:rsidR="0064443D">
        <w:rPr>
          <w:rFonts w:eastAsia="Times New Roman"/>
          <w:szCs w:val="22"/>
          <w:lang w:val="fr-FR"/>
        </w:rPr>
        <w:t xml:space="preserve">de </w:t>
      </w:r>
      <w:r w:rsidR="00062144" w:rsidRPr="006B2D93">
        <w:rPr>
          <w:rFonts w:eastAsia="Times New Roman"/>
          <w:szCs w:val="22"/>
          <w:lang w:val="fr-FR"/>
        </w:rPr>
        <w:t>la synthèse demandée au paragraphe 11 a) ci-dessus], en vue de présenter un projet de décision à l’examen de la Conférence des Parties à sa dix-huitième réunion.</w:t>
      </w:r>
      <w:r w:rsidR="00D625B9" w:rsidRPr="006B2D93">
        <w:rPr>
          <w:rFonts w:eastAsia="Times New Roman"/>
          <w:szCs w:val="22"/>
          <w:lang w:val="fr-FR"/>
        </w:rPr>
        <w:t>]</w:t>
      </w:r>
    </w:p>
    <w:p w14:paraId="258A6FA8" w14:textId="4AEA347B" w:rsidR="0079641A" w:rsidRPr="006B2D93" w:rsidRDefault="0079641A" w:rsidP="0077767A">
      <w:pPr>
        <w:pStyle w:val="Para1"/>
        <w:numPr>
          <w:ilvl w:val="0"/>
          <w:numId w:val="0"/>
        </w:numPr>
        <w:ind w:left="1134" w:firstLine="567"/>
        <w:rPr>
          <w:b/>
          <w:bCs/>
          <w:lang w:val="fr-FR"/>
        </w:rPr>
      </w:pPr>
      <w:r w:rsidRPr="006B2D93">
        <w:rPr>
          <w:rFonts w:eastAsia="Times New Roman"/>
          <w:b/>
          <w:bCs/>
          <w:szCs w:val="22"/>
          <w:lang w:val="fr-FR"/>
        </w:rPr>
        <w:t>]</w:t>
      </w:r>
    </w:p>
    <w:p w14:paraId="5CAAFEE7" w14:textId="77777777" w:rsidR="00E07E3C" w:rsidRPr="006B2D93" w:rsidRDefault="00062144" w:rsidP="00E07E3C">
      <w:pPr>
        <w:pStyle w:val="CBDRecommendText"/>
        <w:tabs>
          <w:tab w:val="clear" w:pos="567"/>
          <w:tab w:val="clear" w:pos="1134"/>
          <w:tab w:val="clear" w:pos="1701"/>
          <w:tab w:val="clear" w:pos="2268"/>
        </w:tabs>
        <w:ind w:left="1134" w:hanging="567"/>
        <w:jc w:val="left"/>
        <w:rPr>
          <w:b/>
          <w:lang w:val="fr-FR"/>
        </w:rPr>
      </w:pPr>
      <w:r w:rsidRPr="006B2D93">
        <w:rPr>
          <w:rFonts w:eastAsia="Times New Roman"/>
          <w:b/>
          <w:bCs/>
          <w:lang w:val="fr-FR"/>
        </w:rPr>
        <w:t>II.</w:t>
      </w:r>
      <w:r w:rsidRPr="006B2D93">
        <w:rPr>
          <w:rFonts w:eastAsia="Times New Roman"/>
          <w:b/>
          <w:bCs/>
          <w:lang w:val="fr-FR"/>
        </w:rPr>
        <w:tab/>
        <w:t>Synthèse et examen des travaux relatifs à la biologie de synthèse menés au titre de la Convention et de ses Protocoles</w:t>
      </w:r>
    </w:p>
    <w:p w14:paraId="5CAAFEE8" w14:textId="053C027C" w:rsidR="00E07E3C" w:rsidRPr="006B2D93" w:rsidRDefault="00062144" w:rsidP="00E07E3C">
      <w:pPr>
        <w:pStyle w:val="CBDRecommendText"/>
        <w:tabs>
          <w:tab w:val="clear" w:pos="567"/>
        </w:tabs>
        <w:ind w:left="1134" w:firstLine="567"/>
        <w:rPr>
          <w:lang w:val="fr-FR"/>
        </w:rPr>
      </w:pPr>
      <w:r w:rsidRPr="006B2D93">
        <w:rPr>
          <w:rFonts w:eastAsia="Times New Roman"/>
          <w:lang w:val="fr-FR"/>
        </w:rPr>
        <w:t>13.</w:t>
      </w:r>
      <w:r w:rsidRPr="006B2D93">
        <w:rPr>
          <w:rFonts w:eastAsia="Times New Roman"/>
          <w:lang w:val="fr-FR"/>
        </w:rPr>
        <w:tab/>
      </w:r>
      <w:r w:rsidRPr="006B2D93">
        <w:rPr>
          <w:rFonts w:eastAsia="Times New Roman"/>
          <w:i/>
          <w:iCs/>
          <w:lang w:val="fr-FR"/>
        </w:rPr>
        <w:t xml:space="preserve">Prie </w:t>
      </w:r>
      <w:r w:rsidRPr="006B2D93">
        <w:rPr>
          <w:rFonts w:eastAsia="Times New Roman"/>
          <w:lang w:val="fr-FR"/>
        </w:rPr>
        <w:t xml:space="preserve">la Secrétaire exécutive, </w:t>
      </w:r>
      <w:r w:rsidR="00CA7AC0" w:rsidRPr="006B2D93">
        <w:rPr>
          <w:rFonts w:eastAsia="Times New Roman"/>
          <w:lang w:val="fr-FR"/>
        </w:rPr>
        <w:t>dans la limite des ressources disponibles</w:t>
      </w:r>
      <w:r w:rsidR="00CA7AC0">
        <w:rPr>
          <w:rFonts w:eastAsia="Times New Roman"/>
          <w:lang w:val="fr-FR"/>
        </w:rPr>
        <w:t> </w:t>
      </w:r>
      <w:r w:rsidRPr="006B2D93">
        <w:rPr>
          <w:rFonts w:eastAsia="Times New Roman"/>
          <w:lang w:val="fr-FR"/>
        </w:rPr>
        <w:t>:</w:t>
      </w:r>
    </w:p>
    <w:p w14:paraId="5CAAFEE9" w14:textId="3EE8F50A" w:rsidR="00E07E3C" w:rsidRPr="006B2D93" w:rsidRDefault="00062144" w:rsidP="00E07E3C">
      <w:pPr>
        <w:pStyle w:val="CBDRecommendText"/>
        <w:tabs>
          <w:tab w:val="clear" w:pos="567"/>
        </w:tabs>
        <w:ind w:left="1134" w:firstLine="567"/>
        <w:rPr>
          <w:lang w:val="fr-FR"/>
        </w:rPr>
      </w:pPr>
      <w:r w:rsidRPr="006B2D93">
        <w:rPr>
          <w:rFonts w:eastAsia="Times New Roman"/>
          <w:lang w:val="fr-FR"/>
        </w:rPr>
        <w:t>a)</w:t>
      </w:r>
      <w:r w:rsidRPr="006B2D93">
        <w:rPr>
          <w:rFonts w:eastAsia="Times New Roman"/>
          <w:lang w:val="fr-FR"/>
        </w:rPr>
        <w:tab/>
      </w:r>
      <w:r w:rsidR="0079641A" w:rsidRPr="006B2D93">
        <w:rPr>
          <w:rFonts w:eastAsia="Times New Roman"/>
          <w:lang w:val="fr-FR"/>
        </w:rPr>
        <w:t>D</w:t>
      </w:r>
      <w:r w:rsidRPr="006B2D93">
        <w:rPr>
          <w:rFonts w:eastAsia="Times New Roman"/>
          <w:lang w:val="fr-FR"/>
        </w:rPr>
        <w:t xml:space="preserve">’élaborer un </w:t>
      </w:r>
      <w:r w:rsidR="00BB4CBD">
        <w:rPr>
          <w:rFonts w:eastAsia="Times New Roman"/>
          <w:lang w:val="fr-FR"/>
        </w:rPr>
        <w:t xml:space="preserve">projet de </w:t>
      </w:r>
      <w:r w:rsidRPr="006B2D93">
        <w:rPr>
          <w:rFonts w:eastAsia="Times New Roman"/>
          <w:lang w:val="fr-FR"/>
        </w:rPr>
        <w:t>rapport d’état des lieux contenant une compilation, une synthèse et un examen des travaux et des processus liés à la biologie de synthèse menés au titre de la Convention et de ses Protocoles depuis 2010</w:t>
      </w:r>
      <w:r w:rsidR="006B2D93" w:rsidRPr="006B2D93">
        <w:rPr>
          <w:rFonts w:eastAsia="Times New Roman"/>
          <w:lang w:val="fr-FR"/>
        </w:rPr>
        <w:t>, afin de</w:t>
      </w:r>
      <w:r w:rsidRPr="006B2D93">
        <w:rPr>
          <w:rFonts w:eastAsia="Times New Roman"/>
          <w:lang w:val="fr-FR"/>
        </w:rPr>
        <w:t> :</w:t>
      </w:r>
    </w:p>
    <w:p w14:paraId="5CAAFEEA" w14:textId="0A0D4FC3" w:rsidR="00E07E3C" w:rsidRPr="006B2D93" w:rsidRDefault="00062144" w:rsidP="00E07E3C">
      <w:pPr>
        <w:pStyle w:val="CBDRecommendText"/>
        <w:tabs>
          <w:tab w:val="clear" w:pos="567"/>
          <w:tab w:val="clear" w:pos="1701"/>
        </w:tabs>
        <w:ind w:left="2100" w:hanging="567"/>
        <w:rPr>
          <w:lang w:val="fr-FR"/>
        </w:rPr>
      </w:pPr>
      <w:r w:rsidRPr="006B2D93">
        <w:rPr>
          <w:rFonts w:eastAsia="Times New Roman"/>
          <w:lang w:val="fr-FR"/>
        </w:rPr>
        <w:t>i)</w:t>
      </w:r>
      <w:r w:rsidRPr="006B2D93">
        <w:rPr>
          <w:rFonts w:eastAsia="Times New Roman"/>
          <w:lang w:val="fr-FR"/>
        </w:rPr>
        <w:tab/>
      </w:r>
      <w:r w:rsidR="006B2D93" w:rsidRPr="006B2D93">
        <w:rPr>
          <w:rFonts w:eastAsia="Times New Roman"/>
          <w:lang w:val="fr-FR"/>
        </w:rPr>
        <w:t>Recenser</w:t>
      </w:r>
      <w:r w:rsidRPr="006B2D93">
        <w:rPr>
          <w:rFonts w:eastAsia="Times New Roman"/>
          <w:lang w:val="fr-FR"/>
        </w:rPr>
        <w:t xml:space="preserve"> les lacunes, les chevauchements, les redondances et les complémentarités avec les processus existants au titre de la Convention et de ses Protocoles ; </w:t>
      </w:r>
    </w:p>
    <w:p w14:paraId="5CAAFEEB" w14:textId="5D38BAF7" w:rsidR="00E07E3C" w:rsidRPr="006B2D93" w:rsidRDefault="00062144" w:rsidP="00742C43">
      <w:pPr>
        <w:pStyle w:val="CBDRecommendText"/>
        <w:tabs>
          <w:tab w:val="clear" w:pos="567"/>
          <w:tab w:val="clear" w:pos="1701"/>
        </w:tabs>
        <w:ind w:left="2100" w:hanging="567"/>
        <w:rPr>
          <w:lang w:val="fr-FR"/>
        </w:rPr>
      </w:pPr>
      <w:r w:rsidRPr="006B2D93">
        <w:rPr>
          <w:rFonts w:eastAsia="Times New Roman"/>
          <w:lang w:val="fr-FR"/>
        </w:rPr>
        <w:t>ii)</w:t>
      </w:r>
      <w:r w:rsidR="00BB4CBD">
        <w:rPr>
          <w:rFonts w:eastAsia="Times New Roman"/>
          <w:lang w:val="fr-FR"/>
        </w:rPr>
        <w:tab/>
      </w:r>
      <w:r w:rsidR="006B2D93" w:rsidRPr="006B2D93">
        <w:rPr>
          <w:rFonts w:eastAsia="Times New Roman"/>
          <w:lang w:val="fr-FR"/>
        </w:rPr>
        <w:t>C</w:t>
      </w:r>
      <w:r w:rsidRPr="006B2D93">
        <w:rPr>
          <w:rFonts w:eastAsia="Times New Roman"/>
          <w:lang w:val="fr-FR"/>
        </w:rPr>
        <w:t>artographier le champ d’action et le mandat d’autres organisations et entités internationales pertinentes</w:t>
      </w:r>
      <w:r w:rsidRPr="006B2D93">
        <w:rPr>
          <w:snapToGrid w:val="0"/>
          <w:szCs w:val="18"/>
          <w:vertAlign w:val="superscript"/>
          <w:lang w:val="fr-FR"/>
        </w:rPr>
        <w:footnoteReference w:id="6"/>
      </w:r>
      <w:r w:rsidRPr="006B2D93">
        <w:rPr>
          <w:rFonts w:eastAsia="Times New Roman"/>
          <w:lang w:val="fr-FR"/>
        </w:rPr>
        <w:t xml:space="preserve"> travaillant dans le domaine de la biologie de synthèse au regard des trois objectifs de la Convention sur la diversité biologique ;</w:t>
      </w:r>
    </w:p>
    <w:p w14:paraId="5CAAFEEC" w14:textId="5578AFF8" w:rsidR="00E07E3C" w:rsidRPr="006B2D93" w:rsidRDefault="00062144" w:rsidP="00E07E3C">
      <w:pPr>
        <w:pStyle w:val="CBDRecommendText"/>
        <w:tabs>
          <w:tab w:val="clear" w:pos="567"/>
        </w:tabs>
        <w:ind w:left="1134" w:firstLine="567"/>
        <w:rPr>
          <w:lang w:val="fr-FR"/>
        </w:rPr>
      </w:pPr>
      <w:r w:rsidRPr="006B2D93">
        <w:rPr>
          <w:rFonts w:eastAsia="Times New Roman"/>
          <w:lang w:val="fr-FR"/>
        </w:rPr>
        <w:t>b)</w:t>
      </w:r>
      <w:r w:rsidRPr="006B2D93">
        <w:rPr>
          <w:rFonts w:eastAsia="Times New Roman"/>
          <w:lang w:val="fr-FR"/>
        </w:rPr>
        <w:tab/>
      </w:r>
      <w:r w:rsidR="00A459B7" w:rsidRPr="006B2D93">
        <w:rPr>
          <w:rFonts w:eastAsia="Times New Roman"/>
          <w:lang w:val="fr-FR"/>
        </w:rPr>
        <w:t>D</w:t>
      </w:r>
      <w:r w:rsidRPr="006B2D93">
        <w:rPr>
          <w:rFonts w:eastAsia="Times New Roman"/>
          <w:lang w:val="fr-FR"/>
        </w:rPr>
        <w:t xml:space="preserve">e soumettre </w:t>
      </w:r>
      <w:r w:rsidR="006B2D93" w:rsidRPr="006B2D93">
        <w:rPr>
          <w:rFonts w:eastAsia="Times New Roman"/>
          <w:lang w:val="fr-FR"/>
        </w:rPr>
        <w:t>le</w:t>
      </w:r>
      <w:r w:rsidR="00A459B7" w:rsidRPr="006B2D93">
        <w:rPr>
          <w:rFonts w:eastAsia="Times New Roman"/>
          <w:lang w:val="fr-FR"/>
        </w:rPr>
        <w:t xml:space="preserve"> projet de</w:t>
      </w:r>
      <w:r w:rsidRPr="006B2D93">
        <w:rPr>
          <w:rFonts w:eastAsia="Times New Roman"/>
          <w:lang w:val="fr-FR"/>
        </w:rPr>
        <w:t xml:space="preserve"> rapport d’état des lieux à un examen par les pairs en temps utile pour qu’il soit </w:t>
      </w:r>
      <w:r w:rsidR="006B2D93" w:rsidRPr="006B2D93">
        <w:rPr>
          <w:rFonts w:eastAsia="Times New Roman"/>
          <w:lang w:val="fr-FR"/>
        </w:rPr>
        <w:t xml:space="preserve">finalisé et </w:t>
      </w:r>
      <w:r w:rsidRPr="006B2D93">
        <w:rPr>
          <w:rFonts w:eastAsia="Times New Roman"/>
          <w:lang w:val="fr-FR"/>
        </w:rPr>
        <w:t xml:space="preserve">examiné lors de la réunion de l’Organe subsidiaire chargé de fournir des avis scientifiques, techniques et technologiques </w:t>
      </w:r>
      <w:r w:rsidR="004D7A23">
        <w:rPr>
          <w:rFonts w:eastAsia="Times New Roman"/>
          <w:lang w:val="fr-FR"/>
        </w:rPr>
        <w:t>qui se tiendra</w:t>
      </w:r>
      <w:r w:rsidR="00C35540" w:rsidRPr="006B2D93">
        <w:rPr>
          <w:rFonts w:eastAsia="Times New Roman"/>
          <w:lang w:val="fr-FR"/>
        </w:rPr>
        <w:t xml:space="preserve"> avant</w:t>
      </w:r>
      <w:r w:rsidRPr="006B2D93">
        <w:rPr>
          <w:rFonts w:eastAsia="Times New Roman"/>
          <w:lang w:val="fr-FR"/>
        </w:rPr>
        <w:t xml:space="preserve"> la dix-neuvième réunion de la Conférence des Parties ;</w:t>
      </w:r>
    </w:p>
    <w:p w14:paraId="5CAAFEED" w14:textId="307CCC95" w:rsidR="00E07E3C" w:rsidRPr="006B2D93" w:rsidRDefault="00062144" w:rsidP="00E07E3C">
      <w:pPr>
        <w:pStyle w:val="CBDRecommendText"/>
        <w:tabs>
          <w:tab w:val="clear" w:pos="567"/>
        </w:tabs>
        <w:ind w:left="1134" w:firstLine="567"/>
        <w:rPr>
          <w:lang w:val="fr-FR"/>
        </w:rPr>
      </w:pPr>
      <w:r w:rsidRPr="006B2D93">
        <w:rPr>
          <w:rFonts w:eastAsia="Times New Roman"/>
          <w:lang w:val="fr-FR"/>
        </w:rPr>
        <w:t>c)</w:t>
      </w:r>
      <w:r w:rsidRPr="006B2D93">
        <w:rPr>
          <w:rFonts w:eastAsia="Times New Roman"/>
          <w:lang w:val="fr-FR"/>
        </w:rPr>
        <w:tab/>
      </w:r>
      <w:r w:rsidR="004D7A23">
        <w:rPr>
          <w:rFonts w:eastAsia="Times New Roman"/>
          <w:lang w:val="fr-FR"/>
        </w:rPr>
        <w:t>D</w:t>
      </w:r>
      <w:r w:rsidRPr="006B2D93">
        <w:rPr>
          <w:rFonts w:eastAsia="Times New Roman"/>
          <w:lang w:val="fr-FR"/>
        </w:rPr>
        <w:t>e soumettre le rapport d’état des lieux lors de la réunion de l’Organe subsidiaire chargé de fournir des avis scientifiques, techniques et technologiques précédant la dix-neuvième réunion de la Conférence des Parties ;</w:t>
      </w:r>
    </w:p>
    <w:p w14:paraId="5CAAFEEE" w14:textId="77777777" w:rsidR="00E07E3C" w:rsidRPr="006B2D93" w:rsidRDefault="00062144" w:rsidP="00E07E3C">
      <w:pPr>
        <w:pStyle w:val="CBDRecommendText"/>
        <w:tabs>
          <w:tab w:val="clear" w:pos="567"/>
        </w:tabs>
        <w:ind w:left="1134" w:firstLine="567"/>
        <w:rPr>
          <w:lang w:val="fr-FR"/>
        </w:rPr>
      </w:pPr>
      <w:r w:rsidRPr="006B2D93">
        <w:rPr>
          <w:rFonts w:eastAsia="Times New Roman"/>
          <w:lang w:val="fr-FR"/>
        </w:rPr>
        <w:lastRenderedPageBreak/>
        <w:t>[14.</w:t>
      </w:r>
      <w:r w:rsidRPr="006B2D93">
        <w:rPr>
          <w:rFonts w:eastAsia="Times New Roman"/>
          <w:lang w:val="fr-FR"/>
        </w:rPr>
        <w:tab/>
      </w:r>
      <w:r w:rsidRPr="006B2D93">
        <w:rPr>
          <w:rFonts w:eastAsia="Times New Roman"/>
          <w:i/>
          <w:iCs/>
          <w:lang w:val="fr-FR"/>
        </w:rPr>
        <w:t xml:space="preserve">Prie </w:t>
      </w:r>
      <w:r w:rsidRPr="006B2D93">
        <w:rPr>
          <w:rFonts w:eastAsia="Times New Roman"/>
          <w:lang w:val="fr-FR"/>
        </w:rPr>
        <w:t>l’Organe subsidiaire chargé de fournir des avis scientifiques, techniques et technologiques d’examiner le rapport d’état des lieux et d’élaborer un projet de recommandation sur les options pour les travaux futurs relatifs à la biologie de synthèse au titre de la Convention, en vue de son examen à la dix-neuvième réunion de la Conférence des Parties ;]</w:t>
      </w:r>
    </w:p>
    <w:p w14:paraId="5CAAFEF1" w14:textId="15CCF4FA" w:rsidR="00E07E3C" w:rsidRPr="006B2D93" w:rsidRDefault="00062144" w:rsidP="00BB4CBD">
      <w:pPr>
        <w:pStyle w:val="CBDRecommendText"/>
        <w:tabs>
          <w:tab w:val="clear" w:pos="567"/>
        </w:tabs>
        <w:ind w:left="1134" w:firstLine="567"/>
        <w:rPr>
          <w:lang w:val="fr-FR"/>
        </w:rPr>
      </w:pPr>
      <w:r w:rsidRPr="006B2D93">
        <w:rPr>
          <w:rFonts w:eastAsia="Times New Roman"/>
          <w:lang w:val="fr-FR"/>
        </w:rPr>
        <w:t xml:space="preserve">[14.Alt. </w:t>
      </w:r>
      <w:r w:rsidRPr="006B2D93">
        <w:rPr>
          <w:rFonts w:eastAsia="Times New Roman"/>
          <w:i/>
          <w:iCs/>
          <w:lang w:val="fr-FR"/>
        </w:rPr>
        <w:t xml:space="preserve">Prie </w:t>
      </w:r>
      <w:r w:rsidRPr="006B2D93">
        <w:rPr>
          <w:rFonts w:eastAsia="Times New Roman"/>
          <w:lang w:val="fr-FR"/>
        </w:rPr>
        <w:t xml:space="preserve">l’Organe subsidiaire chargé de fournir des avis scientifiques, techniques et technologiques d’examiner le rapport d’état des lieux et d’élaborer un projet de recommandation sur les options </w:t>
      </w:r>
      <w:r w:rsidR="00CA7AC0">
        <w:rPr>
          <w:rFonts w:eastAsia="Times New Roman"/>
          <w:lang w:val="fr-FR"/>
        </w:rPr>
        <w:t>pour</w:t>
      </w:r>
      <w:r w:rsidRPr="006B2D93">
        <w:rPr>
          <w:rFonts w:eastAsia="Times New Roman"/>
          <w:lang w:val="fr-FR"/>
        </w:rPr>
        <w:t xml:space="preserve"> une approche cohérente, scientifiquement rigoureuse et efficace des travaux sur la biologie de synthèse menés au titre de la Convention, en veillant à ce qu’une telle approche traite de manière adéquate les questions non résolues et émergentes liées aux trois objectifs de la Convention, pour examen lors de la dix-neuvième réunion de la Conférence des Parties.]</w:t>
      </w:r>
    </w:p>
    <w:p w14:paraId="5CAAFEF2" w14:textId="77777777" w:rsidR="0079350D" w:rsidRPr="006B2D93" w:rsidRDefault="00062144" w:rsidP="0077767A">
      <w:pPr>
        <w:pStyle w:val="CBDDesicionAnnex"/>
        <w:ind w:left="1134"/>
        <w:rPr>
          <w:lang w:val="fr-FR"/>
        </w:rPr>
      </w:pPr>
      <w:r w:rsidRPr="006B2D93">
        <w:rPr>
          <w:rFonts w:eastAsia="Times New Roman"/>
          <w:szCs w:val="24"/>
          <w:lang w:val="fr-FR"/>
        </w:rPr>
        <w:t>Annexe I</w:t>
      </w:r>
    </w:p>
    <w:p w14:paraId="5CAAFEF3" w14:textId="61B7069A" w:rsidR="00EE16F0" w:rsidRPr="006B2D93" w:rsidRDefault="00062144" w:rsidP="0077767A">
      <w:pPr>
        <w:pStyle w:val="CBDDesicionAnnex"/>
        <w:spacing w:before="120"/>
        <w:ind w:left="1134"/>
        <w:rPr>
          <w:lang w:val="fr-FR"/>
        </w:rPr>
      </w:pPr>
      <w:r w:rsidRPr="006B2D93">
        <w:rPr>
          <w:rFonts w:eastAsia="Times New Roman"/>
          <w:szCs w:val="24"/>
          <w:lang w:val="fr-FR"/>
        </w:rPr>
        <w:t>Plan d’action thématique visant à appuyer la création et le renforcement des capacités, l’accès aux technologies et leur transfert, ainsi que le partage des connaissances dans le domaine de la biologie de synthèse, en vue de la mise en œuvre de la Convention sur la diversité biologique et du Cadre mondial de la biodiversité de Kunming-Montréal</w:t>
      </w:r>
    </w:p>
    <w:p w14:paraId="5CAAFEF4" w14:textId="77777777" w:rsidR="008D2AA7" w:rsidRPr="006B2D93" w:rsidRDefault="00062144" w:rsidP="00742C43">
      <w:pPr>
        <w:pStyle w:val="CBDH1"/>
        <w:ind w:left="1134"/>
        <w:rPr>
          <w:rFonts w:asciiTheme="majorBidi" w:hAnsiTheme="majorBidi" w:cstheme="majorBidi"/>
          <w:lang w:val="fr-FR"/>
        </w:rPr>
      </w:pPr>
      <w:r w:rsidRPr="006B2D93">
        <w:rPr>
          <w:rFonts w:eastAsia="Times New Roman"/>
          <w:bCs/>
          <w:sz w:val="24"/>
          <w:szCs w:val="24"/>
          <w:lang w:val="fr-FR"/>
        </w:rPr>
        <w:t>I.</w:t>
      </w:r>
      <w:r w:rsidRPr="006B2D93">
        <w:rPr>
          <w:rFonts w:eastAsia="Times New Roman"/>
          <w:bCs/>
          <w:szCs w:val="28"/>
          <w:lang w:val="fr-FR"/>
        </w:rPr>
        <w:tab/>
      </w:r>
      <w:r w:rsidRPr="006B2D93">
        <w:rPr>
          <w:rFonts w:eastAsia="Times New Roman"/>
          <w:bCs/>
          <w:sz w:val="24"/>
          <w:szCs w:val="24"/>
          <w:lang w:val="fr-FR"/>
        </w:rPr>
        <w:t>Introduction</w:t>
      </w:r>
    </w:p>
    <w:p w14:paraId="5CAAFEF5" w14:textId="4FDCD9F1" w:rsidR="008D2AA7" w:rsidRPr="006B2D93" w:rsidRDefault="00062144" w:rsidP="00DC2F7D">
      <w:pPr>
        <w:pStyle w:val="CBDNormalNumber"/>
        <w:numPr>
          <w:ilvl w:val="0"/>
          <w:numId w:val="8"/>
        </w:numPr>
        <w:ind w:left="1134"/>
        <w:rPr>
          <w:lang w:val="fr-FR"/>
        </w:rPr>
      </w:pPr>
      <w:r w:rsidRPr="006B2D93">
        <w:rPr>
          <w:rFonts w:eastAsia="Times New Roman"/>
          <w:lang w:val="fr-FR"/>
        </w:rPr>
        <w:t xml:space="preserve">Le plan d’action thématique visant à </w:t>
      </w:r>
      <w:r w:rsidR="000D5FA5">
        <w:rPr>
          <w:rFonts w:eastAsia="Times New Roman"/>
          <w:lang w:val="fr-FR"/>
        </w:rPr>
        <w:t>appuyer</w:t>
      </w:r>
      <w:r w:rsidRPr="006B2D93">
        <w:rPr>
          <w:rFonts w:eastAsia="Times New Roman"/>
          <w:lang w:val="fr-FR"/>
        </w:rPr>
        <w:t xml:space="preserve"> la création et le renforcement des capacités, l’accès aux technologies et leur transfert, ainsi que le partage des connaissances dans le domaine de la biologie de synthèse, a pour objectif de répondre aux besoins et aux priorités des Parties, en particulier des pays en développement Parties, notamment les pays les moins avancés et les petits États insulaires en développement, ainsi que des Parties à économie en transition, </w:t>
      </w:r>
      <w:r w:rsidR="00BB4CBD">
        <w:rPr>
          <w:rFonts w:eastAsia="Times New Roman"/>
          <w:lang w:val="fr-FR"/>
        </w:rPr>
        <w:t xml:space="preserve">afin d’atteindre les </w:t>
      </w:r>
      <w:r w:rsidRPr="006B2D93">
        <w:rPr>
          <w:rFonts w:eastAsia="Times New Roman"/>
          <w:lang w:val="fr-FR"/>
        </w:rPr>
        <w:t>trois objectifs de la Convention sur la diversité biologique</w:t>
      </w:r>
      <w:r w:rsidR="004815B8">
        <w:rPr>
          <w:rStyle w:val="FootnoteReference"/>
          <w:rFonts w:eastAsia="Times New Roman"/>
          <w:lang w:val="fr-FR"/>
        </w:rPr>
        <w:footnoteReference w:id="7"/>
      </w:r>
      <w:r w:rsidRPr="006B2D93">
        <w:rPr>
          <w:rFonts w:eastAsia="Times New Roman"/>
          <w:lang w:val="fr-FR"/>
        </w:rPr>
        <w:t xml:space="preserve"> et </w:t>
      </w:r>
      <w:r w:rsidR="00BB4CBD">
        <w:rPr>
          <w:rFonts w:eastAsia="Times New Roman"/>
          <w:lang w:val="fr-FR"/>
        </w:rPr>
        <w:t xml:space="preserve">de mettre en œuvre le </w:t>
      </w:r>
      <w:r w:rsidRPr="006B2D93">
        <w:rPr>
          <w:rFonts w:eastAsia="Times New Roman"/>
          <w:lang w:val="fr-FR"/>
        </w:rPr>
        <w:t>Cadre mondial de la biodiversité de Kunming-Montréal</w:t>
      </w:r>
      <w:r w:rsidR="004815B8">
        <w:rPr>
          <w:rStyle w:val="FootnoteReference"/>
          <w:rFonts w:eastAsia="Times New Roman"/>
          <w:lang w:val="fr-FR"/>
        </w:rPr>
        <w:footnoteReference w:id="8"/>
      </w:r>
      <w:r w:rsidRPr="006B2D93">
        <w:rPr>
          <w:rFonts w:eastAsia="Times New Roman"/>
          <w:lang w:val="fr-FR"/>
        </w:rPr>
        <w:t xml:space="preserve"> dans le </w:t>
      </w:r>
      <w:r w:rsidR="00BB4CBD">
        <w:rPr>
          <w:rFonts w:eastAsia="Times New Roman"/>
          <w:lang w:val="fr-FR"/>
        </w:rPr>
        <w:t>contexte</w:t>
      </w:r>
      <w:r w:rsidRPr="006B2D93">
        <w:rPr>
          <w:rFonts w:eastAsia="Times New Roman"/>
          <w:lang w:val="fr-FR"/>
        </w:rPr>
        <w:t xml:space="preserve"> de la biologie de synthèse</w:t>
      </w:r>
      <w:r w:rsidRPr="006B2D93">
        <w:rPr>
          <w:rStyle w:val="FootnoteReference"/>
          <w:rFonts w:asciiTheme="majorBidi" w:hAnsiTheme="majorBidi" w:cstheme="majorBidi"/>
          <w:lang w:val="fr-FR"/>
        </w:rPr>
        <w:footnoteReference w:id="9"/>
      </w:r>
      <w:r w:rsidRPr="006B2D93">
        <w:rPr>
          <w:rFonts w:eastAsia="Times New Roman"/>
          <w:lang w:val="fr-FR"/>
        </w:rPr>
        <w:t>.</w:t>
      </w:r>
    </w:p>
    <w:p w14:paraId="5CAAFEF6" w14:textId="643F79E2" w:rsidR="008D2AA7" w:rsidRPr="006B2D93" w:rsidRDefault="00062144" w:rsidP="00DC2F7D">
      <w:pPr>
        <w:pStyle w:val="CBDNormalNumber"/>
        <w:numPr>
          <w:ilvl w:val="0"/>
          <w:numId w:val="8"/>
        </w:numPr>
        <w:ind w:left="1134"/>
        <w:rPr>
          <w:rFonts w:asciiTheme="majorBidi" w:hAnsiTheme="majorBidi" w:cstheme="majorBidi"/>
          <w:lang w:val="fr-FR"/>
        </w:rPr>
      </w:pPr>
      <w:r w:rsidRPr="006B2D93">
        <w:rPr>
          <w:rFonts w:eastAsia="Times New Roman"/>
          <w:lang w:val="fr-FR"/>
        </w:rPr>
        <w:t>Conformément à la décision </w:t>
      </w:r>
      <w:hyperlink r:id="rId22">
        <w:r w:rsidRPr="006B2D93">
          <w:rPr>
            <w:rFonts w:eastAsia="Times New Roman"/>
            <w:color w:val="0000FF"/>
            <w:u w:val="single"/>
            <w:lang w:val="fr-FR"/>
          </w:rPr>
          <w:t>16/21</w:t>
        </w:r>
      </w:hyperlink>
      <w:r w:rsidR="006B2D93" w:rsidRPr="006B2D93">
        <w:rPr>
          <w:lang w:val="fr-FR"/>
        </w:rPr>
        <w:t xml:space="preserve"> du 1</w:t>
      </w:r>
      <w:r w:rsidR="006B2D93" w:rsidRPr="006B2D93">
        <w:rPr>
          <w:vertAlign w:val="superscript"/>
          <w:lang w:val="fr-FR"/>
        </w:rPr>
        <w:t>er</w:t>
      </w:r>
      <w:r w:rsidR="00C57D56">
        <w:rPr>
          <w:lang w:val="fr-FR"/>
        </w:rPr>
        <w:t> </w:t>
      </w:r>
      <w:r w:rsidR="006B2D93">
        <w:rPr>
          <w:lang w:val="fr-FR"/>
        </w:rPr>
        <w:t>novembre 2024,</w:t>
      </w:r>
      <w:r w:rsidRPr="006B2D93">
        <w:rPr>
          <w:rFonts w:eastAsia="Times New Roman"/>
          <w:lang w:val="fr-FR"/>
        </w:rPr>
        <w:t xml:space="preserve"> le plan d’action thématique a été élaboré en tenant compte </w:t>
      </w:r>
      <w:r w:rsidR="006B2D93">
        <w:rPr>
          <w:rFonts w:eastAsia="Times New Roman"/>
          <w:lang w:val="fr-FR"/>
        </w:rPr>
        <w:t>de ce qui suit</w:t>
      </w:r>
      <w:r w:rsidRPr="006B2D93">
        <w:rPr>
          <w:rFonts w:eastAsia="Times New Roman"/>
          <w:lang w:val="fr-FR"/>
        </w:rPr>
        <w:t> :</w:t>
      </w:r>
    </w:p>
    <w:p w14:paraId="5CAAFEF7" w14:textId="66A1CA71" w:rsidR="008D2AA7" w:rsidRPr="006B2D93" w:rsidRDefault="00062144" w:rsidP="00DC2F7D">
      <w:pPr>
        <w:pStyle w:val="CBDNormalNumber"/>
        <w:numPr>
          <w:ilvl w:val="1"/>
          <w:numId w:val="8"/>
        </w:numPr>
        <w:ind w:left="1134"/>
        <w:rPr>
          <w:rFonts w:asciiTheme="majorBidi" w:hAnsiTheme="majorBidi" w:cstheme="majorBidi"/>
          <w:lang w:val="fr-FR"/>
        </w:rPr>
      </w:pPr>
      <w:r w:rsidRPr="006B2D93">
        <w:rPr>
          <w:rFonts w:eastAsia="Times New Roman"/>
          <w:lang w:val="fr-FR"/>
        </w:rPr>
        <w:t>Les besoins spécifiques des Parties et des peuples autochtones et communautés locales</w:t>
      </w:r>
      <w:r w:rsidR="004815B8">
        <w:rPr>
          <w:rStyle w:val="FootnoteReference"/>
          <w:rFonts w:eastAsia="Times New Roman"/>
          <w:lang w:val="fr-FR"/>
        </w:rPr>
        <w:footnoteReference w:id="10"/>
      </w:r>
      <w:r w:rsidR="000D5FA5">
        <w:rPr>
          <w:rFonts w:eastAsia="Times New Roman"/>
          <w:lang w:val="fr-FR"/>
        </w:rPr>
        <w:t>,</w:t>
      </w:r>
      <w:r w:rsidRPr="006B2D93">
        <w:rPr>
          <w:rFonts w:eastAsia="Times New Roman"/>
          <w:lang w:val="fr-FR"/>
        </w:rPr>
        <w:t xml:space="preserve"> </w:t>
      </w:r>
      <w:r w:rsidR="006B2D93">
        <w:rPr>
          <w:rFonts w:eastAsia="Times New Roman"/>
          <w:lang w:val="fr-FR"/>
        </w:rPr>
        <w:t>afin de compléter le</w:t>
      </w:r>
      <w:r w:rsidRPr="006B2D93">
        <w:rPr>
          <w:rFonts w:eastAsia="Times New Roman"/>
          <w:lang w:val="fr-FR"/>
        </w:rPr>
        <w:t xml:space="preserve"> plan d’action de renforcement des capacités pour le Protocole de Cartagena sur la prévention des risques biotechnologiques</w:t>
      </w:r>
      <w:r w:rsidRPr="006B2D93">
        <w:rPr>
          <w:rStyle w:val="FootnoteReference"/>
          <w:rFonts w:asciiTheme="majorBidi" w:hAnsiTheme="majorBidi" w:cstheme="majorBidi"/>
          <w:lang w:val="fr-FR"/>
        </w:rPr>
        <w:footnoteReference w:id="11"/>
      </w:r>
      <w:r w:rsidR="004815B8" w:rsidRPr="004815B8">
        <w:rPr>
          <w:rFonts w:eastAsia="Times New Roman"/>
          <w:vertAlign w:val="superscript"/>
          <w:lang w:val="fr-FR"/>
        </w:rPr>
        <w:t>,</w:t>
      </w:r>
      <w:r w:rsidR="004815B8">
        <w:rPr>
          <w:rStyle w:val="FootnoteReference"/>
          <w:rFonts w:eastAsia="Times New Roman"/>
          <w:lang w:val="fr-FR"/>
        </w:rPr>
        <w:footnoteReference w:id="12"/>
      </w:r>
      <w:r w:rsidRPr="006B2D93">
        <w:rPr>
          <w:rFonts w:eastAsia="Times New Roman"/>
          <w:vertAlign w:val="superscript"/>
          <w:lang w:val="fr-FR"/>
        </w:rPr>
        <w:t> </w:t>
      </w:r>
      <w:r w:rsidRPr="006B2D93">
        <w:rPr>
          <w:rFonts w:eastAsia="Times New Roman"/>
          <w:lang w:val="fr-FR"/>
        </w:rPr>
        <w:t>;</w:t>
      </w:r>
    </w:p>
    <w:p w14:paraId="5CAAFEF8" w14:textId="3DAC163B" w:rsidR="008D2AA7" w:rsidRPr="006B2D93" w:rsidRDefault="000D5FA5" w:rsidP="00DC2F7D">
      <w:pPr>
        <w:pStyle w:val="CBDNormalNumber"/>
        <w:numPr>
          <w:ilvl w:val="1"/>
          <w:numId w:val="8"/>
        </w:numPr>
        <w:ind w:left="1134"/>
        <w:rPr>
          <w:rFonts w:asciiTheme="majorBidi" w:hAnsiTheme="majorBidi" w:cstheme="majorBidi"/>
          <w:lang w:val="fr-FR"/>
        </w:rPr>
      </w:pPr>
      <w:r>
        <w:rPr>
          <w:rFonts w:eastAsia="Times New Roman"/>
          <w:lang w:val="fr-FR"/>
        </w:rPr>
        <w:t>Le recensement</w:t>
      </w:r>
      <w:r w:rsidR="00062144" w:rsidRPr="006B2D93">
        <w:rPr>
          <w:rFonts w:eastAsia="Times New Roman"/>
          <w:lang w:val="fr-FR"/>
        </w:rPr>
        <w:t xml:space="preserve"> des domaines dans lesquels la création et le renforcement des capacités, l’accès aux technologies et leur transfert, ainsi que le partage des connaissances, sont nécessaires pour la recherche et le développement ainsi que pour l</w:t>
      </w:r>
      <w:r w:rsidR="004815B8">
        <w:rPr>
          <w:rFonts w:eastAsia="Times New Roman"/>
          <w:lang w:val="fr-FR"/>
        </w:rPr>
        <w:t xml:space="preserve">es </w:t>
      </w:r>
      <w:r w:rsidR="00062144" w:rsidRPr="006B2D93">
        <w:rPr>
          <w:rFonts w:eastAsia="Times New Roman"/>
          <w:lang w:val="fr-FR"/>
        </w:rPr>
        <w:t>évaluation</w:t>
      </w:r>
      <w:r w:rsidR="004815B8">
        <w:rPr>
          <w:rFonts w:eastAsia="Times New Roman"/>
          <w:lang w:val="fr-FR"/>
        </w:rPr>
        <w:t>s</w:t>
      </w:r>
      <w:r w:rsidR="00062144" w:rsidRPr="006B2D93">
        <w:rPr>
          <w:rFonts w:eastAsia="Times New Roman"/>
          <w:lang w:val="fr-FR"/>
        </w:rPr>
        <w:t xml:space="preserve"> dans le domaine de la biologie de synthèse ;</w:t>
      </w:r>
    </w:p>
    <w:p w14:paraId="5CAAFEF9" w14:textId="5EDAEAE5" w:rsidR="008D2AA7" w:rsidRPr="006B2D93" w:rsidRDefault="000D5FA5" w:rsidP="00DC2F7D">
      <w:pPr>
        <w:pStyle w:val="CBDNormalNumber"/>
        <w:numPr>
          <w:ilvl w:val="1"/>
          <w:numId w:val="8"/>
        </w:numPr>
        <w:ind w:left="1134"/>
        <w:rPr>
          <w:rFonts w:asciiTheme="majorBidi" w:hAnsiTheme="majorBidi" w:cstheme="majorBidi"/>
          <w:lang w:val="fr-FR"/>
        </w:rPr>
      </w:pPr>
      <w:r>
        <w:rPr>
          <w:rFonts w:eastAsia="Times New Roman"/>
          <w:lang w:val="fr-FR"/>
        </w:rPr>
        <w:t>L</w:t>
      </w:r>
      <w:r w:rsidR="00062144" w:rsidRPr="006B2D93">
        <w:rPr>
          <w:rFonts w:eastAsia="Times New Roman"/>
          <w:lang w:val="fr-FR"/>
        </w:rPr>
        <w:t xml:space="preserve">es stratégies visant à faciliter la participation équitable des pays en développement Parties, des peuples autochtones et communautés locales, des femmes, des </w:t>
      </w:r>
      <w:r w:rsidR="00062144" w:rsidRPr="006B2D93">
        <w:rPr>
          <w:rFonts w:eastAsia="Times New Roman"/>
          <w:lang w:val="fr-FR"/>
        </w:rPr>
        <w:lastRenderedPageBreak/>
        <w:t>jeunes, des milieux universitaires, du secteur des entreprises et des institutions concernées à la recherche et au développement dans le domaine de la biologie de synthèse ;</w:t>
      </w:r>
    </w:p>
    <w:p w14:paraId="5CAAFEFA" w14:textId="0497B439" w:rsidR="008D2AA7" w:rsidRPr="006B2D93" w:rsidRDefault="000D5FA5" w:rsidP="00DC2F7D">
      <w:pPr>
        <w:pStyle w:val="CBDNormalNumber"/>
        <w:numPr>
          <w:ilvl w:val="1"/>
          <w:numId w:val="8"/>
        </w:numPr>
        <w:ind w:left="1134"/>
        <w:rPr>
          <w:rFonts w:asciiTheme="majorBidi" w:hAnsiTheme="majorBidi" w:cstheme="majorBidi"/>
          <w:lang w:val="fr-FR"/>
        </w:rPr>
      </w:pPr>
      <w:r>
        <w:rPr>
          <w:rFonts w:eastAsia="Times New Roman"/>
          <w:lang w:val="fr-FR"/>
        </w:rPr>
        <w:t>L</w:t>
      </w:r>
      <w:r w:rsidR="00062144" w:rsidRPr="006B2D93">
        <w:rPr>
          <w:rFonts w:eastAsia="Times New Roman"/>
          <w:lang w:val="fr-FR"/>
        </w:rPr>
        <w:t>es stratégies visant à promouvoir le partage juste et équitable des avantages découlant de la biologie de synthèse, conformément aux articles 16 et 19 de la Convention et au Cadre ;</w:t>
      </w:r>
    </w:p>
    <w:p w14:paraId="5CAAFEFB" w14:textId="74AAFDE3" w:rsidR="008D2AA7" w:rsidRPr="006B2D93" w:rsidRDefault="000D5FA5" w:rsidP="00DC2F7D">
      <w:pPr>
        <w:pStyle w:val="CBDNormalNumber"/>
        <w:numPr>
          <w:ilvl w:val="1"/>
          <w:numId w:val="8"/>
        </w:numPr>
        <w:ind w:left="1134"/>
        <w:rPr>
          <w:rFonts w:asciiTheme="majorBidi" w:hAnsiTheme="majorBidi" w:cstheme="majorBidi"/>
          <w:lang w:val="fr-FR"/>
        </w:rPr>
      </w:pPr>
      <w:r>
        <w:rPr>
          <w:rFonts w:eastAsia="Times New Roman"/>
          <w:lang w:val="fr-FR"/>
        </w:rPr>
        <w:t>L</w:t>
      </w:r>
      <w:r w:rsidR="00062144" w:rsidRPr="006B2D93">
        <w:rPr>
          <w:rFonts w:eastAsia="Times New Roman"/>
          <w:lang w:val="fr-FR"/>
        </w:rPr>
        <w:t>es mécanismes de transfert de technologies, de partage des connaissances et de coopération technique et scientifique internationale visant à favoriser l’innovation, conformément aux articles 16 et 18 de la Convention et au Cadre.</w:t>
      </w:r>
    </w:p>
    <w:p w14:paraId="5CAAFEFC" w14:textId="77777777" w:rsidR="008D2AA7" w:rsidRPr="006B2D93" w:rsidRDefault="00062144" w:rsidP="00742C43">
      <w:pPr>
        <w:pStyle w:val="CBDH1"/>
        <w:ind w:left="1134"/>
        <w:rPr>
          <w:rFonts w:asciiTheme="majorBidi" w:hAnsiTheme="majorBidi" w:cstheme="majorBidi"/>
          <w:sz w:val="24"/>
          <w:szCs w:val="20"/>
          <w:lang w:val="fr-FR"/>
        </w:rPr>
      </w:pPr>
      <w:r w:rsidRPr="006B2D93">
        <w:rPr>
          <w:rFonts w:eastAsia="Times New Roman"/>
          <w:bCs/>
          <w:sz w:val="24"/>
          <w:szCs w:val="24"/>
          <w:lang w:val="fr-FR"/>
        </w:rPr>
        <w:t>II.</w:t>
      </w:r>
      <w:r w:rsidRPr="006B2D93">
        <w:rPr>
          <w:rFonts w:eastAsia="Times New Roman"/>
          <w:bCs/>
          <w:sz w:val="24"/>
          <w:szCs w:val="24"/>
          <w:lang w:val="fr-FR"/>
        </w:rPr>
        <w:tab/>
        <w:t>Structure</w:t>
      </w:r>
    </w:p>
    <w:p w14:paraId="5CAAFEFD" w14:textId="18DC63C7" w:rsidR="008D2AA7" w:rsidRPr="006B2D93" w:rsidRDefault="004815B8" w:rsidP="00DC2F7D">
      <w:pPr>
        <w:pStyle w:val="CBDNormalNumber"/>
        <w:numPr>
          <w:ilvl w:val="0"/>
          <w:numId w:val="8"/>
        </w:numPr>
        <w:ind w:left="1134"/>
        <w:rPr>
          <w:rFonts w:asciiTheme="majorBidi" w:hAnsiTheme="majorBidi" w:cstheme="majorBidi"/>
          <w:lang w:val="fr-FR"/>
        </w:rPr>
      </w:pPr>
      <w:r>
        <w:rPr>
          <w:rFonts w:eastAsia="Times New Roman"/>
          <w:lang w:val="fr-FR"/>
        </w:rPr>
        <w:t xml:space="preserve">Le tableau ci-après </w:t>
      </w:r>
      <w:r w:rsidR="000D5FA5">
        <w:rPr>
          <w:rFonts w:eastAsia="Times New Roman"/>
          <w:lang w:val="fr-FR"/>
        </w:rPr>
        <w:t>présente</w:t>
      </w:r>
      <w:r w:rsidR="00062144" w:rsidRPr="006B2D93">
        <w:rPr>
          <w:rFonts w:eastAsia="Times New Roman"/>
          <w:lang w:val="fr-FR"/>
        </w:rPr>
        <w:t xml:space="preserve"> les domaines de réalisation et les mesures stratégiques indicatives du plan d’action thématique. Les trois domaines de réalisation sont les suivants :</w:t>
      </w:r>
    </w:p>
    <w:p w14:paraId="5CAAFEFE" w14:textId="77777777" w:rsidR="008D2AA7" w:rsidRPr="006B2D93" w:rsidRDefault="00062144" w:rsidP="00DC2F7D">
      <w:pPr>
        <w:pStyle w:val="CBDNormalNumber"/>
        <w:numPr>
          <w:ilvl w:val="1"/>
          <w:numId w:val="8"/>
        </w:numPr>
        <w:ind w:left="1134"/>
        <w:rPr>
          <w:rFonts w:asciiTheme="majorBidi" w:hAnsiTheme="majorBidi" w:cstheme="majorBidi"/>
          <w:lang w:val="fr-FR"/>
        </w:rPr>
      </w:pPr>
      <w:r w:rsidRPr="006B2D93">
        <w:rPr>
          <w:rFonts w:eastAsia="Times New Roman"/>
          <w:lang w:val="fr-FR"/>
        </w:rPr>
        <w:t>Renforcement des capacités en matière de recherche et développement ainsi que d’évaluation dans le domaine de la biologie de synthèse ;</w:t>
      </w:r>
    </w:p>
    <w:p w14:paraId="5CAAFEFF" w14:textId="77777777" w:rsidR="008D2AA7" w:rsidRPr="006B2D93" w:rsidRDefault="00062144" w:rsidP="00DC2F7D">
      <w:pPr>
        <w:pStyle w:val="CBDNormalNumber"/>
        <w:numPr>
          <w:ilvl w:val="1"/>
          <w:numId w:val="8"/>
        </w:numPr>
        <w:ind w:left="1134"/>
        <w:rPr>
          <w:rFonts w:asciiTheme="majorBidi" w:hAnsiTheme="majorBidi" w:cstheme="majorBidi"/>
          <w:lang w:val="fr-FR"/>
        </w:rPr>
      </w:pPr>
      <w:r w:rsidRPr="006B2D93">
        <w:rPr>
          <w:rFonts w:eastAsia="Times New Roman"/>
          <w:lang w:val="fr-FR"/>
        </w:rPr>
        <w:t xml:space="preserve">Amélioration de l’accès aux technologies liées à la biologie de synthèse et de leur transfert ; </w:t>
      </w:r>
    </w:p>
    <w:p w14:paraId="5CAAFF00" w14:textId="663E6139" w:rsidR="008D2AA7" w:rsidRPr="006B2D93" w:rsidRDefault="000D5FA5" w:rsidP="00DC2F7D">
      <w:pPr>
        <w:pStyle w:val="CBDNormalNumber"/>
        <w:numPr>
          <w:ilvl w:val="1"/>
          <w:numId w:val="8"/>
        </w:numPr>
        <w:ind w:left="1134"/>
        <w:rPr>
          <w:rFonts w:asciiTheme="majorBidi" w:hAnsiTheme="majorBidi" w:cstheme="majorBidi"/>
          <w:lang w:val="fr-FR"/>
        </w:rPr>
      </w:pPr>
      <w:r>
        <w:rPr>
          <w:rFonts w:eastAsia="Times New Roman"/>
          <w:lang w:val="fr-FR"/>
        </w:rPr>
        <w:t>Intensification du</w:t>
      </w:r>
      <w:r w:rsidR="00062144" w:rsidRPr="006B2D93">
        <w:rPr>
          <w:rFonts w:eastAsia="Times New Roman"/>
          <w:lang w:val="fr-FR"/>
        </w:rPr>
        <w:t xml:space="preserve"> partage des connaissances sur la biologie de synthèse, notamment en ce qui concerne son développement, son évaluation, sa gouvernance et sa réglementation.</w:t>
      </w:r>
    </w:p>
    <w:p w14:paraId="5CAAFF01" w14:textId="77777777" w:rsidR="008D2AA7" w:rsidRPr="006B2D93" w:rsidRDefault="00062144" w:rsidP="00DC2F7D">
      <w:pPr>
        <w:pStyle w:val="CBDNormalNumber"/>
        <w:numPr>
          <w:ilvl w:val="0"/>
          <w:numId w:val="8"/>
        </w:numPr>
        <w:ind w:left="1134"/>
        <w:rPr>
          <w:lang w:val="fr-FR"/>
        </w:rPr>
      </w:pPr>
      <w:r w:rsidRPr="006B2D93">
        <w:rPr>
          <w:rFonts w:eastAsia="Times New Roman"/>
          <w:lang w:val="fr-FR"/>
        </w:rPr>
        <w:t>Les stratégies visant à faciliter une participation équitable dans le domaine de la biologie de synthèse ; les stratégies visant à promouvoir le partage juste et équitable des avantages découlant de la biologie de synthèse, conformément aux articles 16 et 19 de la Convention ; ainsi que les mécanismes de transfert de technologies, de partage des connaissances et de coopération scientifique destinés à favoriser l’innovation, conformément aux articles 16 et 18 de la Convention, ont été intégrés dans les trois domaines de réalisation.</w:t>
      </w:r>
    </w:p>
    <w:p w14:paraId="5CAAFF02" w14:textId="77777777" w:rsidR="008D2AA7" w:rsidRPr="006B2D93" w:rsidRDefault="00062144" w:rsidP="00DC2F7D">
      <w:pPr>
        <w:pStyle w:val="CBDNormalNumber"/>
        <w:numPr>
          <w:ilvl w:val="0"/>
          <w:numId w:val="8"/>
        </w:numPr>
        <w:ind w:left="1134"/>
        <w:rPr>
          <w:rFonts w:asciiTheme="majorBidi" w:hAnsiTheme="majorBidi" w:cstheme="majorBidi"/>
          <w:lang w:val="fr-FR"/>
        </w:rPr>
      </w:pPr>
      <w:r w:rsidRPr="006B2D93">
        <w:rPr>
          <w:rFonts w:eastAsia="Times New Roman"/>
          <w:lang w:val="fr-FR"/>
        </w:rPr>
        <w:t>Le cas échéant, et afin d’éviter les doubles emplois, le plan d’action thématique fait référence aux autres plans d’action élaborés dans le cadre de la Convention et de ses Protocoles, ainsi qu’aux documents et ressources pertinents élaborés par d’autres organisations intergouvernementales.</w:t>
      </w:r>
    </w:p>
    <w:p w14:paraId="5CAAFF03" w14:textId="77777777" w:rsidR="008D2AA7" w:rsidRPr="006B2D93" w:rsidRDefault="00062144" w:rsidP="00742C43">
      <w:pPr>
        <w:pStyle w:val="CBDH1"/>
        <w:ind w:left="1134"/>
        <w:rPr>
          <w:rFonts w:asciiTheme="majorBidi" w:hAnsiTheme="majorBidi" w:cstheme="majorBidi"/>
          <w:lang w:val="fr-FR"/>
        </w:rPr>
      </w:pPr>
      <w:r w:rsidRPr="006B2D93">
        <w:rPr>
          <w:rFonts w:eastAsia="Times New Roman"/>
          <w:bCs/>
          <w:sz w:val="24"/>
          <w:szCs w:val="24"/>
          <w:lang w:val="fr-FR"/>
        </w:rPr>
        <w:t>III.</w:t>
      </w:r>
      <w:r w:rsidRPr="006B2D93">
        <w:rPr>
          <w:rFonts w:eastAsia="Times New Roman"/>
          <w:bCs/>
          <w:sz w:val="24"/>
          <w:szCs w:val="24"/>
          <w:lang w:val="fr-FR"/>
        </w:rPr>
        <w:tab/>
        <w:t>Lien avec la Convention sur la diversité biologique, le Cadre mondial de la biodiversité de Kunming-Montréal et les plans existants</w:t>
      </w:r>
    </w:p>
    <w:p w14:paraId="5CAAFF04" w14:textId="25CC31E2" w:rsidR="008D2AA7" w:rsidRPr="006B2D93" w:rsidRDefault="00062144" w:rsidP="00DC2F7D">
      <w:pPr>
        <w:pStyle w:val="CBDNormalNumber"/>
        <w:numPr>
          <w:ilvl w:val="0"/>
          <w:numId w:val="8"/>
        </w:numPr>
        <w:ind w:left="1134"/>
        <w:rPr>
          <w:rFonts w:asciiTheme="majorBidi" w:hAnsiTheme="majorBidi" w:cstheme="majorBidi"/>
          <w:lang w:val="fr-FR"/>
        </w:rPr>
      </w:pPr>
      <w:r w:rsidRPr="006B2D93">
        <w:rPr>
          <w:rFonts w:eastAsia="Times New Roman"/>
          <w:lang w:val="fr-FR"/>
        </w:rPr>
        <w:t xml:space="preserve">Le plan d’action thématique a été élaboré afin d’aider les Parties et les autres parties prenantes à réaliser, dans le domaine de la biologie de synthèse, les trois objectifs de la Convention, à savoir la conservation de la diversité biologique, l’utilisation durable de ses éléments constitutifs et le partage juste et équitable des avantages découlant de l’utilisation des ressources génétiques. Ce plan pourrait donc contribuer à réduire au minimum les effets négatifs potentiels sur la diversité biologique (articles 7 c), 8 g), et 14 de la Convention), tout en facilitant l’accès aux technologies et leur transfert, la coopération scientifique et technique, ainsi que le partage des avantages découlant de la biotechnologie fondée sur les ressources génétiques (articles 16, 18 et 19). </w:t>
      </w:r>
      <w:r w:rsidRPr="006B2D93">
        <w:rPr>
          <w:rFonts w:eastAsia="Times New Roman"/>
          <w:color w:val="1D1D1D"/>
          <w:lang w:val="fr-FR"/>
        </w:rPr>
        <w:t>Ce plan peut également contribuer à la mise en œuvre des objectifs et cibles du Cadre, en particulier les cibles</w:t>
      </w:r>
      <w:r w:rsidR="00C57D56">
        <w:rPr>
          <w:rFonts w:eastAsia="Times New Roman"/>
          <w:color w:val="1D1D1D"/>
          <w:lang w:val="fr-FR"/>
        </w:rPr>
        <w:t> </w:t>
      </w:r>
      <w:r w:rsidRPr="006B2D93">
        <w:rPr>
          <w:rFonts w:eastAsia="Times New Roman"/>
          <w:color w:val="1D1D1D"/>
          <w:lang w:val="fr-FR"/>
        </w:rPr>
        <w:t xml:space="preserve">2, 4, 6, 7, 8, 9, 10, 11, 13, 16, 17, 19, 20, 21, 22 et 23, le cas échéant et en complément d’autres mesures susceptibles de contribuer à leur réalisation. </w:t>
      </w:r>
    </w:p>
    <w:p w14:paraId="5CAAFF05" w14:textId="29FC192B" w:rsidR="008D2AA7" w:rsidRPr="006B2D93" w:rsidRDefault="00062144" w:rsidP="00DC2F7D">
      <w:pPr>
        <w:pStyle w:val="CBDNormalNumber"/>
        <w:numPr>
          <w:ilvl w:val="0"/>
          <w:numId w:val="8"/>
        </w:numPr>
        <w:ind w:left="1134"/>
        <w:rPr>
          <w:lang w:val="fr-FR"/>
        </w:rPr>
      </w:pPr>
      <w:r w:rsidRPr="006B2D93">
        <w:rPr>
          <w:rFonts w:eastAsia="Times New Roman"/>
          <w:lang w:val="fr-FR"/>
        </w:rPr>
        <w:t xml:space="preserve">En outre, le plan d’action thématique est complémentaire au plan d’action de renforcement des capacités pour le Protocole de Cartagena et le plan d’action de création et de renforcement des capacités pour le Protocole de Nagoya sur l’accès aux ressources génétiques </w:t>
      </w:r>
      <w:r w:rsidRPr="006B2D93">
        <w:rPr>
          <w:rFonts w:eastAsia="Times New Roman"/>
          <w:lang w:val="fr-FR"/>
        </w:rPr>
        <w:lastRenderedPageBreak/>
        <w:t>et le partage juste et équitable des avantages découlant de leur utilisation</w:t>
      </w:r>
      <w:r w:rsidR="004815B8">
        <w:rPr>
          <w:rStyle w:val="FootnoteReference"/>
          <w:rFonts w:eastAsia="Times New Roman"/>
          <w:lang w:val="fr-FR"/>
        </w:rPr>
        <w:footnoteReference w:id="13"/>
      </w:r>
      <w:r w:rsidR="004815B8">
        <w:rPr>
          <w:rFonts w:eastAsia="Times New Roman"/>
          <w:vertAlign w:val="superscript"/>
          <w:lang w:val="fr-FR"/>
        </w:rPr>
        <w:t>,</w:t>
      </w:r>
      <w:r w:rsidR="004815B8">
        <w:rPr>
          <w:rStyle w:val="FootnoteReference"/>
          <w:rFonts w:eastAsia="Times New Roman"/>
          <w:lang w:val="fr-FR"/>
        </w:rPr>
        <w:footnoteReference w:id="14"/>
      </w:r>
      <w:r w:rsidRPr="006B2D93">
        <w:rPr>
          <w:rFonts w:eastAsia="Times New Roman"/>
          <w:lang w:val="fr-FR"/>
        </w:rPr>
        <w:t xml:space="preserve">. Le plan de mise en œuvre du Protocole de Cartagena peut également aider et guider les Parties dans le traitement des questions liées à la prévention des risques biotechnologiques. </w:t>
      </w:r>
    </w:p>
    <w:p w14:paraId="5CAAFF06" w14:textId="77777777" w:rsidR="008D2AA7" w:rsidRPr="006B2D93" w:rsidRDefault="00062144" w:rsidP="00742C43">
      <w:pPr>
        <w:pStyle w:val="CBDH1"/>
        <w:ind w:left="1134"/>
        <w:rPr>
          <w:rFonts w:asciiTheme="majorBidi" w:hAnsiTheme="majorBidi" w:cstheme="majorBidi"/>
          <w:sz w:val="24"/>
          <w:szCs w:val="20"/>
          <w:lang w:val="fr-FR"/>
        </w:rPr>
      </w:pPr>
      <w:r w:rsidRPr="006B2D93">
        <w:rPr>
          <w:rFonts w:eastAsia="Times New Roman"/>
          <w:bCs/>
          <w:sz w:val="24"/>
          <w:szCs w:val="24"/>
          <w:lang w:val="fr-FR"/>
        </w:rPr>
        <w:t>IV</w:t>
      </w:r>
      <w:r w:rsidRPr="006B2D93">
        <w:rPr>
          <w:rFonts w:eastAsia="Times New Roman"/>
          <w:bCs/>
          <w:szCs w:val="28"/>
          <w:lang w:val="fr-FR"/>
        </w:rPr>
        <w:t>.</w:t>
      </w:r>
      <w:r w:rsidRPr="006B2D93">
        <w:rPr>
          <w:rFonts w:eastAsia="Times New Roman"/>
          <w:bCs/>
          <w:szCs w:val="28"/>
          <w:lang w:val="fr-FR"/>
        </w:rPr>
        <w:tab/>
      </w:r>
      <w:r w:rsidRPr="006B2D93">
        <w:rPr>
          <w:rFonts w:eastAsia="Times New Roman"/>
          <w:bCs/>
          <w:sz w:val="24"/>
          <w:szCs w:val="24"/>
          <w:lang w:val="fr-FR"/>
        </w:rPr>
        <w:t>Utilisation du plan d’action thématique</w:t>
      </w:r>
    </w:p>
    <w:p w14:paraId="5CAAFF07" w14:textId="77777777" w:rsidR="008D2AA7" w:rsidRPr="006B2D93" w:rsidRDefault="00062144" w:rsidP="00DC2F7D">
      <w:pPr>
        <w:pStyle w:val="CBDNormalNumber"/>
        <w:numPr>
          <w:ilvl w:val="0"/>
          <w:numId w:val="8"/>
        </w:numPr>
        <w:ind w:left="1134"/>
        <w:rPr>
          <w:lang w:val="fr-FR"/>
        </w:rPr>
      </w:pPr>
      <w:r w:rsidRPr="006B2D93">
        <w:rPr>
          <w:rFonts w:eastAsia="Times New Roman"/>
          <w:lang w:val="fr-FR"/>
        </w:rPr>
        <w:t>Le plan d’action thématique peut être utilisé par tous les acteurs concernés. Les mesures proposées sont facultatives et varieront en fonction du contexte, des priorités et des besoins nationaux, ainsi que du rôle des acteurs concernés. Les mesures à prendre doivent être conformes aux principes directeurs énoncés à la section V ci-dessous.</w:t>
      </w:r>
    </w:p>
    <w:p w14:paraId="5CAAFF08" w14:textId="22231D95" w:rsidR="008D2AA7" w:rsidRPr="006B2D93" w:rsidRDefault="00062144" w:rsidP="00DC2F7D">
      <w:pPr>
        <w:pStyle w:val="CBDNormalNumber"/>
        <w:numPr>
          <w:ilvl w:val="0"/>
          <w:numId w:val="8"/>
        </w:numPr>
        <w:ind w:left="1134"/>
        <w:rPr>
          <w:rFonts w:asciiTheme="majorBidi" w:hAnsiTheme="majorBidi" w:cstheme="majorBidi"/>
          <w:lang w:val="fr-FR"/>
        </w:rPr>
      </w:pPr>
      <w:r w:rsidRPr="006B2D93">
        <w:rPr>
          <w:rFonts w:eastAsia="Times New Roman"/>
          <w:lang w:val="fr-FR"/>
        </w:rPr>
        <w:t xml:space="preserve">Afin de garantir une mise en œuvre efficace, il est recommandé d’adopter une approche par étapes, en commençant par </w:t>
      </w:r>
      <w:r w:rsidR="008467BB">
        <w:rPr>
          <w:rFonts w:eastAsia="Times New Roman"/>
          <w:lang w:val="fr-FR"/>
        </w:rPr>
        <w:t>le recensement</w:t>
      </w:r>
      <w:r w:rsidRPr="006B2D93">
        <w:rPr>
          <w:rFonts w:eastAsia="Times New Roman"/>
          <w:lang w:val="fr-FR"/>
        </w:rPr>
        <w:t xml:space="preserve"> des besoins et des priorités en matière de recherche et développement, d’accès aux technologies et de transfert de celles-ci, de réglementation, d’évaluation, de surveillance et de partage des connaissances dans le domaine de la biologie de synthèse, qui présentent un intérêt pour la mise en œuvre de la Convention et du Cadre. En fonction de la situation nationale et du contexte organisationnel, les activités peuvent alors être classées par ordre de priorité afin de répondre aux besoins </w:t>
      </w:r>
      <w:r w:rsidR="008467BB">
        <w:rPr>
          <w:rFonts w:eastAsia="Times New Roman"/>
          <w:lang w:val="fr-FR"/>
        </w:rPr>
        <w:t>recensés</w:t>
      </w:r>
      <w:r w:rsidRPr="006B2D93">
        <w:rPr>
          <w:rFonts w:eastAsia="Times New Roman"/>
          <w:lang w:val="fr-FR"/>
        </w:rPr>
        <w:t xml:space="preserve"> (voir domaine de réalisation 1, résultat 1.1).</w:t>
      </w:r>
    </w:p>
    <w:p w14:paraId="5CAAFF09" w14:textId="329CF424" w:rsidR="008D2AA7" w:rsidRPr="006B2D93" w:rsidRDefault="00062144" w:rsidP="00DC2F7D">
      <w:pPr>
        <w:pStyle w:val="CBDNormalNumber"/>
        <w:numPr>
          <w:ilvl w:val="0"/>
          <w:numId w:val="8"/>
        </w:numPr>
        <w:ind w:left="1134"/>
        <w:rPr>
          <w:lang w:val="fr-FR"/>
        </w:rPr>
      </w:pPr>
      <w:r w:rsidRPr="006B2D93">
        <w:rPr>
          <w:rFonts w:eastAsia="Times New Roman"/>
          <w:lang w:val="fr-FR"/>
        </w:rPr>
        <w:t xml:space="preserve">La mise en œuvre de tout élément pertinent du plan d’action thématique devrait être envisagée à la lumière des activités existantes de création et de renforcement des capacités, des initiatives en matière d’accès à la technologie et de transfert de technologie, ainsi que des efforts de partage des connaissances liés à la prévention des risques biotechnologiques, à l’accès et au partage des avantages, et aux mécanismes de mise en œuvre du Cadre, afin d’éviter tout double emploi. </w:t>
      </w:r>
    </w:p>
    <w:p w14:paraId="5CAAFF0A" w14:textId="339A756A" w:rsidR="008D2AA7" w:rsidRPr="006B2D93" w:rsidRDefault="00062144" w:rsidP="008467BB">
      <w:pPr>
        <w:pStyle w:val="CBDNormalNumber"/>
        <w:numPr>
          <w:ilvl w:val="0"/>
          <w:numId w:val="0"/>
        </w:numPr>
        <w:ind w:left="1134"/>
        <w:rPr>
          <w:lang w:val="fr-FR"/>
        </w:rPr>
      </w:pPr>
      <w:r w:rsidRPr="006B2D93">
        <w:rPr>
          <w:rFonts w:eastAsia="Times New Roman"/>
          <w:lang w:val="fr-FR"/>
        </w:rPr>
        <w:t xml:space="preserve">[11. </w:t>
      </w:r>
      <w:r w:rsidRPr="006B2D93">
        <w:rPr>
          <w:rFonts w:eastAsia="Times New Roman"/>
          <w:lang w:val="fr-FR"/>
        </w:rPr>
        <w:tab/>
        <w:t xml:space="preserve">Les mesures proposées pourraient, si nécessaire, </w:t>
      </w:r>
      <w:r w:rsidR="008467BB">
        <w:rPr>
          <w:rFonts w:eastAsia="Times New Roman"/>
          <w:lang w:val="fr-FR"/>
        </w:rPr>
        <w:t>devenir davantage prioritaires</w:t>
      </w:r>
      <w:r w:rsidRPr="006B2D93">
        <w:rPr>
          <w:rFonts w:eastAsia="Times New Roman"/>
          <w:lang w:val="fr-FR"/>
        </w:rPr>
        <w:t xml:space="preserve"> ou </w:t>
      </w:r>
      <w:r w:rsidR="008467BB">
        <w:rPr>
          <w:rFonts w:eastAsia="Times New Roman"/>
          <w:lang w:val="fr-FR"/>
        </w:rPr>
        <w:t xml:space="preserve">être </w:t>
      </w:r>
      <w:r w:rsidRPr="006B2D93">
        <w:rPr>
          <w:rFonts w:eastAsia="Times New Roman"/>
          <w:lang w:val="fr-FR"/>
        </w:rPr>
        <w:t xml:space="preserve">mises à jour afin de combler les lacunes en matière de capacités, à la lumière des </w:t>
      </w:r>
      <w:r w:rsidR="008467BB">
        <w:rPr>
          <w:rFonts w:eastAsia="Times New Roman"/>
          <w:lang w:val="fr-FR"/>
        </w:rPr>
        <w:t>avancées</w:t>
      </w:r>
      <w:r w:rsidRPr="006B2D93">
        <w:rPr>
          <w:rFonts w:eastAsia="Times New Roman"/>
          <w:lang w:val="fr-FR"/>
        </w:rPr>
        <w:t xml:space="preserve"> futures dans le domaine de la biologie de synthèse [et en fonction des priorités et des </w:t>
      </w:r>
      <w:r w:rsidR="008467BB">
        <w:rPr>
          <w:rFonts w:eastAsia="Times New Roman"/>
          <w:lang w:val="fr-FR"/>
        </w:rPr>
        <w:t>situations</w:t>
      </w:r>
      <w:r w:rsidRPr="006B2D93">
        <w:rPr>
          <w:rFonts w:eastAsia="Times New Roman"/>
          <w:lang w:val="fr-FR"/>
        </w:rPr>
        <w:t xml:space="preserve"> </w:t>
      </w:r>
      <w:r w:rsidR="008467BB">
        <w:rPr>
          <w:rFonts w:eastAsia="Times New Roman"/>
          <w:lang w:val="fr-FR"/>
        </w:rPr>
        <w:t>nationales</w:t>
      </w:r>
      <w:r w:rsidRPr="006B2D93">
        <w:rPr>
          <w:rFonts w:eastAsia="Times New Roman"/>
          <w:lang w:val="fr-FR"/>
        </w:rPr>
        <w:t xml:space="preserve">]. Ces </w:t>
      </w:r>
      <w:r w:rsidR="008467BB">
        <w:rPr>
          <w:rFonts w:eastAsia="Times New Roman"/>
          <w:lang w:val="fr-FR"/>
        </w:rPr>
        <w:t>avancées</w:t>
      </w:r>
      <w:r w:rsidRPr="006B2D93">
        <w:rPr>
          <w:rFonts w:eastAsia="Times New Roman"/>
          <w:lang w:val="fr-FR"/>
        </w:rPr>
        <w:t xml:space="preserve"> futures pourront être </w:t>
      </w:r>
      <w:proofErr w:type="gramStart"/>
      <w:r w:rsidR="00666395">
        <w:rPr>
          <w:rFonts w:eastAsia="Times New Roman"/>
          <w:lang w:val="fr-FR"/>
        </w:rPr>
        <w:t>relevées</w:t>
      </w:r>
      <w:r w:rsidRPr="006B2D93">
        <w:rPr>
          <w:rFonts w:eastAsia="Times New Roman"/>
          <w:lang w:val="fr-FR"/>
        </w:rPr>
        <w:t>[</w:t>
      </w:r>
      <w:proofErr w:type="gramEnd"/>
      <w:r w:rsidRPr="006B2D93">
        <w:rPr>
          <w:rFonts w:eastAsia="Times New Roman"/>
          <w:lang w:val="fr-FR"/>
        </w:rPr>
        <w:t xml:space="preserve">, le cas échéant et sous réserve de la disponibilité des ressources,] grâce [au partage d’informations] [à des activités [coordonnées], </w:t>
      </w:r>
      <w:r w:rsidR="008467BB">
        <w:rPr>
          <w:rFonts w:eastAsia="Times New Roman"/>
          <w:lang w:val="fr-FR"/>
        </w:rPr>
        <w:t>[</w:t>
      </w:r>
      <w:r w:rsidRPr="006B2D93">
        <w:rPr>
          <w:rFonts w:eastAsia="Times New Roman"/>
          <w:lang w:val="fr-FR"/>
        </w:rPr>
        <w:t xml:space="preserve">[de grande envergure et régulières] de veille et d’analyse prospectives], ainsi qu’à la consultation d’experts, </w:t>
      </w:r>
      <w:r w:rsidR="00213132">
        <w:rPr>
          <w:rFonts w:eastAsia="Times New Roman"/>
          <w:lang w:val="fr-FR"/>
        </w:rPr>
        <w:t>au besoin</w:t>
      </w:r>
      <w:r w:rsidRPr="006B2D93">
        <w:rPr>
          <w:rFonts w:eastAsia="Times New Roman"/>
          <w:lang w:val="fr-FR"/>
        </w:rPr>
        <w:t xml:space="preserve">.] </w:t>
      </w:r>
    </w:p>
    <w:p w14:paraId="5CAAFF0B" w14:textId="77777777" w:rsidR="008D2AA7" w:rsidRPr="006B2D93" w:rsidRDefault="00062144" w:rsidP="00742C43">
      <w:pPr>
        <w:pStyle w:val="CBDH1"/>
        <w:ind w:left="1134"/>
        <w:rPr>
          <w:rFonts w:asciiTheme="majorBidi" w:hAnsiTheme="majorBidi" w:cstheme="majorBidi"/>
          <w:lang w:val="fr-FR"/>
        </w:rPr>
      </w:pPr>
      <w:r w:rsidRPr="006B2D93">
        <w:rPr>
          <w:rFonts w:eastAsia="Times New Roman"/>
          <w:bCs/>
          <w:sz w:val="24"/>
          <w:szCs w:val="24"/>
          <w:lang w:val="fr-FR"/>
        </w:rPr>
        <w:t>V.</w:t>
      </w:r>
      <w:r w:rsidRPr="006B2D93">
        <w:rPr>
          <w:rFonts w:eastAsia="Times New Roman"/>
          <w:bCs/>
          <w:sz w:val="24"/>
          <w:szCs w:val="24"/>
          <w:lang w:val="fr-FR"/>
        </w:rPr>
        <w:tab/>
        <w:t>Principes directeurs</w:t>
      </w:r>
    </w:p>
    <w:p w14:paraId="5CAAFF0C" w14:textId="3D2939E4" w:rsidR="008D2AA7" w:rsidRPr="006B2D93" w:rsidRDefault="00062144" w:rsidP="008467BB">
      <w:pPr>
        <w:pStyle w:val="CBDNormalNumber"/>
        <w:numPr>
          <w:ilvl w:val="0"/>
          <w:numId w:val="15"/>
        </w:numPr>
        <w:rPr>
          <w:lang w:val="fr-FR"/>
        </w:rPr>
      </w:pPr>
      <w:r w:rsidRPr="006B2D93">
        <w:rPr>
          <w:rFonts w:eastAsia="Times New Roman"/>
          <w:lang w:val="fr-FR"/>
        </w:rPr>
        <w:t>Le plan d’action thématique vise à contribuer à la réalisation des trois objectifs de la Convention ainsi que des objectifs et cibles du Cadre. Ainsi, toutes les mesures indiquées doivent être prises dans le contexte de la Convention</w:t>
      </w:r>
      <w:r w:rsidR="004815B8">
        <w:rPr>
          <w:rFonts w:eastAsia="Times New Roman"/>
          <w:lang w:val="fr-FR"/>
        </w:rPr>
        <w:t xml:space="preserve"> et</w:t>
      </w:r>
      <w:r w:rsidRPr="006B2D93">
        <w:rPr>
          <w:rFonts w:eastAsia="Times New Roman"/>
          <w:lang w:val="fr-FR"/>
        </w:rPr>
        <w:t xml:space="preserve"> de ses Protocoles</w:t>
      </w:r>
      <w:r w:rsidR="004815B8">
        <w:rPr>
          <w:rFonts w:eastAsia="Times New Roman"/>
          <w:lang w:val="fr-FR"/>
        </w:rPr>
        <w:t>, ainsi que</w:t>
      </w:r>
      <w:r w:rsidRPr="006B2D93">
        <w:rPr>
          <w:rFonts w:eastAsia="Times New Roman"/>
          <w:lang w:val="fr-FR"/>
        </w:rPr>
        <w:t xml:space="preserve"> du Cadre.</w:t>
      </w:r>
    </w:p>
    <w:p w14:paraId="5CAAFF0D" w14:textId="794E8F1D"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Conformément à la décision </w:t>
      </w:r>
      <w:hyperlink r:id="rId23" w:history="1">
        <w:r w:rsidRPr="006B2D93">
          <w:rPr>
            <w:rFonts w:eastAsia="Times New Roman"/>
            <w:color w:val="0000FF"/>
            <w:u w:val="single"/>
            <w:lang w:val="fr-FR"/>
          </w:rPr>
          <w:t>16/21</w:t>
        </w:r>
      </w:hyperlink>
      <w:r w:rsidRPr="006B2D93">
        <w:rPr>
          <w:rFonts w:eastAsia="Times New Roman"/>
          <w:lang w:val="fr-FR"/>
        </w:rPr>
        <w:t xml:space="preserve">, les principes généraux et les stratégies visant à améliorer la création et le renforcement des capacités, l’accès à la technologie et son transfert </w:t>
      </w:r>
      <w:r w:rsidR="00666395">
        <w:rPr>
          <w:rFonts w:eastAsia="Times New Roman"/>
          <w:lang w:val="fr-FR"/>
        </w:rPr>
        <w:t>selon</w:t>
      </w:r>
      <w:r w:rsidRPr="006B2D93">
        <w:rPr>
          <w:rFonts w:eastAsia="Times New Roman"/>
          <w:lang w:val="fr-FR"/>
        </w:rPr>
        <w:t xml:space="preserve"> des conditions convenues d’un commun accord, ainsi que le partage des connaissances dans le contexte du cadre stratégique à long terme pour la création et le renforcement des capacités, devraient s’appliquer au plan d’action thématique et être pris en considération lors de la planification des activités</w:t>
      </w:r>
      <w:r w:rsidRPr="006B2D93">
        <w:rPr>
          <w:rStyle w:val="FootnoteReference"/>
          <w:rFonts w:asciiTheme="majorBidi" w:hAnsiTheme="majorBidi" w:cstheme="majorBidi"/>
          <w:lang w:val="fr-FR"/>
        </w:rPr>
        <w:footnoteReference w:id="15"/>
      </w:r>
      <w:r w:rsidRPr="006B2D93">
        <w:rPr>
          <w:rFonts w:eastAsia="Times New Roman"/>
          <w:vertAlign w:val="superscript"/>
          <w:lang w:val="fr-FR"/>
        </w:rPr>
        <w:t>.</w:t>
      </w:r>
    </w:p>
    <w:p w14:paraId="5CAAFF0E" w14:textId="77777777"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 xml:space="preserve">Lors de l’utilisation du plan d’action thématique, les acteurs devraient : </w:t>
      </w:r>
    </w:p>
    <w:p w14:paraId="5CAAFF0F" w14:textId="5C627BE6"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Adopter une approche de précaution, conformément au principe n</w:t>
      </w:r>
      <w:r w:rsidR="00411D63">
        <w:rPr>
          <w:rFonts w:eastAsia="Times New Roman"/>
          <w:vertAlign w:val="superscript"/>
          <w:lang w:val="fr-FR"/>
        </w:rPr>
        <w:t>o</w:t>
      </w:r>
      <w:r w:rsidRPr="006B2D93">
        <w:rPr>
          <w:rFonts w:eastAsia="Times New Roman"/>
          <w:lang w:val="fr-FR"/>
        </w:rPr>
        <w:t> 15 de la Déclaration de Rio sur l’environnement et le développement ;</w:t>
      </w:r>
    </w:p>
    <w:p w14:paraId="5CAAFF10" w14:textId="27FD3ADC"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lastRenderedPageBreak/>
        <w:t xml:space="preserve">Adopter une approche </w:t>
      </w:r>
      <w:r w:rsidR="00666395">
        <w:rPr>
          <w:rFonts w:eastAsia="Times New Roman"/>
          <w:lang w:val="fr-FR"/>
        </w:rPr>
        <w:t>fondée</w:t>
      </w:r>
      <w:r w:rsidRPr="006B2D93">
        <w:rPr>
          <w:rFonts w:eastAsia="Times New Roman"/>
          <w:lang w:val="fr-FR"/>
        </w:rPr>
        <w:t xml:space="preserve"> sur des éléments scientifiques et au cas par cas ;</w:t>
      </w:r>
    </w:p>
    <w:p w14:paraId="5CAAFF11" w14:textId="44CA51B4"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Adopter une approche fondée sur les besoins, en accord avec les priorités et le</w:t>
      </w:r>
      <w:r w:rsidR="00666395">
        <w:rPr>
          <w:rFonts w:eastAsia="Times New Roman"/>
          <w:lang w:val="fr-FR"/>
        </w:rPr>
        <w:t>s</w:t>
      </w:r>
      <w:r w:rsidRPr="006B2D93">
        <w:rPr>
          <w:rFonts w:eastAsia="Times New Roman"/>
          <w:lang w:val="fr-FR"/>
        </w:rPr>
        <w:t xml:space="preserve"> </w:t>
      </w:r>
      <w:r w:rsidR="00666395">
        <w:rPr>
          <w:rFonts w:eastAsia="Times New Roman"/>
          <w:lang w:val="fr-FR"/>
        </w:rPr>
        <w:t>situations nationales</w:t>
      </w:r>
      <w:r w:rsidRPr="006B2D93">
        <w:rPr>
          <w:rFonts w:eastAsia="Times New Roman"/>
          <w:lang w:val="fr-FR"/>
        </w:rPr>
        <w:t xml:space="preserve"> ; </w:t>
      </w:r>
    </w:p>
    <w:p w14:paraId="5CAAFF12" w14:textId="055DBCD0"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Examiner les</w:t>
      </w:r>
      <w:r w:rsidR="00666395">
        <w:rPr>
          <w:rFonts w:eastAsia="Times New Roman"/>
          <w:lang w:val="fr-FR"/>
        </w:rPr>
        <w:t xml:space="preserve"> éventuelles</w:t>
      </w:r>
      <w:r w:rsidRPr="006B2D93">
        <w:rPr>
          <w:rFonts w:eastAsia="Times New Roman"/>
          <w:lang w:val="fr-FR"/>
        </w:rPr>
        <w:t xml:space="preserve"> incidences positives et négatives des applications de la biologie de synthèse sur les trois objectifs de la Convention et les objectifs et cibles du Cadre</w:t>
      </w:r>
      <w:r w:rsidR="004815B8">
        <w:rPr>
          <w:rFonts w:eastAsia="Times New Roman"/>
          <w:lang w:val="fr-FR"/>
        </w:rPr>
        <w:t> ;</w:t>
      </w:r>
    </w:p>
    <w:p w14:paraId="5CAAFF13" w14:textId="2B8B06B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 xml:space="preserve">Examiner les </w:t>
      </w:r>
      <w:r w:rsidR="00666395">
        <w:rPr>
          <w:rFonts w:eastAsia="Times New Roman"/>
          <w:lang w:val="fr-FR"/>
        </w:rPr>
        <w:t>éventuelles incidences</w:t>
      </w:r>
      <w:r w:rsidRPr="006B2D93">
        <w:rPr>
          <w:rFonts w:eastAsia="Times New Roman"/>
          <w:lang w:val="fr-FR"/>
        </w:rPr>
        <w:t xml:space="preserve"> [et risques] lié</w:t>
      </w:r>
      <w:r w:rsidR="0038269F">
        <w:rPr>
          <w:rFonts w:eastAsia="Times New Roman"/>
          <w:lang w:val="fr-FR"/>
        </w:rPr>
        <w:t>e</w:t>
      </w:r>
      <w:r w:rsidRPr="006B2D93">
        <w:rPr>
          <w:rFonts w:eastAsia="Times New Roman"/>
          <w:lang w:val="fr-FR"/>
        </w:rPr>
        <w:t>s à l’utilisation prévue et à l’environnement de destination probable [(par exemple, milieux non gérés ou sauvages ; milieux semi-gérés, gérés ou urbains ; et milieux confinés)]</w:t>
      </w:r>
      <w:r w:rsidRPr="006B2D93">
        <w:rPr>
          <w:rStyle w:val="FootnoteReference"/>
          <w:rFonts w:asciiTheme="majorBidi" w:hAnsiTheme="majorBidi" w:cstheme="majorBidi"/>
          <w:lang w:val="fr-FR"/>
        </w:rPr>
        <w:footnoteReference w:id="16"/>
      </w:r>
      <w:r w:rsidRPr="006B2D93">
        <w:rPr>
          <w:rFonts w:eastAsia="Times New Roman"/>
          <w:lang w:val="fr-FR"/>
        </w:rPr>
        <w:t> ;</w:t>
      </w:r>
    </w:p>
    <w:p w14:paraId="5CAAFF14" w14:textId="7777777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Adopter une approche multidisciplinaire, transdisciplinaire ou interdisciplinaire pour la recherche et le développement ainsi que pour l’évaluation de la biologie de synthèse ;</w:t>
      </w:r>
    </w:p>
    <w:p w14:paraId="5CAAFF15" w14:textId="7777777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Reconnaître les diverses valeurs de la nature et de ses bienfaits, notamment la biodiversité, l’environnement et les services écosystémiques</w:t>
      </w:r>
      <w:r w:rsidRPr="006B2D93">
        <w:rPr>
          <w:rStyle w:val="FootnoteReference"/>
          <w:rFonts w:asciiTheme="majorBidi" w:hAnsiTheme="majorBidi" w:cstheme="majorBidi"/>
          <w:lang w:val="fr-FR"/>
        </w:rPr>
        <w:footnoteReference w:id="17"/>
      </w:r>
      <w:r w:rsidRPr="006B2D93">
        <w:rPr>
          <w:rFonts w:eastAsia="Times New Roman"/>
          <w:lang w:val="fr-FR"/>
        </w:rPr>
        <w:t> ;</w:t>
      </w:r>
    </w:p>
    <w:p w14:paraId="5CAAFF16" w14:textId="77777777" w:rsidR="0068294D"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Reconnaître et respecter la diversité des systèmes de connaissances, et les spécificités liées au genre, conformément à la législation nationale ; </w:t>
      </w:r>
    </w:p>
    <w:p w14:paraId="5CAAFF17" w14:textId="2C825C7E"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Reconnaître et respecter les savoirs traditionnels, les innovations, les pratiques et les technologies</w:t>
      </w:r>
      <w:r w:rsidR="004D7A23">
        <w:rPr>
          <w:rFonts w:eastAsia="Times New Roman"/>
          <w:lang w:val="fr-FR"/>
        </w:rPr>
        <w:t>,</w:t>
      </w:r>
      <w:r w:rsidRPr="006B2D93">
        <w:rPr>
          <w:rFonts w:eastAsia="Times New Roman"/>
          <w:lang w:val="fr-FR"/>
        </w:rPr>
        <w:t xml:space="preserve"> y compris ceux des peuples autochtones et communautés locales,</w:t>
      </w:r>
      <w:r w:rsidRPr="006B2D93">
        <w:rPr>
          <w:rFonts w:eastAsia="Times New Roman"/>
          <w:u w:val="single"/>
          <w:lang w:val="fr-FR"/>
        </w:rPr>
        <w:t xml:space="preserve"> </w:t>
      </w:r>
      <w:r w:rsidRPr="006B2D93">
        <w:rPr>
          <w:rFonts w:eastAsia="Times New Roman"/>
          <w:lang w:val="fr-FR"/>
        </w:rPr>
        <w:t xml:space="preserve">conformément aux priorités et </w:t>
      </w:r>
      <w:r w:rsidR="00666395">
        <w:rPr>
          <w:rFonts w:eastAsia="Times New Roman"/>
          <w:lang w:val="fr-FR"/>
        </w:rPr>
        <w:t>situations</w:t>
      </w:r>
      <w:r w:rsidRPr="006B2D93">
        <w:rPr>
          <w:rFonts w:eastAsia="Times New Roman"/>
          <w:lang w:val="fr-FR"/>
        </w:rPr>
        <w:t xml:space="preserve"> </w:t>
      </w:r>
      <w:r w:rsidR="00666395">
        <w:rPr>
          <w:rFonts w:eastAsia="Times New Roman"/>
          <w:lang w:val="fr-FR"/>
        </w:rPr>
        <w:t>nationales</w:t>
      </w:r>
      <w:r w:rsidRPr="006B2D93">
        <w:rPr>
          <w:rFonts w:eastAsia="Times New Roman"/>
          <w:lang w:val="fr-FR"/>
        </w:rPr>
        <w:t xml:space="preserve"> ; </w:t>
      </w:r>
    </w:p>
    <w:p w14:paraId="5CAAFF18" w14:textId="7CAED318"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 xml:space="preserve">Promouvoir une approche impliquant l’ensemble de la société qui garantisse la participation pleine, effective et significative de tous les acteurs conformément aux priorités et </w:t>
      </w:r>
      <w:r w:rsidR="00666395">
        <w:rPr>
          <w:rFonts w:eastAsia="Times New Roman"/>
          <w:lang w:val="fr-FR"/>
        </w:rPr>
        <w:t>situations nationales</w:t>
      </w:r>
      <w:r w:rsidRPr="006B2D93">
        <w:rPr>
          <w:rFonts w:eastAsia="Times New Roman"/>
          <w:lang w:val="fr-FR"/>
        </w:rPr>
        <w:t> ;</w:t>
      </w:r>
    </w:p>
    <w:p w14:paraId="5CAAFF19" w14:textId="570AAE0F"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Garantir le consentement préalable, donné librement et en connaissance de cause</w:t>
      </w:r>
      <w:r w:rsidRPr="006B2D93">
        <w:rPr>
          <w:rStyle w:val="FootnoteReference"/>
          <w:rFonts w:asciiTheme="majorBidi" w:hAnsiTheme="majorBidi" w:cstheme="majorBidi"/>
          <w:lang w:val="fr-FR"/>
        </w:rPr>
        <w:footnoteReference w:id="18"/>
      </w:r>
      <w:r w:rsidRPr="006B2D93">
        <w:rPr>
          <w:rFonts w:eastAsia="Times New Roman"/>
          <w:lang w:val="fr-FR"/>
        </w:rPr>
        <w:t xml:space="preserve"> des peuples autochtones et communautés locales, conformément aux priorités et </w:t>
      </w:r>
      <w:r w:rsidR="00666395">
        <w:rPr>
          <w:rFonts w:eastAsia="Times New Roman"/>
          <w:lang w:val="fr-FR"/>
        </w:rPr>
        <w:t>situations nationales</w:t>
      </w:r>
      <w:r w:rsidRPr="006B2D93">
        <w:rPr>
          <w:rFonts w:eastAsia="Times New Roman"/>
          <w:lang w:val="fr-FR"/>
        </w:rPr>
        <w:t> ;</w:t>
      </w:r>
    </w:p>
    <w:p w14:paraId="5CAAFF1A" w14:textId="7777777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Promouvoir un partage juste et équitable des avantages découlant de l’exploitation commerciale et de toute autre forme d’utilisation des ressources génétiques</w:t>
      </w:r>
      <w:r w:rsidRPr="006B2D93">
        <w:rPr>
          <w:rStyle w:val="FootnoteReference"/>
          <w:lang w:val="fr-FR"/>
        </w:rPr>
        <w:footnoteReference w:id="19"/>
      </w:r>
      <w:r w:rsidRPr="006B2D93">
        <w:rPr>
          <w:rFonts w:eastAsia="Times New Roman"/>
          <w:lang w:val="fr-FR"/>
        </w:rPr>
        <w:t xml:space="preserve"> ; </w:t>
      </w:r>
    </w:p>
    <w:p w14:paraId="5CAAFF1B" w14:textId="7777777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Soutenir la coopération scientifique et technique internationale et régionale afin de renforcer les activités liées à la recherche et au développement ainsi qu’à l’évaluation de la biologie de synthèse dans le contexte de la Convention, de ses Protocoles et du Cadre ;</w:t>
      </w:r>
    </w:p>
    <w:p w14:paraId="5CAAFF1C" w14:textId="77777777" w:rsidR="008D2AA7" w:rsidRPr="006B2D93" w:rsidRDefault="00062144" w:rsidP="008467BB">
      <w:pPr>
        <w:pStyle w:val="CBDNormalNumber"/>
        <w:numPr>
          <w:ilvl w:val="1"/>
          <w:numId w:val="15"/>
        </w:numPr>
        <w:ind w:left="1134"/>
        <w:rPr>
          <w:rFonts w:asciiTheme="majorBidi" w:hAnsiTheme="majorBidi" w:cstheme="majorBidi"/>
          <w:lang w:val="fr-FR"/>
        </w:rPr>
      </w:pPr>
      <w:r w:rsidRPr="006B2D93">
        <w:rPr>
          <w:rFonts w:eastAsia="Times New Roman"/>
          <w:lang w:val="fr-FR"/>
        </w:rPr>
        <w:t>Adopter une approche coordonnée, non redondante et complémentaire en matière de biologie de synthèse et d’autres domaines connexes</w:t>
      </w:r>
      <w:r w:rsidRPr="006B2D93">
        <w:rPr>
          <w:rStyle w:val="FootnoteReference"/>
          <w:rFonts w:asciiTheme="majorBidi" w:hAnsiTheme="majorBidi" w:cstheme="majorBidi"/>
          <w:lang w:val="fr-FR"/>
        </w:rPr>
        <w:footnoteReference w:id="20"/>
      </w:r>
      <w:r w:rsidRPr="006B2D93">
        <w:rPr>
          <w:rFonts w:eastAsia="Times New Roman"/>
          <w:lang w:val="fr-FR"/>
        </w:rPr>
        <w:t> ;</w:t>
      </w:r>
    </w:p>
    <w:p w14:paraId="5CAAFF1D" w14:textId="77777777" w:rsidR="008D2AA7" w:rsidRPr="006B2D93" w:rsidRDefault="00062144" w:rsidP="00742C43">
      <w:pPr>
        <w:pStyle w:val="CBDNormalNumber"/>
        <w:numPr>
          <w:ilvl w:val="0"/>
          <w:numId w:val="0"/>
        </w:numPr>
        <w:ind w:left="1134" w:firstLine="567"/>
        <w:rPr>
          <w:rFonts w:asciiTheme="majorBidi" w:hAnsiTheme="majorBidi" w:cstheme="majorBidi"/>
          <w:lang w:val="fr-FR"/>
        </w:rPr>
      </w:pPr>
      <w:r w:rsidRPr="006B2D93">
        <w:rPr>
          <w:rFonts w:eastAsia="Times New Roman"/>
          <w:lang w:val="fr-FR"/>
        </w:rPr>
        <w:t>[</w:t>
      </w:r>
      <w:proofErr w:type="gramStart"/>
      <w:r w:rsidRPr="006B2D93">
        <w:rPr>
          <w:rFonts w:eastAsia="Times New Roman"/>
          <w:lang w:val="fr-FR"/>
        </w:rPr>
        <w:t>o</w:t>
      </w:r>
      <w:proofErr w:type="gramEnd"/>
      <w:r w:rsidRPr="006B2D93">
        <w:rPr>
          <w:rFonts w:eastAsia="Times New Roman"/>
          <w:lang w:val="fr-FR"/>
        </w:rPr>
        <w:t>) Reconnaître et respecter la diversité des valeurs éthiques, religieuses et culturelles des sociétés.]</w:t>
      </w:r>
    </w:p>
    <w:p w14:paraId="5CAAFF1E" w14:textId="77777777"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lastRenderedPageBreak/>
        <w:t>Le cas échéant, d’autres principes, cadres et lignes directrices prévoyant des mesures complémentaires peuvent être pris en compte lors de la planification des activités et de l’examen du recours à la biologie de synthèse dans le contexte de la Convention et du Cadre</w:t>
      </w:r>
      <w:r w:rsidRPr="006B2D93">
        <w:rPr>
          <w:rStyle w:val="FootnoteReference"/>
          <w:lang w:val="fr-FR"/>
        </w:rPr>
        <w:footnoteReference w:id="21"/>
      </w:r>
      <w:r w:rsidRPr="006B2D93">
        <w:rPr>
          <w:rFonts w:eastAsia="Times New Roman"/>
          <w:lang w:val="fr-FR"/>
        </w:rPr>
        <w:t>.</w:t>
      </w:r>
    </w:p>
    <w:p w14:paraId="5CAAFF1F" w14:textId="77777777" w:rsidR="008D2AA7" w:rsidRPr="006B2D93" w:rsidRDefault="00062144" w:rsidP="00742C43">
      <w:pPr>
        <w:pStyle w:val="CBDNormalNumber"/>
        <w:keepNext/>
        <w:keepLines/>
        <w:numPr>
          <w:ilvl w:val="0"/>
          <w:numId w:val="0"/>
        </w:numPr>
        <w:spacing w:before="240"/>
        <w:ind w:left="1134" w:hanging="567"/>
        <w:jc w:val="left"/>
        <w:outlineLvl w:val="0"/>
        <w:rPr>
          <w:rFonts w:asciiTheme="majorBidi" w:hAnsiTheme="majorBidi" w:cstheme="majorBidi"/>
          <w:b/>
          <w:sz w:val="24"/>
          <w:szCs w:val="20"/>
          <w:lang w:val="fr-FR"/>
        </w:rPr>
      </w:pPr>
      <w:r w:rsidRPr="006B2D93">
        <w:rPr>
          <w:rFonts w:eastAsia="Times New Roman"/>
          <w:b/>
          <w:bCs/>
          <w:sz w:val="24"/>
          <w:szCs w:val="24"/>
          <w:lang w:val="fr-FR"/>
        </w:rPr>
        <w:t>VI.</w:t>
      </w:r>
      <w:r w:rsidRPr="006B2D93">
        <w:rPr>
          <w:rFonts w:eastAsia="Times New Roman"/>
          <w:b/>
          <w:bCs/>
          <w:sz w:val="24"/>
          <w:szCs w:val="24"/>
          <w:lang w:val="fr-FR"/>
        </w:rPr>
        <w:tab/>
        <w:t>Instruments de mise en œuvre</w:t>
      </w:r>
    </w:p>
    <w:p w14:paraId="5CAAFF20" w14:textId="0D7C92B8" w:rsidR="008D2AA7" w:rsidRPr="006B2D93" w:rsidRDefault="00062144" w:rsidP="008467BB">
      <w:pPr>
        <w:pStyle w:val="CBDNormalNumber"/>
        <w:numPr>
          <w:ilvl w:val="0"/>
          <w:numId w:val="15"/>
        </w:numPr>
        <w:rPr>
          <w:lang w:val="fr-FR"/>
        </w:rPr>
      </w:pPr>
      <w:r w:rsidRPr="006B2D93">
        <w:rPr>
          <w:rFonts w:eastAsia="Times New Roman"/>
          <w:lang w:val="fr-FR"/>
        </w:rPr>
        <w:t xml:space="preserve">Il est essentiel de mettre à disposition, en temps opportun, des ressources suffisantes et prévisibles pour la mise en œuvre effective des trois objectifs de la Convention et du Cadre dans le domaine de la biologie de synthèse. Il est donc nécessaire de mobiliser des ressources provenant de toutes les sources, y compris celles conformes à l’Article 20 de la Convention, et de recenser et de sélectionner les ressources financières qui permettront </w:t>
      </w:r>
      <w:r w:rsidR="00E2269F">
        <w:rPr>
          <w:rFonts w:eastAsia="Times New Roman"/>
          <w:lang w:val="fr-FR"/>
        </w:rPr>
        <w:t xml:space="preserve">d’appuyer </w:t>
      </w:r>
      <w:r w:rsidRPr="006B2D93">
        <w:rPr>
          <w:rFonts w:eastAsia="Times New Roman"/>
          <w:lang w:val="fr-FR"/>
        </w:rPr>
        <w:t>le plan d’action thématique. Cette mobilisation des ressources devrait être fondée sur les besoins et accessible, s’adapter aux réalités et aux priorités nationales et viser à soutenir la mise en œuvre de la Convention et du Cadre.</w:t>
      </w:r>
      <w:r w:rsidRPr="006B2D93">
        <w:rPr>
          <w:rFonts w:eastAsia="Times New Roman"/>
          <w:color w:val="000000"/>
          <w:lang w:val="fr-FR"/>
        </w:rPr>
        <w:t xml:space="preserve"> Une attention particulière devrait être accordée aux pays les moins avancés, aux petits États insulaires en développement, ainsi qu’aux Parties dont l’économie est en transition, de même qu’aux pays les plus vulnérables sur le plan environnemental, </w:t>
      </w:r>
      <w:r w:rsidR="00317DE0">
        <w:rPr>
          <w:rFonts w:eastAsia="Times New Roman"/>
          <w:color w:val="000000"/>
          <w:lang w:val="fr-FR"/>
        </w:rPr>
        <w:t>conformément au</w:t>
      </w:r>
      <w:r w:rsidRPr="006B2D93">
        <w:rPr>
          <w:rFonts w:eastAsia="Times New Roman"/>
          <w:color w:val="000000"/>
          <w:lang w:val="fr-FR"/>
        </w:rPr>
        <w:t xml:space="preserve"> paragraphe</w:t>
      </w:r>
      <w:r w:rsidR="00C57D56">
        <w:rPr>
          <w:rFonts w:eastAsia="Times New Roman"/>
          <w:color w:val="000000"/>
          <w:lang w:val="fr-FR"/>
        </w:rPr>
        <w:t> </w:t>
      </w:r>
      <w:r w:rsidRPr="006B2D93">
        <w:rPr>
          <w:rFonts w:eastAsia="Times New Roman"/>
          <w:color w:val="000000"/>
          <w:lang w:val="fr-FR"/>
        </w:rPr>
        <w:t>7 de l’Article</w:t>
      </w:r>
      <w:r w:rsidR="00C57D56">
        <w:rPr>
          <w:rFonts w:eastAsia="Times New Roman"/>
          <w:color w:val="000000"/>
          <w:lang w:val="fr-FR"/>
        </w:rPr>
        <w:t> </w:t>
      </w:r>
      <w:r w:rsidRPr="006B2D93">
        <w:rPr>
          <w:rFonts w:eastAsia="Times New Roman"/>
          <w:color w:val="000000"/>
          <w:lang w:val="fr-FR"/>
        </w:rPr>
        <w:t>20 de la Convention.</w:t>
      </w:r>
    </w:p>
    <w:p w14:paraId="5CAAFF21" w14:textId="43902E6D" w:rsidR="008D2AA7" w:rsidRPr="006B2D93" w:rsidRDefault="00062144" w:rsidP="008467BB">
      <w:pPr>
        <w:pStyle w:val="CBDNormalNumber"/>
        <w:numPr>
          <w:ilvl w:val="0"/>
          <w:numId w:val="15"/>
        </w:numPr>
        <w:rPr>
          <w:lang w:val="fr-FR"/>
        </w:rPr>
      </w:pPr>
      <w:r w:rsidRPr="006B2D93">
        <w:rPr>
          <w:rFonts w:eastAsia="Times New Roman"/>
          <w:lang w:val="fr-FR"/>
        </w:rPr>
        <w:t xml:space="preserve">Le plan d’action thématique peut servir de référence pour </w:t>
      </w:r>
      <w:r w:rsidR="00317DE0">
        <w:rPr>
          <w:rFonts w:eastAsia="Times New Roman"/>
          <w:lang w:val="fr-FR"/>
        </w:rPr>
        <w:t>étayer</w:t>
      </w:r>
      <w:r w:rsidRPr="006B2D93">
        <w:rPr>
          <w:rFonts w:eastAsia="Times New Roman"/>
          <w:lang w:val="fr-FR"/>
        </w:rPr>
        <w:t xml:space="preserve"> l’élaboration des orientations programmatiques </w:t>
      </w:r>
      <w:r w:rsidR="00317DE0">
        <w:rPr>
          <w:rFonts w:eastAsia="Times New Roman"/>
          <w:lang w:val="fr-FR"/>
        </w:rPr>
        <w:t>pour le</w:t>
      </w:r>
      <w:r w:rsidRPr="006B2D93">
        <w:rPr>
          <w:rFonts w:eastAsia="Times New Roman"/>
          <w:lang w:val="fr-FR"/>
        </w:rPr>
        <w:t xml:space="preserve"> mécanisme de financement de la Convention et de ses Protocoles (le Fonds pour l’environnement mondial et son Fonds pour l’application du Cadre mondial de la biodiversité), ainsi que </w:t>
      </w:r>
      <w:r w:rsidR="00E2269F">
        <w:rPr>
          <w:rFonts w:eastAsia="Times New Roman"/>
          <w:lang w:val="fr-FR"/>
        </w:rPr>
        <w:t>pour</w:t>
      </w:r>
      <w:r w:rsidRPr="006B2D93">
        <w:rPr>
          <w:rFonts w:eastAsia="Times New Roman"/>
          <w:lang w:val="fr-FR"/>
        </w:rPr>
        <w:t xml:space="preserve"> l’Initiative pour le financement de la biodiversité du Programme des Nations Unies pour le développement, les initiatives régionales</w:t>
      </w:r>
      <w:r w:rsidR="00317DE0">
        <w:rPr>
          <w:rFonts w:eastAsia="Times New Roman"/>
          <w:lang w:val="fr-FR"/>
        </w:rPr>
        <w:t xml:space="preserve">, </w:t>
      </w:r>
      <w:r w:rsidRPr="006B2D93">
        <w:rPr>
          <w:rFonts w:eastAsia="Times New Roman"/>
          <w:lang w:val="fr-FR"/>
        </w:rPr>
        <w:t xml:space="preserve">d’autres fonds et </w:t>
      </w:r>
      <w:r w:rsidR="00317DE0">
        <w:rPr>
          <w:rFonts w:eastAsia="Times New Roman"/>
          <w:lang w:val="fr-FR"/>
        </w:rPr>
        <w:t>les donateurs</w:t>
      </w:r>
      <w:r w:rsidRPr="006B2D93">
        <w:rPr>
          <w:rFonts w:eastAsia="Times New Roman"/>
          <w:lang w:val="fr-FR"/>
        </w:rPr>
        <w:t>.</w:t>
      </w:r>
    </w:p>
    <w:p w14:paraId="5CAAFF22" w14:textId="572F3A12" w:rsidR="0068294D"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 xml:space="preserve">Les gouvernements nationaux sont également invités à prévoir des fonds spécifiques dans leurs plans nationaux de financement ou dans d’autres instruments de planification similaires, dans le cadre des stratégies et plans d’action nationaux pour la biodiversité, conformément aux priorités et aux capacités nationales (voir également le </w:t>
      </w:r>
      <w:r w:rsidR="00BB3B53" w:rsidRPr="006B2D93">
        <w:rPr>
          <w:rFonts w:eastAsia="Times New Roman"/>
          <w:lang w:val="fr-FR"/>
        </w:rPr>
        <w:t>résultat</w:t>
      </w:r>
      <w:r w:rsidRPr="006B2D93">
        <w:rPr>
          <w:rFonts w:eastAsia="Times New Roman"/>
          <w:lang w:val="fr-FR"/>
        </w:rPr>
        <w:t xml:space="preserve"> 1.1). </w:t>
      </w:r>
    </w:p>
    <w:p w14:paraId="5CAAFF23" w14:textId="3B734DFB"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La mise en œuvre du plan d’action thématique devrait être axée sur les besoins</w:t>
      </w:r>
      <w:r w:rsidR="00317DE0">
        <w:rPr>
          <w:rFonts w:eastAsia="Times New Roman"/>
          <w:lang w:val="fr-FR"/>
        </w:rPr>
        <w:t xml:space="preserve"> et </w:t>
      </w:r>
      <w:r w:rsidR="00E0715B">
        <w:rPr>
          <w:rFonts w:eastAsia="Times New Roman"/>
          <w:lang w:val="fr-FR"/>
        </w:rPr>
        <w:t>un</w:t>
      </w:r>
      <w:r w:rsidR="00317DE0">
        <w:rPr>
          <w:rFonts w:eastAsia="Times New Roman"/>
          <w:lang w:val="fr-FR"/>
        </w:rPr>
        <w:t xml:space="preserve"> soutien</w:t>
      </w:r>
      <w:r w:rsidRPr="006B2D93">
        <w:rPr>
          <w:rFonts w:eastAsia="Times New Roman"/>
          <w:lang w:val="fr-FR"/>
        </w:rPr>
        <w:t xml:space="preserve"> financier, technique et institutionnel</w:t>
      </w:r>
      <w:r w:rsidR="00317DE0">
        <w:rPr>
          <w:rFonts w:eastAsia="Times New Roman"/>
          <w:lang w:val="fr-FR"/>
        </w:rPr>
        <w:t xml:space="preserve"> devrait être apporté</w:t>
      </w:r>
      <w:r w:rsidRPr="006B2D93">
        <w:rPr>
          <w:rFonts w:eastAsia="Times New Roman"/>
          <w:lang w:val="fr-FR"/>
        </w:rPr>
        <w:t xml:space="preserve"> </w:t>
      </w:r>
      <w:r w:rsidR="00317DE0">
        <w:rPr>
          <w:rFonts w:eastAsia="Times New Roman"/>
          <w:lang w:val="fr-FR"/>
        </w:rPr>
        <w:t>selon les</w:t>
      </w:r>
      <w:r w:rsidRPr="006B2D93">
        <w:rPr>
          <w:rFonts w:eastAsia="Times New Roman"/>
          <w:lang w:val="fr-FR"/>
        </w:rPr>
        <w:t xml:space="preserve"> priorités,</w:t>
      </w:r>
      <w:r w:rsidR="00317DE0">
        <w:rPr>
          <w:rFonts w:eastAsia="Times New Roman"/>
          <w:lang w:val="fr-FR"/>
        </w:rPr>
        <w:t xml:space="preserve"> la situation</w:t>
      </w:r>
      <w:r w:rsidRPr="006B2D93">
        <w:rPr>
          <w:rFonts w:eastAsia="Times New Roman"/>
          <w:lang w:val="fr-FR"/>
        </w:rPr>
        <w:t xml:space="preserve">, </w:t>
      </w:r>
      <w:r w:rsidR="00E2269F">
        <w:rPr>
          <w:rFonts w:eastAsia="Times New Roman"/>
          <w:lang w:val="fr-FR"/>
        </w:rPr>
        <w:t xml:space="preserve">la législation et </w:t>
      </w:r>
      <w:r w:rsidR="00317DE0">
        <w:rPr>
          <w:rFonts w:eastAsia="Times New Roman"/>
          <w:lang w:val="fr-FR"/>
        </w:rPr>
        <w:t>les</w:t>
      </w:r>
      <w:r w:rsidRPr="006B2D93">
        <w:rPr>
          <w:rFonts w:eastAsia="Times New Roman"/>
          <w:lang w:val="fr-FR"/>
        </w:rPr>
        <w:t xml:space="preserve"> besoins </w:t>
      </w:r>
      <w:r w:rsidR="00296688" w:rsidRPr="006B2D93">
        <w:rPr>
          <w:rFonts w:eastAsia="Times New Roman"/>
          <w:lang w:val="fr-FR"/>
        </w:rPr>
        <w:t>nationaux</w:t>
      </w:r>
      <w:r w:rsidRPr="006B2D93">
        <w:rPr>
          <w:rFonts w:eastAsia="Times New Roman"/>
          <w:lang w:val="fr-FR"/>
        </w:rPr>
        <w:t xml:space="preserve">, selon </w:t>
      </w:r>
      <w:r w:rsidR="00296688" w:rsidRPr="006B2D93">
        <w:rPr>
          <w:rFonts w:eastAsia="Times New Roman"/>
          <w:lang w:val="fr-FR"/>
        </w:rPr>
        <w:t>qu’il convien</w:t>
      </w:r>
      <w:r w:rsidR="00E0715B">
        <w:rPr>
          <w:rFonts w:eastAsia="Times New Roman"/>
          <w:lang w:val="fr-FR"/>
        </w:rPr>
        <w:t>dra</w:t>
      </w:r>
      <w:r w:rsidR="00296688" w:rsidRPr="006B2D93">
        <w:rPr>
          <w:rFonts w:eastAsia="Times New Roman"/>
          <w:lang w:val="fr-FR"/>
        </w:rPr>
        <w:t>.</w:t>
      </w:r>
    </w:p>
    <w:p w14:paraId="5CAAFF25" w14:textId="2E4FD26C" w:rsidR="008D2AA7" w:rsidRPr="006B2D93" w:rsidRDefault="00062144" w:rsidP="00742C43">
      <w:pPr>
        <w:pStyle w:val="CBDH1"/>
        <w:ind w:left="1134"/>
        <w:rPr>
          <w:rFonts w:asciiTheme="majorBidi" w:hAnsiTheme="majorBidi" w:cstheme="majorBidi"/>
          <w:sz w:val="24"/>
          <w:szCs w:val="20"/>
          <w:lang w:val="fr-FR"/>
        </w:rPr>
      </w:pPr>
      <w:r w:rsidRPr="006B2D93">
        <w:rPr>
          <w:rFonts w:eastAsia="Times New Roman"/>
          <w:bCs/>
          <w:sz w:val="24"/>
          <w:szCs w:val="24"/>
          <w:lang w:val="fr-FR"/>
        </w:rPr>
        <w:t>VII.</w:t>
      </w:r>
      <w:r w:rsidRPr="006B2D93">
        <w:rPr>
          <w:rFonts w:eastAsia="Times New Roman"/>
          <w:bCs/>
          <w:sz w:val="24"/>
          <w:szCs w:val="24"/>
          <w:lang w:val="fr-FR"/>
        </w:rPr>
        <w:tab/>
        <w:t xml:space="preserve">Rôle du </w:t>
      </w:r>
      <w:r w:rsidR="00A83B78">
        <w:rPr>
          <w:rFonts w:eastAsia="Times New Roman"/>
          <w:bCs/>
          <w:sz w:val="24"/>
          <w:szCs w:val="24"/>
          <w:lang w:val="fr-FR"/>
        </w:rPr>
        <w:t>S</w:t>
      </w:r>
      <w:r w:rsidRPr="006B2D93">
        <w:rPr>
          <w:rFonts w:eastAsia="Times New Roman"/>
          <w:bCs/>
          <w:sz w:val="24"/>
          <w:szCs w:val="24"/>
          <w:lang w:val="fr-FR"/>
        </w:rPr>
        <w:t xml:space="preserve">ecrétariat et des </w:t>
      </w:r>
      <w:r w:rsidR="00E27922">
        <w:rPr>
          <w:rFonts w:eastAsia="Times New Roman"/>
          <w:bCs/>
          <w:sz w:val="24"/>
          <w:szCs w:val="24"/>
          <w:lang w:val="fr-FR"/>
        </w:rPr>
        <w:t xml:space="preserve">centres régionaux et sous-régionaux </w:t>
      </w:r>
      <w:r w:rsidRPr="006B2D93">
        <w:rPr>
          <w:rFonts w:eastAsia="Times New Roman"/>
          <w:bCs/>
          <w:sz w:val="24"/>
          <w:szCs w:val="24"/>
          <w:lang w:val="fr-FR"/>
        </w:rPr>
        <w:t xml:space="preserve">d’appui </w:t>
      </w:r>
      <w:r w:rsidR="00E27922">
        <w:rPr>
          <w:rFonts w:eastAsia="Times New Roman"/>
          <w:bCs/>
          <w:sz w:val="24"/>
          <w:szCs w:val="24"/>
          <w:lang w:val="fr-FR"/>
        </w:rPr>
        <w:t xml:space="preserve">à la coopération </w:t>
      </w:r>
      <w:r w:rsidRPr="006B2D93">
        <w:rPr>
          <w:rFonts w:eastAsia="Times New Roman"/>
          <w:bCs/>
          <w:sz w:val="24"/>
          <w:szCs w:val="24"/>
          <w:lang w:val="fr-FR"/>
        </w:rPr>
        <w:t>scientifique et technique</w:t>
      </w:r>
    </w:p>
    <w:p w14:paraId="5CAAFF26" w14:textId="06A43DE0"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 xml:space="preserve">Bien que le plan d’action thématique s’adresse aux gouvernements nationaux et aux parties prenantes concernées, le </w:t>
      </w:r>
      <w:r w:rsidR="00A83B78">
        <w:rPr>
          <w:rFonts w:eastAsia="Times New Roman"/>
          <w:lang w:val="fr-FR"/>
        </w:rPr>
        <w:t>S</w:t>
      </w:r>
      <w:r w:rsidRPr="006B2D93">
        <w:rPr>
          <w:rFonts w:eastAsia="Times New Roman"/>
          <w:lang w:val="fr-FR"/>
        </w:rPr>
        <w:t xml:space="preserve">ecrétariat de la Convention apportera son soutien aux Parties dans leurs efforts de mise en œuvre du plan, conformément à l’article 24 de la Convention. </w:t>
      </w:r>
      <w:r w:rsidR="00E27922">
        <w:rPr>
          <w:rFonts w:eastAsia="Times New Roman"/>
          <w:lang w:val="fr-FR"/>
        </w:rPr>
        <w:t>Son soutien</w:t>
      </w:r>
      <w:r w:rsidRPr="006B2D93">
        <w:rPr>
          <w:rFonts w:eastAsia="Times New Roman"/>
          <w:lang w:val="fr-FR"/>
        </w:rPr>
        <w:t xml:space="preserve"> peut notamment consister à mener des activités en réponse aux demandes de la Conférence des Parties, notamment en </w:t>
      </w:r>
      <w:r w:rsidR="00A83B78">
        <w:rPr>
          <w:rFonts w:eastAsia="Times New Roman"/>
          <w:lang w:val="fr-FR"/>
        </w:rPr>
        <w:t>recueillant</w:t>
      </w:r>
      <w:r w:rsidRPr="006B2D93">
        <w:rPr>
          <w:rFonts w:eastAsia="Times New Roman"/>
          <w:lang w:val="fr-FR"/>
        </w:rPr>
        <w:t xml:space="preserve">, </w:t>
      </w:r>
      <w:r w:rsidR="00A83B78">
        <w:rPr>
          <w:rFonts w:eastAsia="Times New Roman"/>
          <w:lang w:val="fr-FR"/>
        </w:rPr>
        <w:t>résumant</w:t>
      </w:r>
      <w:r w:rsidRPr="006B2D93">
        <w:rPr>
          <w:rFonts w:eastAsia="Times New Roman"/>
          <w:lang w:val="fr-FR"/>
        </w:rPr>
        <w:t xml:space="preserve"> et partageant des informations par l</w:t>
      </w:r>
      <w:r w:rsidR="00C57D56">
        <w:rPr>
          <w:rFonts w:eastAsia="Times New Roman"/>
          <w:lang w:val="fr-FR"/>
        </w:rPr>
        <w:t>’</w:t>
      </w:r>
      <w:r w:rsidR="004D7A23">
        <w:rPr>
          <w:rFonts w:eastAsia="Times New Roman"/>
          <w:lang w:val="fr-FR"/>
        </w:rPr>
        <w:t xml:space="preserve">intermédiaire </w:t>
      </w:r>
      <w:r w:rsidRPr="006B2D93">
        <w:rPr>
          <w:rFonts w:eastAsia="Times New Roman"/>
          <w:lang w:val="fr-FR"/>
        </w:rPr>
        <w:t>des Centres d’échange et en facilitant les activités de renforcement des capacités.</w:t>
      </w:r>
    </w:p>
    <w:p w14:paraId="5CAAFF27" w14:textId="347D30BC"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lastRenderedPageBreak/>
        <w:t xml:space="preserve">Les centres régionaux et </w:t>
      </w:r>
      <w:r w:rsidR="0077733B">
        <w:rPr>
          <w:rFonts w:eastAsia="Times New Roman"/>
          <w:lang w:val="fr-FR"/>
        </w:rPr>
        <w:t>sous-</w:t>
      </w:r>
      <w:r w:rsidRPr="006B2D93">
        <w:rPr>
          <w:rFonts w:eastAsia="Times New Roman"/>
          <w:lang w:val="fr-FR"/>
        </w:rPr>
        <w:t xml:space="preserve">régionaux </w:t>
      </w:r>
      <w:r w:rsidR="00E27922">
        <w:rPr>
          <w:rFonts w:eastAsia="Times New Roman"/>
          <w:lang w:val="fr-FR"/>
        </w:rPr>
        <w:t xml:space="preserve">d’appui à la coopération technique et scientifique </w:t>
      </w:r>
      <w:r w:rsidRPr="006B2D93">
        <w:rPr>
          <w:rFonts w:eastAsia="Times New Roman"/>
          <w:lang w:val="fr-FR"/>
        </w:rPr>
        <w:t xml:space="preserve">relevant du Mécanisme de coopération technique et scientifique </w:t>
      </w:r>
      <w:r w:rsidR="00E27922">
        <w:rPr>
          <w:rFonts w:eastAsia="Times New Roman"/>
          <w:lang w:val="fr-FR"/>
        </w:rPr>
        <w:t>créés</w:t>
      </w:r>
      <w:r w:rsidRPr="006B2D93">
        <w:rPr>
          <w:rFonts w:eastAsia="Times New Roman"/>
          <w:lang w:val="fr-FR"/>
        </w:rPr>
        <w:t xml:space="preserve"> par la décision </w:t>
      </w:r>
      <w:hyperlink r:id="rId24" w:history="1">
        <w:r w:rsidRPr="006B2D93">
          <w:rPr>
            <w:rFonts w:eastAsia="Times New Roman"/>
            <w:color w:val="0000FF"/>
            <w:u w:val="single"/>
            <w:lang w:val="fr-FR"/>
          </w:rPr>
          <w:t>15/8</w:t>
        </w:r>
      </w:hyperlink>
      <w:r w:rsidRPr="006B2D93">
        <w:rPr>
          <w:rFonts w:eastAsia="Times New Roman"/>
          <w:lang w:val="fr-FR"/>
        </w:rPr>
        <w:t xml:space="preserve"> et </w:t>
      </w:r>
      <w:r w:rsidR="00E27922">
        <w:rPr>
          <w:rFonts w:eastAsia="Times New Roman"/>
          <w:lang w:val="fr-FR"/>
        </w:rPr>
        <w:t>rendus opérationnels dans</w:t>
      </w:r>
      <w:r w:rsidRPr="006B2D93">
        <w:rPr>
          <w:rFonts w:eastAsia="Times New Roman"/>
          <w:lang w:val="fr-FR"/>
        </w:rPr>
        <w:t xml:space="preserve"> la décision </w:t>
      </w:r>
      <w:hyperlink r:id="rId25" w:history="1">
        <w:r w:rsidRPr="006B2D93">
          <w:rPr>
            <w:rFonts w:eastAsia="Times New Roman"/>
            <w:color w:val="0000FF"/>
            <w:u w:val="single"/>
            <w:lang w:val="fr-FR"/>
          </w:rPr>
          <w:t>16/3</w:t>
        </w:r>
      </w:hyperlink>
      <w:r w:rsidRPr="006B2D93">
        <w:rPr>
          <w:rFonts w:eastAsia="Times New Roman"/>
          <w:lang w:val="fr-FR"/>
        </w:rPr>
        <w:t xml:space="preserve"> peuvent, sur demande, aider les Parties à recenser les lacunes en matière de capacités scientifiques, à favoriser le transfert de technologies et l’innovation, à faciliter la coopération scientifique et technique et à soutenir les activités de partage des connaissances dans le cadre de la mise en œuvre du plan d’action thématique.</w:t>
      </w:r>
    </w:p>
    <w:p w14:paraId="5CAAFF28" w14:textId="772CCB85" w:rsidR="008D2AA7" w:rsidRPr="006B2D93" w:rsidRDefault="00062144" w:rsidP="008467BB">
      <w:pPr>
        <w:pStyle w:val="CBDNormalNumber"/>
        <w:numPr>
          <w:ilvl w:val="0"/>
          <w:numId w:val="15"/>
        </w:numPr>
        <w:rPr>
          <w:rFonts w:asciiTheme="majorBidi" w:hAnsiTheme="majorBidi" w:cstheme="majorBidi"/>
          <w:lang w:val="fr-FR"/>
        </w:rPr>
      </w:pPr>
      <w:r w:rsidRPr="006B2D93">
        <w:rPr>
          <w:rFonts w:eastAsia="Times New Roman"/>
          <w:lang w:val="fr-FR"/>
        </w:rPr>
        <w:t xml:space="preserve">Afin de suivre la mise en œuvre du plan d’action thématique, le </w:t>
      </w:r>
      <w:r w:rsidR="00A83B78">
        <w:rPr>
          <w:rFonts w:eastAsia="Times New Roman"/>
          <w:lang w:val="fr-FR"/>
        </w:rPr>
        <w:t>Se</w:t>
      </w:r>
      <w:r w:rsidRPr="006B2D93">
        <w:rPr>
          <w:rFonts w:eastAsia="Times New Roman"/>
          <w:lang w:val="fr-FR"/>
        </w:rPr>
        <w:t xml:space="preserve">crétariat peut, </w:t>
      </w:r>
      <w:r w:rsidR="00A83B78">
        <w:rPr>
          <w:rFonts w:eastAsia="Times New Roman"/>
          <w:lang w:val="fr-FR"/>
        </w:rPr>
        <w:t>au besoin</w:t>
      </w:r>
      <w:r w:rsidRPr="006B2D93">
        <w:rPr>
          <w:rFonts w:eastAsia="Times New Roman"/>
          <w:lang w:val="fr-FR"/>
        </w:rPr>
        <w:t>, demander la communication volontaire d’informations destinées à compléter les données pertinentes provenant d’autres sources éventuelles, y compris les rapports nationaux demandés au titre de la Convention et de ses Protocoles.</w:t>
      </w:r>
    </w:p>
    <w:p w14:paraId="5CAAFF29" w14:textId="77777777" w:rsidR="008D2AA7" w:rsidRPr="00A83B78" w:rsidRDefault="00062144" w:rsidP="00742C43">
      <w:pPr>
        <w:pStyle w:val="CBDH1"/>
        <w:ind w:left="1134"/>
        <w:rPr>
          <w:sz w:val="24"/>
          <w:szCs w:val="20"/>
          <w:lang w:val="fr-FR"/>
        </w:rPr>
      </w:pPr>
      <w:r w:rsidRPr="00A83B78">
        <w:rPr>
          <w:rFonts w:eastAsia="Times New Roman"/>
          <w:bCs/>
          <w:sz w:val="24"/>
          <w:szCs w:val="24"/>
          <w:lang w:val="fr-FR"/>
        </w:rPr>
        <w:t>VIII. Suivi et présentation de rapports sur les progrès accomplis dans la mise en œuvre du plan d’action thématique</w:t>
      </w:r>
    </w:p>
    <w:p w14:paraId="5CAAFF2A" w14:textId="714AA683" w:rsidR="008D2AA7" w:rsidRPr="006B2D93" w:rsidRDefault="00062144" w:rsidP="008467BB">
      <w:pPr>
        <w:pStyle w:val="CBDNormalNumber"/>
        <w:numPr>
          <w:ilvl w:val="0"/>
          <w:numId w:val="15"/>
        </w:numPr>
        <w:rPr>
          <w:lang w:val="fr-FR"/>
        </w:rPr>
      </w:pPr>
      <w:r w:rsidRPr="006B2D93">
        <w:rPr>
          <w:rFonts w:eastAsia="Times New Roman"/>
          <w:lang w:val="fr-FR"/>
        </w:rPr>
        <w:t xml:space="preserve">Le suivi et la présentation de rapports sur les progrès accomplis dans la mise en œuvre du plan d’action thématique seront menés conjointement avec le suivi et la présentation de rapports sur les progrès accomplis dans la mise en œuvre du cadre stratégique à long terme pour la création et le renforcement des capacités, ainsi que du </w:t>
      </w:r>
      <w:r w:rsidR="00A83B78">
        <w:rPr>
          <w:rFonts w:eastAsia="Times New Roman"/>
          <w:lang w:val="fr-FR"/>
        </w:rPr>
        <w:t>M</w:t>
      </w:r>
      <w:r w:rsidRPr="006B2D93">
        <w:rPr>
          <w:rFonts w:eastAsia="Times New Roman"/>
          <w:lang w:val="fr-FR"/>
        </w:rPr>
        <w:t xml:space="preserve">écanisme de coopération technique et scientifique.  </w:t>
      </w:r>
    </w:p>
    <w:p w14:paraId="5CAAFF2B" w14:textId="62D611DB" w:rsidR="008D2AA7" w:rsidRPr="006B2D93" w:rsidRDefault="00062144" w:rsidP="008467BB">
      <w:pPr>
        <w:pStyle w:val="CBDNormalNumber"/>
        <w:numPr>
          <w:ilvl w:val="0"/>
          <w:numId w:val="15"/>
        </w:numPr>
        <w:rPr>
          <w:lang w:val="fr-FR"/>
        </w:rPr>
      </w:pPr>
      <w:r w:rsidRPr="006B2D93">
        <w:rPr>
          <w:rFonts w:eastAsia="Times New Roman"/>
          <w:lang w:val="fr-FR"/>
        </w:rPr>
        <w:t xml:space="preserve">Le plan d’action thématique </w:t>
      </w:r>
      <w:r w:rsidR="00B81FC6">
        <w:rPr>
          <w:rFonts w:eastAsia="Times New Roman"/>
          <w:lang w:val="fr-FR"/>
        </w:rPr>
        <w:t>pourra</w:t>
      </w:r>
      <w:r w:rsidRPr="006B2D93">
        <w:rPr>
          <w:rFonts w:eastAsia="Times New Roman"/>
          <w:lang w:val="fr-FR"/>
        </w:rPr>
        <w:t xml:space="preserve"> être réexaminé, </w:t>
      </w:r>
      <w:r w:rsidR="00A83B78">
        <w:rPr>
          <w:rFonts w:eastAsia="Times New Roman"/>
          <w:lang w:val="fr-FR"/>
        </w:rPr>
        <w:t>au besoin</w:t>
      </w:r>
      <w:r w:rsidRPr="006B2D93">
        <w:rPr>
          <w:rFonts w:eastAsia="Times New Roman"/>
          <w:lang w:val="fr-FR"/>
        </w:rPr>
        <w:t xml:space="preserve">, à la demande de la Conférence des Parties, à la lumière de l’expérience acquise </w:t>
      </w:r>
      <w:r w:rsidR="00E27922">
        <w:rPr>
          <w:rFonts w:eastAsia="Times New Roman"/>
          <w:lang w:val="fr-FR"/>
        </w:rPr>
        <w:t xml:space="preserve">lors de son utilisation </w:t>
      </w:r>
      <w:r w:rsidRPr="006B2D93">
        <w:rPr>
          <w:rFonts w:eastAsia="Times New Roman"/>
          <w:lang w:val="fr-FR"/>
        </w:rPr>
        <w:t>et des nouvelles évolutions dans le domaine de la biologie de synthèse.</w:t>
      </w:r>
    </w:p>
    <w:p w14:paraId="5CAAFF2E" w14:textId="2977A2EE" w:rsidR="008D2AA7" w:rsidRDefault="00062144" w:rsidP="008D2AA7">
      <w:pPr>
        <w:pStyle w:val="CBDTitle"/>
        <w:rPr>
          <w:rFonts w:eastAsia="Times New Roman"/>
          <w:bCs/>
          <w:sz w:val="24"/>
          <w:szCs w:val="24"/>
          <w:lang w:val="fr-FR"/>
        </w:rPr>
      </w:pPr>
      <w:r w:rsidRPr="006B2D93">
        <w:rPr>
          <w:rFonts w:eastAsia="Times New Roman"/>
          <w:bCs/>
          <w:sz w:val="24"/>
          <w:szCs w:val="24"/>
          <w:lang w:val="fr-FR"/>
        </w:rPr>
        <w:t xml:space="preserve">Domaines de réalisation et mesures stratégiques indicatives visant à </w:t>
      </w:r>
      <w:r w:rsidR="00A83B78">
        <w:rPr>
          <w:rFonts w:eastAsia="Times New Roman"/>
          <w:bCs/>
          <w:sz w:val="24"/>
          <w:szCs w:val="24"/>
          <w:lang w:val="fr-FR"/>
        </w:rPr>
        <w:t>appuyer</w:t>
      </w:r>
      <w:r w:rsidRPr="006B2D93">
        <w:rPr>
          <w:rFonts w:eastAsia="Times New Roman"/>
          <w:bCs/>
          <w:sz w:val="24"/>
          <w:szCs w:val="24"/>
          <w:lang w:val="fr-FR"/>
        </w:rPr>
        <w:t xml:space="preserve"> la création et le renforcement des capacités, l’accès aux technologies et leur transfert, ainsi que le partage des connaissances dans le domaine de la biologie de synthèse, en vue de la mise en œuvre de la Convention sur la diversité biologique et du Cadre mondial de la biodiversité de Kunming-Montréal</w:t>
      </w:r>
    </w:p>
    <w:tbl>
      <w:tblPr>
        <w:tblStyle w:val="TableGrid"/>
        <w:tblW w:w="4897" w:type="pct"/>
        <w:jc w:val="center"/>
        <w:tblLook w:val="04A0" w:firstRow="1" w:lastRow="0" w:firstColumn="1" w:lastColumn="0" w:noHBand="0" w:noVBand="1"/>
      </w:tblPr>
      <w:tblGrid>
        <w:gridCol w:w="19"/>
        <w:gridCol w:w="1520"/>
        <w:gridCol w:w="7567"/>
        <w:gridCol w:w="51"/>
      </w:tblGrid>
      <w:tr w:rsidR="001C532F" w:rsidRPr="00395997" w14:paraId="36538765" w14:textId="77777777" w:rsidTr="00CE7D50">
        <w:trPr>
          <w:gridAfter w:val="1"/>
          <w:wAfter w:w="28" w:type="pct"/>
          <w:trHeight w:val="405"/>
          <w:jc w:val="center"/>
        </w:trPr>
        <w:tc>
          <w:tcPr>
            <w:tcW w:w="4972" w:type="pct"/>
            <w:gridSpan w:val="3"/>
            <w:tcBorders>
              <w:top w:val="single" w:sz="4" w:space="0" w:color="auto"/>
              <w:left w:val="single" w:sz="4" w:space="0" w:color="auto"/>
              <w:bottom w:val="single" w:sz="4" w:space="0" w:color="auto"/>
              <w:right w:val="single" w:sz="4" w:space="0" w:color="auto"/>
            </w:tcBorders>
          </w:tcPr>
          <w:p w14:paraId="0686E1C0" w14:textId="77777777" w:rsidR="001C532F" w:rsidRPr="00226D22" w:rsidRDefault="001C532F" w:rsidP="00930824">
            <w:pPr>
              <w:rPr>
                <w:rFonts w:asciiTheme="majorBidi" w:hAnsiTheme="majorBidi" w:cstheme="majorBidi"/>
                <w:sz w:val="20"/>
                <w:szCs w:val="20"/>
                <w:lang w:val="fr-FR"/>
              </w:rPr>
            </w:pPr>
            <w:r w:rsidRPr="00226D22">
              <w:rPr>
                <w:rFonts w:eastAsia="Times New Roman"/>
                <w:b/>
                <w:bCs/>
                <w:sz w:val="20"/>
                <w:szCs w:val="20"/>
                <w:lang w:val="fr-FR"/>
              </w:rPr>
              <w:t>Domaine de réalisation 1 :</w:t>
            </w:r>
            <w:r w:rsidRPr="00226D22">
              <w:rPr>
                <w:rFonts w:eastAsia="Times New Roman"/>
                <w:sz w:val="20"/>
                <w:szCs w:val="20"/>
                <w:lang w:val="fr-FR"/>
              </w:rPr>
              <w:t xml:space="preserve"> renforcement des capacités en matière de recherche et développement ainsi que d’évaluation dans le domaine de la biologie de synthèse</w:t>
            </w:r>
          </w:p>
          <w:p w14:paraId="7F8F44E8"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226D22">
              <w:rPr>
                <w:rFonts w:eastAsia="Times New Roman"/>
                <w:b/>
                <w:bCs/>
                <w:sz w:val="20"/>
                <w:szCs w:val="20"/>
                <w:lang w:val="fr-FR"/>
              </w:rPr>
              <w:t>Objectif :</w:t>
            </w:r>
            <w:r w:rsidRPr="00226D22">
              <w:rPr>
                <w:rFonts w:eastAsia="Times New Roman"/>
                <w:sz w:val="20"/>
                <w:szCs w:val="20"/>
                <w:lang w:val="fr-FR"/>
              </w:rPr>
              <w:t xml:space="preserve"> les acteurs ont renforcé leurs capacités et infrastructures en matière de recherche et développement, [innovation responsable], </w:t>
            </w:r>
            <w:proofErr w:type="gramStart"/>
            <w:r w:rsidRPr="00226D22">
              <w:rPr>
                <w:rFonts w:eastAsia="Times New Roman"/>
                <w:sz w:val="20"/>
                <w:szCs w:val="20"/>
                <w:lang w:val="fr-FR"/>
              </w:rPr>
              <w:t>évaluation[</w:t>
            </w:r>
            <w:proofErr w:type="gramEnd"/>
            <w:r w:rsidRPr="00226D22">
              <w:rPr>
                <w:rFonts w:eastAsia="Times New Roman"/>
                <w:sz w:val="20"/>
                <w:szCs w:val="20"/>
                <w:lang w:val="fr-FR"/>
              </w:rPr>
              <w:t>, suivi, gouvernance] et de surveillance [réglementaire] des applications de la biologie de synthèse qui présentent un intérêt pour la mise en œuvre des trois objectifs de la Convention sur la diversité biologique et du Cadre mondial de la biodiversité de Kunming-Montréal</w:t>
            </w:r>
          </w:p>
        </w:tc>
      </w:tr>
      <w:tr w:rsidR="001C532F" w:rsidRPr="00226D22" w14:paraId="2702A228" w14:textId="77777777" w:rsidTr="00CE7D50">
        <w:trPr>
          <w:gridAfter w:val="1"/>
          <w:wAfter w:w="28" w:type="pct"/>
          <w:trHeight w:val="405"/>
          <w:jc w:val="center"/>
        </w:trPr>
        <w:tc>
          <w:tcPr>
            <w:tcW w:w="840" w:type="pct"/>
            <w:gridSpan w:val="2"/>
            <w:tcBorders>
              <w:top w:val="single" w:sz="4" w:space="0" w:color="auto"/>
              <w:left w:val="single" w:sz="4" w:space="0" w:color="auto"/>
              <w:bottom w:val="single" w:sz="4" w:space="0" w:color="auto"/>
              <w:right w:val="single" w:sz="4" w:space="0" w:color="auto"/>
            </w:tcBorders>
            <w:vAlign w:val="center"/>
          </w:tcPr>
          <w:p w14:paraId="3D7E0522" w14:textId="77777777" w:rsidR="001C532F" w:rsidRPr="00226D22" w:rsidRDefault="001C532F" w:rsidP="00930824">
            <w:pPr>
              <w:jc w:val="left"/>
              <w:rPr>
                <w:rFonts w:asciiTheme="majorBidi" w:hAnsiTheme="majorBidi" w:cstheme="majorBidi"/>
                <w:i/>
                <w:iCs/>
                <w:sz w:val="20"/>
                <w:szCs w:val="20"/>
                <w:lang w:val="fr-FR"/>
              </w:rPr>
            </w:pPr>
            <w:r w:rsidRPr="00226D22">
              <w:rPr>
                <w:rFonts w:eastAsia="Times New Roman"/>
                <w:i/>
                <w:iCs/>
                <w:sz w:val="20"/>
                <w:szCs w:val="20"/>
                <w:lang w:val="fr-FR"/>
              </w:rPr>
              <w:t>Résultat</w:t>
            </w:r>
          </w:p>
        </w:tc>
        <w:tc>
          <w:tcPr>
            <w:tcW w:w="4131" w:type="pct"/>
            <w:tcBorders>
              <w:top w:val="single" w:sz="4" w:space="0" w:color="auto"/>
              <w:left w:val="single" w:sz="4" w:space="0" w:color="auto"/>
              <w:bottom w:val="single" w:sz="4" w:space="0" w:color="auto"/>
              <w:right w:val="single" w:sz="4" w:space="0" w:color="auto"/>
            </w:tcBorders>
            <w:vAlign w:val="center"/>
          </w:tcPr>
          <w:p w14:paraId="2697C238" w14:textId="77777777" w:rsidR="001C532F" w:rsidRPr="00226D22" w:rsidRDefault="001C532F" w:rsidP="00930824">
            <w:pPr>
              <w:jc w:val="left"/>
              <w:rPr>
                <w:rFonts w:asciiTheme="majorBidi" w:hAnsiTheme="majorBidi" w:cstheme="majorBidi"/>
                <w:i/>
                <w:iCs/>
                <w:sz w:val="20"/>
                <w:szCs w:val="20"/>
                <w:lang w:val="fr-FR"/>
              </w:rPr>
            </w:pPr>
            <w:r w:rsidRPr="00226D22">
              <w:rPr>
                <w:rFonts w:eastAsia="Times New Roman"/>
                <w:i/>
                <w:iCs/>
                <w:sz w:val="20"/>
                <w:szCs w:val="20"/>
                <w:lang w:val="fr-FR"/>
              </w:rPr>
              <w:t>Mesures stratégiques indicatives</w:t>
            </w:r>
          </w:p>
        </w:tc>
      </w:tr>
      <w:tr w:rsidR="001C532F" w:rsidRPr="00395997" w14:paraId="73A42618" w14:textId="77777777" w:rsidTr="00CE7D50">
        <w:trPr>
          <w:gridAfter w:val="1"/>
          <w:wAfter w:w="28" w:type="pct"/>
          <w:trHeight w:val="420"/>
          <w:jc w:val="center"/>
        </w:trPr>
        <w:tc>
          <w:tcPr>
            <w:tcW w:w="840" w:type="pct"/>
            <w:gridSpan w:val="2"/>
            <w:tcBorders>
              <w:top w:val="single" w:sz="4" w:space="0" w:color="auto"/>
              <w:left w:val="single" w:sz="4" w:space="0" w:color="auto"/>
              <w:bottom w:val="single" w:sz="4" w:space="0" w:color="auto"/>
              <w:right w:val="single" w:sz="4" w:space="0" w:color="auto"/>
            </w:tcBorders>
          </w:tcPr>
          <w:p w14:paraId="2B139AC5"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226D22">
              <w:rPr>
                <w:rFonts w:eastAsia="Times New Roman"/>
                <w:sz w:val="20"/>
                <w:szCs w:val="20"/>
                <w:lang w:val="fr-FR"/>
              </w:rPr>
              <w:t>1.1 Recensement des besoins et priorités</w:t>
            </w:r>
          </w:p>
        </w:tc>
        <w:tc>
          <w:tcPr>
            <w:tcW w:w="4131" w:type="pct"/>
            <w:tcBorders>
              <w:top w:val="single" w:sz="4" w:space="0" w:color="auto"/>
              <w:left w:val="single" w:sz="4" w:space="0" w:color="auto"/>
              <w:bottom w:val="single" w:sz="4" w:space="0" w:color="auto"/>
              <w:right w:val="single" w:sz="4" w:space="0" w:color="auto"/>
            </w:tcBorders>
          </w:tcPr>
          <w:p w14:paraId="2A2540EC" w14:textId="77777777" w:rsidR="001C532F" w:rsidRPr="00226D22" w:rsidRDefault="001C532F" w:rsidP="001C532F">
            <w:pPr>
              <w:pStyle w:val="ListParagraph"/>
              <w:numPr>
                <w:ilvl w:val="0"/>
                <w:numId w:val="16"/>
              </w:numPr>
              <w:ind w:left="360"/>
              <w:rPr>
                <w:rFonts w:asciiTheme="majorBidi" w:hAnsiTheme="majorBidi" w:cstheme="majorBidi"/>
                <w:sz w:val="20"/>
                <w:szCs w:val="20"/>
                <w:lang w:val="fr-FR"/>
              </w:rPr>
            </w:pPr>
            <w:r w:rsidRPr="00226D22">
              <w:rPr>
                <w:rFonts w:eastAsia="Times New Roman"/>
                <w:sz w:val="20"/>
                <w:szCs w:val="20"/>
                <w:lang w:val="fr-FR"/>
              </w:rPr>
              <w:t>Évaluer les capacités et recenser les besoins en matière de recherche et développement, d’accès aux technologies et de transfert de celles-ci, de réglementation, d’évaluation, de suivi et de partage des connaissances dans le domaine de la biologie de synthèse ;</w:t>
            </w:r>
          </w:p>
          <w:p w14:paraId="723870E7" w14:textId="77777777" w:rsidR="001C532F" w:rsidRPr="00226D22" w:rsidRDefault="001C532F" w:rsidP="001C532F">
            <w:pPr>
              <w:pStyle w:val="ListParagraph"/>
              <w:numPr>
                <w:ilvl w:val="0"/>
                <w:numId w:val="16"/>
              </w:numPr>
              <w:ind w:left="360"/>
              <w:rPr>
                <w:rFonts w:asciiTheme="majorBidi" w:hAnsiTheme="majorBidi" w:cstheme="majorBidi"/>
                <w:sz w:val="20"/>
                <w:szCs w:val="20"/>
                <w:lang w:val="fr-FR"/>
              </w:rPr>
            </w:pPr>
            <w:r w:rsidRPr="00226D22">
              <w:rPr>
                <w:rFonts w:eastAsia="Times New Roman"/>
                <w:sz w:val="20"/>
                <w:szCs w:val="20"/>
                <w:lang w:val="fr-FR"/>
              </w:rPr>
              <w:t>Hiérarchiser les activités à mener à court, moyen et long terme en fonction des besoins recensés et de la situation nationale ;</w:t>
            </w:r>
          </w:p>
          <w:p w14:paraId="7A503F95" w14:textId="77777777" w:rsidR="001C532F" w:rsidRPr="00226D22" w:rsidRDefault="001C532F" w:rsidP="001C532F">
            <w:pPr>
              <w:pStyle w:val="ListParagraph"/>
              <w:numPr>
                <w:ilvl w:val="0"/>
                <w:numId w:val="16"/>
              </w:numPr>
              <w:ind w:left="360"/>
              <w:rPr>
                <w:rFonts w:asciiTheme="majorBidi" w:hAnsiTheme="majorBidi" w:cstheme="majorBidi"/>
                <w:sz w:val="20"/>
                <w:szCs w:val="20"/>
                <w:lang w:val="fr-FR"/>
              </w:rPr>
            </w:pPr>
            <w:r w:rsidRPr="00226D22">
              <w:rPr>
                <w:rFonts w:eastAsia="Times New Roman"/>
                <w:sz w:val="20"/>
                <w:szCs w:val="20"/>
                <w:lang w:val="fr-FR"/>
              </w:rPr>
              <w:t>Intégrer les besoins en matière de recherche, de développement et d’évaluation dans le domaine de la biologie de synthèse aux différents plans budgétaires sectoriels, et recenser les besoins en création et renforcement des capacités.</w:t>
            </w:r>
          </w:p>
        </w:tc>
      </w:tr>
      <w:tr w:rsidR="001C532F" w:rsidRPr="00395997" w14:paraId="69A2835D" w14:textId="77777777" w:rsidTr="00CE7D50">
        <w:trPr>
          <w:gridAfter w:val="1"/>
          <w:wAfter w:w="28" w:type="pct"/>
          <w:trHeight w:val="300"/>
          <w:jc w:val="center"/>
        </w:trPr>
        <w:tc>
          <w:tcPr>
            <w:tcW w:w="840" w:type="pct"/>
            <w:gridSpan w:val="2"/>
            <w:tcBorders>
              <w:top w:val="single" w:sz="4" w:space="0" w:color="auto"/>
              <w:left w:val="single" w:sz="4" w:space="0" w:color="auto"/>
              <w:bottom w:val="single" w:sz="4" w:space="0" w:color="auto"/>
              <w:right w:val="single" w:sz="4" w:space="0" w:color="auto"/>
            </w:tcBorders>
          </w:tcPr>
          <w:p w14:paraId="7B56675E"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 xml:space="preserve">1.2 Infrastructure </w:t>
            </w:r>
            <w:r w:rsidRPr="006B2D93">
              <w:rPr>
                <w:rFonts w:eastAsia="Times New Roman"/>
                <w:sz w:val="20"/>
                <w:szCs w:val="20"/>
                <w:lang w:val="fr-FR"/>
              </w:rPr>
              <w:lastRenderedPageBreak/>
              <w:t>physique renforcée</w:t>
            </w:r>
          </w:p>
        </w:tc>
        <w:tc>
          <w:tcPr>
            <w:tcW w:w="4131" w:type="pct"/>
            <w:tcBorders>
              <w:top w:val="single" w:sz="4" w:space="0" w:color="auto"/>
              <w:left w:val="single" w:sz="4" w:space="0" w:color="auto"/>
              <w:bottom w:val="single" w:sz="4" w:space="0" w:color="auto"/>
              <w:right w:val="single" w:sz="4" w:space="0" w:color="auto"/>
            </w:tcBorders>
          </w:tcPr>
          <w:p w14:paraId="3CC87CB5" w14:textId="14792104"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lastRenderedPageBreak/>
              <w:t>a)</w:t>
            </w:r>
            <w:r w:rsidRPr="00226D22">
              <w:rPr>
                <w:rFonts w:asciiTheme="majorBidi" w:hAnsiTheme="majorBidi" w:cstheme="majorBidi"/>
                <w:sz w:val="20"/>
                <w:szCs w:val="20"/>
                <w:lang w:val="fr-FR"/>
              </w:rPr>
              <w:tab/>
              <w:t>Mettre en place, renforcer ou faciliter l’accès à des infrastructures techniques de laboratoire tout en prenant en compte la prévention des risques biotechnologiques et la biosécurité</w:t>
            </w:r>
            <w:r w:rsidR="00A84FFB">
              <w:rPr>
                <w:rStyle w:val="FootnoteReference"/>
                <w:rFonts w:asciiTheme="majorBidi" w:hAnsiTheme="majorBidi" w:cstheme="majorBidi"/>
                <w:sz w:val="20"/>
                <w:szCs w:val="20"/>
                <w:lang w:val="fr-FR"/>
              </w:rPr>
              <w:footnoteReference w:id="22"/>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7264F375" w14:textId="750F3811"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lastRenderedPageBreak/>
              <w:t>b)</w:t>
            </w:r>
            <w:r w:rsidRPr="00226D22">
              <w:rPr>
                <w:rFonts w:asciiTheme="majorBidi" w:hAnsiTheme="majorBidi" w:cstheme="majorBidi"/>
                <w:sz w:val="20"/>
                <w:szCs w:val="20"/>
                <w:lang w:val="fr-FR"/>
              </w:rPr>
              <w:tab/>
              <w:t>Mettre en place des mécanismes de gouvernance, un soutien technique et des modèles de viabilité afin de garantir le bon fonctionnement à long terme et l’utilisation équitable des infrastructures de laboratoire</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25DCC930" w14:textId="6E985531"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t>c)</w:t>
            </w:r>
            <w:r w:rsidRPr="00226D22">
              <w:rPr>
                <w:rFonts w:asciiTheme="majorBidi" w:hAnsiTheme="majorBidi" w:cstheme="majorBidi"/>
                <w:sz w:val="20"/>
                <w:szCs w:val="20"/>
                <w:lang w:val="fr-FR"/>
              </w:rPr>
              <w:tab/>
              <w:t>Développer une infrastructure in silico</w:t>
            </w:r>
            <w:r w:rsidR="00A84FFB">
              <w:rPr>
                <w:rStyle w:val="FootnoteReference"/>
                <w:rFonts w:asciiTheme="majorBidi" w:hAnsiTheme="majorBidi" w:cstheme="majorBidi"/>
                <w:sz w:val="20"/>
                <w:szCs w:val="20"/>
                <w:lang w:val="fr-FR"/>
              </w:rPr>
              <w:footnoteReference w:id="23"/>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221F0FAE" w14:textId="26F73FBD"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t>d)</w:t>
            </w:r>
            <w:r w:rsidRPr="00226D22">
              <w:rPr>
                <w:rFonts w:asciiTheme="majorBidi" w:hAnsiTheme="majorBidi" w:cstheme="majorBidi"/>
                <w:sz w:val="20"/>
                <w:szCs w:val="20"/>
                <w:lang w:val="fr-FR"/>
              </w:rPr>
              <w:tab/>
              <w:t>Créer ou renforcer des laboratoires aux niveaux national, infrarégional ou régional</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1CA94680" w14:textId="3432C1DC"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t>e)</w:t>
            </w:r>
            <w:r w:rsidRPr="00226D22">
              <w:rPr>
                <w:rFonts w:asciiTheme="majorBidi" w:hAnsiTheme="majorBidi" w:cstheme="majorBidi"/>
                <w:sz w:val="20"/>
                <w:szCs w:val="20"/>
                <w:lang w:val="fr-FR"/>
              </w:rPr>
              <w:tab/>
              <w:t>Promouvoir un financement continu et durable pour l’entretien des infrastructures et l’achat de réactifs et de matériel</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2502707F" w14:textId="77777777" w:rsidR="001C532F" w:rsidRPr="00226D22" w:rsidRDefault="001C532F" w:rsidP="00930824">
            <w:pPr>
              <w:tabs>
                <w:tab w:val="clear" w:pos="567"/>
                <w:tab w:val="clear" w:pos="1134"/>
                <w:tab w:val="clear" w:pos="1701"/>
                <w:tab w:val="clear" w:pos="2268"/>
              </w:tabs>
              <w:ind w:left="360" w:hanging="360"/>
              <w:jc w:val="left"/>
              <w:rPr>
                <w:rFonts w:asciiTheme="majorBidi" w:hAnsiTheme="majorBidi" w:cstheme="majorBidi"/>
                <w:sz w:val="20"/>
                <w:szCs w:val="20"/>
                <w:lang w:val="fr-FR"/>
              </w:rPr>
            </w:pPr>
            <w:r w:rsidRPr="00226D22">
              <w:rPr>
                <w:rFonts w:asciiTheme="majorBidi" w:hAnsiTheme="majorBidi" w:cstheme="majorBidi"/>
                <w:sz w:val="20"/>
                <w:szCs w:val="20"/>
                <w:lang w:val="fr-FR"/>
              </w:rPr>
              <w:t>f)</w:t>
            </w:r>
            <w:r w:rsidRPr="00226D22">
              <w:rPr>
                <w:rFonts w:asciiTheme="majorBidi" w:hAnsiTheme="majorBidi" w:cstheme="majorBidi"/>
                <w:sz w:val="20"/>
                <w:szCs w:val="20"/>
                <w:lang w:val="fr-FR"/>
              </w:rPr>
              <w:tab/>
              <w:t xml:space="preserve">Intégrer les protocoles de biosécurité physique et numérique ainsi que les protocoles de </w:t>
            </w:r>
            <w:proofErr w:type="spellStart"/>
            <w:r w:rsidRPr="00226D22">
              <w:rPr>
                <w:rFonts w:asciiTheme="majorBidi" w:hAnsiTheme="majorBidi" w:cstheme="majorBidi"/>
                <w:sz w:val="20"/>
                <w:szCs w:val="20"/>
                <w:lang w:val="fr-FR"/>
              </w:rPr>
              <w:t>cyberbiosécurité</w:t>
            </w:r>
            <w:proofErr w:type="spellEnd"/>
            <w:r w:rsidRPr="00226D22">
              <w:rPr>
                <w:rFonts w:asciiTheme="majorBidi" w:hAnsiTheme="majorBidi" w:cstheme="majorBidi"/>
                <w:sz w:val="20"/>
                <w:szCs w:val="20"/>
                <w:lang w:val="fr-FR"/>
              </w:rPr>
              <w:t xml:space="preserve"> dans la conception, l’exploitation et la maintenance des infrastructures de laboratoire et in silico.</w:t>
            </w:r>
          </w:p>
        </w:tc>
      </w:tr>
      <w:tr w:rsidR="001C532F" w:rsidRPr="00395997" w14:paraId="096194EA" w14:textId="77777777" w:rsidTr="00CE7D50">
        <w:trPr>
          <w:gridAfter w:val="1"/>
          <w:wAfter w:w="28" w:type="pct"/>
          <w:jc w:val="center"/>
        </w:trPr>
        <w:tc>
          <w:tcPr>
            <w:tcW w:w="840" w:type="pct"/>
            <w:gridSpan w:val="2"/>
            <w:tcBorders>
              <w:top w:val="single" w:sz="4" w:space="0" w:color="auto"/>
              <w:left w:val="single" w:sz="4" w:space="0" w:color="auto"/>
              <w:bottom w:val="single" w:sz="4" w:space="0" w:color="auto"/>
              <w:right w:val="single" w:sz="4" w:space="0" w:color="auto"/>
            </w:tcBorders>
          </w:tcPr>
          <w:p w14:paraId="1A966EB7"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lastRenderedPageBreak/>
              <w:t>1.3 Soutien au renforcement des capacités en personnel</w:t>
            </w:r>
          </w:p>
        </w:tc>
        <w:tc>
          <w:tcPr>
            <w:tcW w:w="4131" w:type="pct"/>
            <w:tcBorders>
              <w:top w:val="single" w:sz="4" w:space="0" w:color="auto"/>
              <w:left w:val="single" w:sz="4" w:space="0" w:color="auto"/>
              <w:bottom w:val="single" w:sz="4" w:space="0" w:color="auto"/>
              <w:right w:val="single" w:sz="4" w:space="0" w:color="auto"/>
            </w:tcBorders>
          </w:tcPr>
          <w:p w14:paraId="1822137D" w14:textId="39D84FC6"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226D22">
              <w:rPr>
                <w:rFonts w:asciiTheme="majorBidi" w:hAnsiTheme="majorBidi" w:cstheme="majorBidi"/>
                <w:sz w:val="20"/>
                <w:szCs w:val="20"/>
                <w:lang w:val="fr-FR"/>
              </w:rPr>
              <w:t>a)</w:t>
            </w:r>
            <w:r w:rsidRPr="00226D22">
              <w:rPr>
                <w:rFonts w:asciiTheme="majorBidi" w:hAnsiTheme="majorBidi" w:cstheme="majorBidi"/>
                <w:sz w:val="20"/>
                <w:szCs w:val="20"/>
                <w:lang w:val="fr-FR"/>
              </w:rPr>
              <w:tab/>
              <w:t xml:space="preserve">Institutionnaliser les processus de création et de renforcement des capacités et garantir la poursuite de ce renforcement grâce aux institutions mondiales, régionales et nationales, notamment à des fins d’évaluation et de </w:t>
            </w:r>
            <w:proofErr w:type="gramStart"/>
            <w:r w:rsidRPr="00226D22">
              <w:rPr>
                <w:rFonts w:asciiTheme="majorBidi" w:hAnsiTheme="majorBidi" w:cstheme="majorBidi"/>
                <w:sz w:val="20"/>
                <w:szCs w:val="20"/>
                <w:lang w:val="fr-FR"/>
              </w:rPr>
              <w:t>suivi[</w:t>
            </w:r>
            <w:proofErr w:type="gramEnd"/>
            <w:r w:rsidRPr="00226D22">
              <w:rPr>
                <w:rFonts w:asciiTheme="majorBidi" w:hAnsiTheme="majorBidi" w:cstheme="majorBidi"/>
                <w:sz w:val="20"/>
                <w:szCs w:val="20"/>
                <w:lang w:val="fr-FR"/>
              </w:rPr>
              <w:t>, de réglementation et de gouvernance]</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6E524DF1" w14:textId="5595457B"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226D22">
              <w:rPr>
                <w:rFonts w:asciiTheme="majorBidi" w:hAnsiTheme="majorBidi" w:cstheme="majorBidi"/>
                <w:sz w:val="20"/>
                <w:szCs w:val="20"/>
                <w:lang w:val="fr-FR"/>
              </w:rPr>
              <w:t>b)</w:t>
            </w:r>
            <w:r w:rsidRPr="00226D22">
              <w:rPr>
                <w:rFonts w:asciiTheme="majorBidi" w:hAnsiTheme="majorBidi" w:cstheme="majorBidi"/>
                <w:sz w:val="20"/>
                <w:szCs w:val="20"/>
                <w:lang w:val="fr-FR"/>
              </w:rPr>
              <w:tab/>
              <w:t>Proposer des bourses, des stages et des programmes de mentorat aux premier et deuxième cycles universitaires dans les domaines liés à la recherche, au développement et à l’évaluation de la biologie de synthèse, en particulier à l’intention des étudiants et des femmes issus de pays en développement, ainsi que des peuples autochtones et des communautés locales</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668504D8" w14:textId="7DFE5C92"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226D22">
              <w:rPr>
                <w:rFonts w:asciiTheme="majorBidi" w:hAnsiTheme="majorBidi" w:cstheme="majorBidi"/>
                <w:sz w:val="20"/>
                <w:szCs w:val="20"/>
                <w:lang w:val="fr-FR"/>
              </w:rPr>
              <w:t>c)</w:t>
            </w:r>
            <w:r w:rsidRPr="00226D22">
              <w:rPr>
                <w:rFonts w:asciiTheme="majorBidi" w:hAnsiTheme="majorBidi" w:cstheme="majorBidi"/>
                <w:sz w:val="20"/>
                <w:szCs w:val="20"/>
                <w:lang w:val="fr-FR"/>
              </w:rPr>
              <w:tab/>
              <w:t>Appuyer la mise en place ou l’utilisation de programmes d’échange existants en tant que mécanismes permettant de renforcer les capacités, de transférer des connaissances et de favoriser une communication et une collaboration durables entre les parties prenantes concernées</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1817BAB2" w14:textId="7B773B8C"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226D22">
              <w:rPr>
                <w:rFonts w:asciiTheme="majorBidi" w:hAnsiTheme="majorBidi" w:cstheme="majorBidi"/>
                <w:sz w:val="20"/>
                <w:szCs w:val="20"/>
                <w:lang w:val="fr-FR"/>
              </w:rPr>
              <w:t>d)</w:t>
            </w:r>
            <w:r w:rsidRPr="00226D22">
              <w:rPr>
                <w:rFonts w:asciiTheme="majorBidi" w:hAnsiTheme="majorBidi" w:cstheme="majorBidi"/>
                <w:sz w:val="20"/>
                <w:szCs w:val="20"/>
                <w:lang w:val="fr-FR"/>
              </w:rPr>
              <w:tab/>
              <w:t>Mettre en place des programmes de formation interdisciplinaires consacrés à la recherche et au développement ainsi qu’à l’évaluation de la biologie de synthèse, y compris pour l’évaluation et le suivi, dans les universités nationales ou régionales et sur les plateformes d’apprentissage en ligne, y compris des cours spécialisés destinés aux organismes de contrôle et aux décideurs</w:t>
            </w:r>
            <w:r w:rsidR="0038269F">
              <w:rPr>
                <w:rFonts w:asciiTheme="majorBidi" w:hAnsiTheme="majorBidi" w:cstheme="majorBidi"/>
                <w:sz w:val="20"/>
                <w:szCs w:val="20"/>
                <w:lang w:val="fr-FR"/>
              </w:rPr>
              <w:t> </w:t>
            </w:r>
            <w:r w:rsidRPr="00226D22">
              <w:rPr>
                <w:rFonts w:asciiTheme="majorBidi" w:hAnsiTheme="majorBidi" w:cstheme="majorBidi"/>
                <w:sz w:val="20"/>
                <w:szCs w:val="20"/>
                <w:lang w:val="fr-FR"/>
              </w:rPr>
              <w:t>;</w:t>
            </w:r>
          </w:p>
          <w:p w14:paraId="61620B8A" w14:textId="77777777"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226D22">
              <w:rPr>
                <w:rFonts w:asciiTheme="majorBidi" w:hAnsiTheme="majorBidi" w:cstheme="majorBidi"/>
                <w:sz w:val="20"/>
                <w:szCs w:val="20"/>
                <w:lang w:val="fr-FR"/>
              </w:rPr>
              <w:t>e)</w:t>
            </w:r>
            <w:r w:rsidRPr="00226D22">
              <w:rPr>
                <w:rFonts w:asciiTheme="majorBidi" w:hAnsiTheme="majorBidi" w:cstheme="majorBidi"/>
                <w:sz w:val="20"/>
                <w:szCs w:val="20"/>
                <w:lang w:val="fr-FR"/>
              </w:rPr>
              <w:tab/>
              <w:t>Favoriser la formation des membres des peuples autochtones et des communautés locales à la recherche, au développement et à l’évaluation de la biologie de synthèse, dans des langues adaptées au contexte local et conformément à leurs besoins et priorités tels qu’ils les ont eux-mêmes définis.</w:t>
            </w:r>
          </w:p>
        </w:tc>
      </w:tr>
      <w:tr w:rsidR="001C532F" w:rsidRPr="00395997" w14:paraId="4FC0737E" w14:textId="77777777" w:rsidTr="00CE7D50">
        <w:trPr>
          <w:gridAfter w:val="1"/>
          <w:wAfter w:w="28" w:type="pct"/>
          <w:jc w:val="center"/>
        </w:trPr>
        <w:tc>
          <w:tcPr>
            <w:tcW w:w="840" w:type="pct"/>
            <w:gridSpan w:val="2"/>
            <w:tcBorders>
              <w:top w:val="single" w:sz="4" w:space="0" w:color="auto"/>
              <w:left w:val="single" w:sz="4" w:space="0" w:color="auto"/>
              <w:bottom w:val="single" w:sz="4" w:space="0" w:color="auto"/>
              <w:right w:val="single" w:sz="4" w:space="0" w:color="auto"/>
            </w:tcBorders>
          </w:tcPr>
          <w:p w14:paraId="7F9A7812"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1.4 Renforcement des capacités pour la recherche et le développement à l’échelle locale</w:t>
            </w:r>
          </w:p>
        </w:tc>
        <w:tc>
          <w:tcPr>
            <w:tcW w:w="4131" w:type="pct"/>
            <w:tcBorders>
              <w:top w:val="single" w:sz="4" w:space="0" w:color="auto"/>
              <w:left w:val="single" w:sz="4" w:space="0" w:color="auto"/>
              <w:bottom w:val="single" w:sz="4" w:space="0" w:color="auto"/>
              <w:right w:val="single" w:sz="4" w:space="0" w:color="auto"/>
            </w:tcBorders>
          </w:tcPr>
          <w:p w14:paraId="63FD4B0A" w14:textId="09198F5A" w:rsidR="001C532F" w:rsidRPr="00CE7D50" w:rsidRDefault="00CE7D50" w:rsidP="00CE7D50">
            <w:pPr>
              <w:tabs>
                <w:tab w:val="clear" w:pos="567"/>
                <w:tab w:val="clear" w:pos="1134"/>
                <w:tab w:val="clear" w:pos="1701"/>
                <w:tab w:val="clear" w:pos="2268"/>
              </w:tabs>
              <w:ind w:left="360" w:hanging="360"/>
              <w:rPr>
                <w:rFonts w:asciiTheme="majorBidi" w:hAnsiTheme="majorBidi" w:cstheme="majorBidi"/>
                <w:sz w:val="20"/>
                <w:szCs w:val="20"/>
                <w:lang w:val="fr-FR"/>
              </w:rPr>
            </w:pPr>
            <w:r>
              <w:rPr>
                <w:rFonts w:eastAsia="Times New Roman"/>
                <w:sz w:val="20"/>
                <w:szCs w:val="20"/>
                <w:lang w:val="fr-FR"/>
              </w:rPr>
              <w:t xml:space="preserve">a) </w:t>
            </w:r>
            <w:r w:rsidR="001C532F" w:rsidRPr="00CE7D50">
              <w:rPr>
                <w:rFonts w:eastAsia="Times New Roman"/>
                <w:sz w:val="20"/>
                <w:szCs w:val="20"/>
                <w:lang w:val="fr-FR"/>
              </w:rPr>
              <w:t>Élaborer des feuilles de route nationales ou régionales pour la recherche et le développement [et l’innovation responsable] en biologie de synthèse, notamment en organisant des ateliers nationaux ou régionaux ;</w:t>
            </w:r>
          </w:p>
          <w:p w14:paraId="2CD34B5F" w14:textId="77777777" w:rsidR="00CE7D50" w:rsidRDefault="001C532F" w:rsidP="00CE7D50">
            <w:pPr>
              <w:tabs>
                <w:tab w:val="clear" w:pos="567"/>
                <w:tab w:val="clear" w:pos="1134"/>
                <w:tab w:val="clear" w:pos="1701"/>
                <w:tab w:val="clear" w:pos="2268"/>
              </w:tabs>
              <w:ind w:left="360" w:hanging="360"/>
              <w:rPr>
                <w:sz w:val="20"/>
                <w:szCs w:val="20"/>
                <w:lang w:val="fr-FR"/>
              </w:rPr>
            </w:pPr>
            <w:r w:rsidRPr="00CE7D50">
              <w:rPr>
                <w:rFonts w:eastAsia="Times New Roman"/>
                <w:sz w:val="20"/>
                <w:szCs w:val="20"/>
                <w:lang w:val="fr-FR"/>
              </w:rPr>
              <w:t>[</w:t>
            </w:r>
            <w:proofErr w:type="gramStart"/>
            <w:r w:rsidRPr="00CE7D50">
              <w:rPr>
                <w:rFonts w:eastAsia="Times New Roman"/>
                <w:sz w:val="20"/>
                <w:szCs w:val="20"/>
                <w:lang w:val="fr-FR"/>
              </w:rPr>
              <w:t>b)  Soutenir</w:t>
            </w:r>
            <w:proofErr w:type="gramEnd"/>
            <w:r w:rsidRPr="00CE7D50">
              <w:rPr>
                <w:rFonts w:eastAsia="Times New Roman"/>
                <w:sz w:val="20"/>
                <w:szCs w:val="20"/>
                <w:lang w:val="fr-FR"/>
              </w:rPr>
              <w:t xml:space="preserve"> la normalisation internationale dans le domaine de la biologie de synthèse</w:t>
            </w:r>
            <w:r>
              <w:rPr>
                <w:rStyle w:val="FootnoteReference"/>
                <w:rFonts w:eastAsia="Times New Roman"/>
                <w:sz w:val="20"/>
                <w:szCs w:val="20"/>
                <w:lang w:val="fr-FR"/>
              </w:rPr>
              <w:footnoteReference w:id="24"/>
            </w:r>
            <w:r w:rsidRPr="00CE7D50">
              <w:rPr>
                <w:rFonts w:eastAsia="Times New Roman"/>
                <w:sz w:val="20"/>
                <w:szCs w:val="20"/>
                <w:lang w:val="fr-FR"/>
              </w:rPr>
              <w:t> ;]</w:t>
            </w:r>
          </w:p>
          <w:p w14:paraId="0AC1097E" w14:textId="04DF1138" w:rsidR="001C532F" w:rsidRPr="00CE7D50" w:rsidRDefault="00CE7D50" w:rsidP="00CE7D50">
            <w:pPr>
              <w:tabs>
                <w:tab w:val="clear" w:pos="567"/>
                <w:tab w:val="clear" w:pos="1134"/>
                <w:tab w:val="clear" w:pos="1701"/>
                <w:tab w:val="clear" w:pos="2268"/>
              </w:tabs>
              <w:ind w:left="360" w:hanging="360"/>
              <w:rPr>
                <w:rFonts w:asciiTheme="majorBidi" w:hAnsiTheme="majorBidi" w:cstheme="majorBidi"/>
                <w:sz w:val="20"/>
                <w:szCs w:val="20"/>
                <w:lang w:val="fr-FR"/>
              </w:rPr>
            </w:pPr>
            <w:r>
              <w:rPr>
                <w:sz w:val="20"/>
                <w:szCs w:val="20"/>
                <w:lang w:val="fr-FR"/>
              </w:rPr>
              <w:t xml:space="preserve">c)   </w:t>
            </w:r>
            <w:r w:rsidR="001C532F" w:rsidRPr="00CE7D50">
              <w:rPr>
                <w:rFonts w:eastAsia="Times New Roman"/>
                <w:sz w:val="20"/>
                <w:szCs w:val="20"/>
                <w:lang w:val="fr-FR"/>
              </w:rPr>
              <w:t>Créer des centres d’excellence régionaux et internationaux, des réseaux de laboratoires ou des consortiums de recherche, en particulier dans les pays en développement, pour les activités menées dans le domaine de la biologie de synthèse ;</w:t>
            </w:r>
          </w:p>
          <w:p w14:paraId="2A95CC04" w14:textId="77777777" w:rsidR="001C532F" w:rsidRPr="00CE7D50" w:rsidRDefault="001C532F" w:rsidP="00CE7D50">
            <w:pPr>
              <w:tabs>
                <w:tab w:val="clear" w:pos="567"/>
                <w:tab w:val="clear" w:pos="1134"/>
                <w:tab w:val="clear" w:pos="1701"/>
                <w:tab w:val="clear" w:pos="2268"/>
              </w:tabs>
              <w:ind w:left="360" w:hanging="360"/>
              <w:rPr>
                <w:rFonts w:asciiTheme="majorBidi" w:hAnsiTheme="majorBidi" w:cstheme="majorBidi"/>
                <w:sz w:val="20"/>
                <w:szCs w:val="20"/>
                <w:lang w:val="fr-FR"/>
              </w:rPr>
            </w:pPr>
            <w:r w:rsidRPr="00CE7D50">
              <w:rPr>
                <w:rFonts w:eastAsia="Times New Roman"/>
                <w:sz w:val="20"/>
                <w:szCs w:val="20"/>
                <w:lang w:val="fr-FR"/>
              </w:rPr>
              <w:t>d) Renforcer la recherche sur les ressources génétiques locales, y compris par l’octroi de subventions pour la recherche locale) ;</w:t>
            </w:r>
          </w:p>
        </w:tc>
      </w:tr>
      <w:tr w:rsidR="001C532F" w:rsidRPr="00395997" w14:paraId="50287FEB" w14:textId="77777777" w:rsidTr="00CE7D50">
        <w:trPr>
          <w:gridAfter w:val="1"/>
          <w:wAfter w:w="28" w:type="pct"/>
          <w:jc w:val="center"/>
        </w:trPr>
        <w:tc>
          <w:tcPr>
            <w:tcW w:w="840" w:type="pct"/>
            <w:gridSpan w:val="2"/>
            <w:tcBorders>
              <w:top w:val="single" w:sz="4" w:space="0" w:color="auto"/>
              <w:left w:val="single" w:sz="4" w:space="0" w:color="auto"/>
              <w:bottom w:val="single" w:sz="4" w:space="0" w:color="auto"/>
              <w:right w:val="single" w:sz="4" w:space="0" w:color="auto"/>
            </w:tcBorders>
          </w:tcPr>
          <w:p w14:paraId="251B91E6"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1.5 Capacité d’évaluation améliorée</w:t>
            </w:r>
          </w:p>
        </w:tc>
        <w:tc>
          <w:tcPr>
            <w:tcW w:w="4131" w:type="pct"/>
            <w:tcBorders>
              <w:top w:val="single" w:sz="4" w:space="0" w:color="auto"/>
              <w:left w:val="single" w:sz="4" w:space="0" w:color="auto"/>
              <w:bottom w:val="single" w:sz="4" w:space="0" w:color="auto"/>
              <w:right w:val="single" w:sz="4" w:space="0" w:color="auto"/>
            </w:tcBorders>
          </w:tcPr>
          <w:p w14:paraId="2DB8F853" w14:textId="77777777" w:rsidR="001C532F" w:rsidRPr="006B2D93" w:rsidRDefault="001C532F" w:rsidP="00930824">
            <w:pPr>
              <w:tabs>
                <w:tab w:val="clear" w:pos="567"/>
                <w:tab w:val="clear" w:pos="1134"/>
                <w:tab w:val="clear" w:pos="1701"/>
                <w:tab w:val="clear" w:pos="2268"/>
              </w:tabs>
              <w:ind w:left="357" w:hanging="357"/>
              <w:rPr>
                <w:rFonts w:asciiTheme="majorBidi" w:eastAsia="Times New Roman"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a</w:t>
            </w:r>
            <w:proofErr w:type="gramEnd"/>
            <w:r w:rsidRPr="006B2D93">
              <w:rPr>
                <w:rFonts w:eastAsia="Times New Roman"/>
                <w:sz w:val="20"/>
                <w:szCs w:val="20"/>
                <w:lang w:val="fr-FR"/>
              </w:rPr>
              <w:t>) Pour les Parties au Protocole de Cartagena sur la prévention des risques biotechnologiques</w:t>
            </w:r>
            <w:r>
              <w:rPr>
                <w:rStyle w:val="FootnoteReference"/>
                <w:rFonts w:eastAsia="Times New Roman"/>
                <w:sz w:val="20"/>
                <w:szCs w:val="20"/>
                <w:lang w:val="fr-FR"/>
              </w:rPr>
              <w:footnoteReference w:id="25"/>
            </w:r>
            <w:r w:rsidRPr="006B2D93">
              <w:rPr>
                <w:rFonts w:eastAsia="Times New Roman"/>
                <w:sz w:val="20"/>
                <w:szCs w:val="20"/>
                <w:lang w:val="fr-FR"/>
              </w:rPr>
              <w:t>, recourir aux mesures associées prévues aux objectifs A.5 et A.9 du plan d’action pour le renforcement des capacités du Protocole</w:t>
            </w:r>
            <w:r>
              <w:rPr>
                <w:rStyle w:val="FootnoteReference"/>
                <w:rFonts w:eastAsia="Times New Roman"/>
                <w:sz w:val="20"/>
                <w:szCs w:val="20"/>
                <w:lang w:val="fr-FR"/>
              </w:rPr>
              <w:footnoteReference w:id="26"/>
            </w:r>
            <w:r w:rsidRPr="006B2D93">
              <w:rPr>
                <w:rFonts w:eastAsia="Times New Roman"/>
                <w:sz w:val="20"/>
                <w:szCs w:val="20"/>
                <w:lang w:val="fr-FR"/>
              </w:rPr>
              <w:t xml:space="preserve">, en ce qui concerne les </w:t>
            </w:r>
            <w:r w:rsidRPr="006B2D93">
              <w:rPr>
                <w:rFonts w:eastAsia="Times New Roman"/>
                <w:sz w:val="20"/>
                <w:szCs w:val="20"/>
                <w:lang w:val="fr-FR"/>
              </w:rPr>
              <w:lastRenderedPageBreak/>
              <w:t>applications de la biologie de synthèse considérées comme des organismes vivants modifiés ;]</w:t>
            </w:r>
          </w:p>
          <w:p w14:paraId="2C1B64D7" w14:textId="77777777" w:rsidR="001C532F" w:rsidRPr="006B2D93" w:rsidRDefault="001C532F" w:rsidP="00930824">
            <w:pPr>
              <w:tabs>
                <w:tab w:val="clear" w:pos="567"/>
                <w:tab w:val="clear" w:pos="1134"/>
                <w:tab w:val="clear" w:pos="1701"/>
                <w:tab w:val="clear" w:pos="2268"/>
              </w:tabs>
              <w:ind w:left="357" w:hanging="357"/>
              <w:rPr>
                <w:rFonts w:asciiTheme="majorBidi" w:eastAsia="Times New Roman"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b</w:t>
            </w:r>
            <w:proofErr w:type="gramEnd"/>
            <w:r w:rsidRPr="006B2D93">
              <w:rPr>
                <w:rFonts w:eastAsia="Times New Roman"/>
                <w:sz w:val="20"/>
                <w:szCs w:val="20"/>
                <w:lang w:val="fr-FR"/>
              </w:rPr>
              <w:t xml:space="preserve">) [Mettre en place, utiliser ou] renforcer, le cas échéant, des procédures nationales et internationales existantes pour l’évaluation d’impact environnemental des composants, organismes et produits issus de la biologie de synthèse susceptibles </w:t>
            </w:r>
            <w:proofErr w:type="gramStart"/>
            <w:r w:rsidRPr="006B2D93">
              <w:rPr>
                <w:rFonts w:eastAsia="Times New Roman"/>
                <w:sz w:val="20"/>
                <w:szCs w:val="20"/>
                <w:lang w:val="fr-FR"/>
              </w:rPr>
              <w:t>d’avoir</w:t>
            </w:r>
            <w:proofErr w:type="gramEnd"/>
            <w:r w:rsidRPr="006B2D93">
              <w:rPr>
                <w:rFonts w:eastAsia="Times New Roman"/>
                <w:sz w:val="20"/>
                <w:szCs w:val="20"/>
                <w:lang w:val="fr-FR"/>
              </w:rPr>
              <w:t xml:space="preserve"> des répercussions négatives importantes sur la diversité biologique, conformément à l’article 14 de la Convention,</w:t>
            </w:r>
            <w:r w:rsidRPr="006B2D93">
              <w:rPr>
                <w:rFonts w:eastAsia="Times New Roman"/>
                <w:lang w:val="fr-FR"/>
              </w:rPr>
              <w:t xml:space="preserve"> </w:t>
            </w:r>
            <w:r w:rsidRPr="006B2D93">
              <w:rPr>
                <w:rFonts w:eastAsia="Times New Roman"/>
                <w:sz w:val="20"/>
                <w:szCs w:val="20"/>
                <w:lang w:val="fr-FR"/>
              </w:rPr>
              <w:t>et en évitant la création de procédures réglementaires redondantes ;]</w:t>
            </w:r>
          </w:p>
          <w:p w14:paraId="31F85A08"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c)   Veiller à ce que le public participe et s’implique le milieu universitaire, aux côtés d’un large éventail d’experts, notamment issus des peuples autochtones et communautés locales, des femmes, des jeunes, et d’autres parties prenantes concernées, dans l’évaluation des applications de la biologie de synthèse</w:t>
            </w:r>
            <w:r>
              <w:rPr>
                <w:rFonts w:eastAsia="Times New Roman"/>
                <w:sz w:val="20"/>
                <w:szCs w:val="20"/>
                <w:lang w:val="fr-FR"/>
              </w:rPr>
              <w:t> </w:t>
            </w:r>
            <w:r w:rsidRPr="006B2D93">
              <w:rPr>
                <w:rFonts w:eastAsia="Times New Roman"/>
                <w:sz w:val="20"/>
                <w:szCs w:val="20"/>
                <w:lang w:val="fr-FR"/>
              </w:rPr>
              <w:t>;</w:t>
            </w:r>
          </w:p>
          <w:p w14:paraId="1FA2BB27"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d)  Financer et renforcer les programmes de recherche afin d’améliorer les capacités d’évaluation et de suivi concernant les impacts potentiels positifs et négatifs de la biologie de synthèse ;</w:t>
            </w:r>
          </w:p>
          <w:p w14:paraId="40F27D44" w14:textId="7CA44E1B"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 xml:space="preserve">e) </w:t>
            </w:r>
            <w:r w:rsidR="00CE7D50">
              <w:rPr>
                <w:rFonts w:eastAsia="Times New Roman"/>
                <w:sz w:val="20"/>
                <w:szCs w:val="20"/>
                <w:lang w:val="fr-FR"/>
              </w:rPr>
              <w:t xml:space="preserve"> </w:t>
            </w:r>
            <w:r w:rsidRPr="006B2D93">
              <w:rPr>
                <w:rFonts w:eastAsia="Times New Roman"/>
                <w:sz w:val="20"/>
                <w:szCs w:val="20"/>
                <w:lang w:val="fr-FR"/>
              </w:rPr>
              <w:t>Mener</w:t>
            </w:r>
            <w:proofErr w:type="gramEnd"/>
            <w:r w:rsidRPr="006B2D93">
              <w:rPr>
                <w:rFonts w:eastAsia="Times New Roman"/>
                <w:sz w:val="20"/>
                <w:szCs w:val="20"/>
                <w:lang w:val="fr-FR"/>
              </w:rPr>
              <w:t xml:space="preserve"> une analyse prospective, une évaluation et un suivi approfondis et réguliers afin de recenser les avancées récentes en matière de biologie de synthèse susceptibles d’avoir des incidences positives ou négatives sur les objectifs de la Convention ;]</w:t>
            </w:r>
          </w:p>
          <w:p w14:paraId="31BC7917" w14:textId="77777777" w:rsidR="001C532F" w:rsidRPr="006B2D93" w:rsidRDefault="001C532F" w:rsidP="00930824">
            <w:pPr>
              <w:tabs>
                <w:tab w:val="clear" w:pos="567"/>
                <w:tab w:val="clear" w:pos="1134"/>
                <w:tab w:val="clear" w:pos="1701"/>
                <w:tab w:val="clear" w:pos="2268"/>
              </w:tabs>
              <w:ind w:left="357" w:hanging="357"/>
              <w:rPr>
                <w:rFonts w:asciiTheme="majorBidi" w:eastAsia="Aptos Narrow" w:hAnsiTheme="majorBidi" w:cstheme="majorBidi"/>
                <w:color w:val="000000" w:themeColor="text1"/>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f)  Mettre</w:t>
            </w:r>
            <w:proofErr w:type="gramEnd"/>
            <w:r w:rsidRPr="006B2D93">
              <w:rPr>
                <w:rFonts w:eastAsia="Times New Roman"/>
                <w:sz w:val="20"/>
                <w:szCs w:val="20"/>
                <w:lang w:val="fr-FR"/>
              </w:rPr>
              <w:t xml:space="preserve"> au point des outils et des méthodes permettant d’évaluer les incidences positives et négatives potentielles de la biologie de synthèse sur les objectifs de la Convention et du Cadre ;]</w:t>
            </w:r>
          </w:p>
          <w:p w14:paraId="267E239A" w14:textId="77777777" w:rsidR="001C532F" w:rsidRPr="00226D22" w:rsidRDefault="001C532F" w:rsidP="00930824">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lang w:val="fr-FR"/>
              </w:rPr>
            </w:pPr>
            <w:r w:rsidRPr="006B2D93">
              <w:rPr>
                <w:rFonts w:eastAsia="Times New Roman"/>
                <w:sz w:val="20"/>
                <w:szCs w:val="20"/>
                <w:lang w:val="fr-FR"/>
              </w:rPr>
              <w:t>g)   Élaborer des normes fondées sur des données scientifiques afin d’évaluer et de garantir la fiabilité des systèmes de confinement biologique,</w:t>
            </w:r>
            <w:r w:rsidRPr="006B2D93">
              <w:rPr>
                <w:rFonts w:eastAsia="Times New Roman"/>
                <w:lang w:val="fr-FR"/>
              </w:rPr>
              <w:t xml:space="preserve"> </w:t>
            </w:r>
            <w:r w:rsidRPr="006B2D93">
              <w:rPr>
                <w:rFonts w:eastAsia="Times New Roman"/>
                <w:sz w:val="20"/>
                <w:szCs w:val="20"/>
                <w:lang w:val="fr-FR"/>
              </w:rPr>
              <w:t>conformément à la législation nationale.</w:t>
            </w:r>
          </w:p>
        </w:tc>
      </w:tr>
      <w:tr w:rsidR="001C532F" w:rsidRPr="00395997" w14:paraId="0EB657C5" w14:textId="77777777" w:rsidTr="00CE7D50">
        <w:trPr>
          <w:gridAfter w:val="1"/>
          <w:wAfter w:w="28" w:type="pct"/>
          <w:jc w:val="center"/>
        </w:trPr>
        <w:tc>
          <w:tcPr>
            <w:tcW w:w="4972" w:type="pct"/>
            <w:gridSpan w:val="3"/>
            <w:tcBorders>
              <w:top w:val="single" w:sz="4" w:space="0" w:color="auto"/>
              <w:left w:val="single" w:sz="4" w:space="0" w:color="auto"/>
              <w:bottom w:val="single" w:sz="4" w:space="0" w:color="auto"/>
              <w:right w:val="single" w:sz="4" w:space="0" w:color="auto"/>
            </w:tcBorders>
          </w:tcPr>
          <w:p w14:paraId="3CC04452" w14:textId="77777777" w:rsidR="001C532F" w:rsidRPr="006B2D93" w:rsidRDefault="001C532F" w:rsidP="00F00A5E">
            <w:pPr>
              <w:pStyle w:val="ListParagraph"/>
              <w:keepNext/>
              <w:keepLines/>
              <w:tabs>
                <w:tab w:val="clear" w:pos="567"/>
                <w:tab w:val="clear" w:pos="1134"/>
                <w:tab w:val="clear" w:pos="1701"/>
                <w:tab w:val="clear" w:pos="2268"/>
              </w:tabs>
              <w:ind w:left="0"/>
              <w:rPr>
                <w:rFonts w:asciiTheme="majorBidi" w:eastAsia="Times New Roman" w:hAnsiTheme="majorBidi" w:cstheme="majorBidi"/>
                <w:sz w:val="20"/>
                <w:szCs w:val="20"/>
                <w:lang w:val="fr-FR"/>
              </w:rPr>
            </w:pPr>
            <w:r w:rsidRPr="006B2D93">
              <w:rPr>
                <w:rFonts w:eastAsia="Times New Roman"/>
                <w:b/>
                <w:bCs/>
                <w:sz w:val="20"/>
                <w:szCs w:val="20"/>
                <w:lang w:val="fr-FR"/>
              </w:rPr>
              <w:lastRenderedPageBreak/>
              <w:t>Domaine de réalisation</w:t>
            </w:r>
            <w:r>
              <w:rPr>
                <w:rFonts w:eastAsia="Times New Roman"/>
                <w:b/>
                <w:bCs/>
                <w:sz w:val="20"/>
                <w:szCs w:val="20"/>
                <w:lang w:val="fr-FR"/>
              </w:rPr>
              <w:t> </w:t>
            </w:r>
            <w:r w:rsidRPr="006B2D93">
              <w:rPr>
                <w:rFonts w:eastAsia="Times New Roman"/>
                <w:b/>
                <w:bCs/>
                <w:sz w:val="20"/>
                <w:szCs w:val="20"/>
                <w:lang w:val="fr-FR"/>
              </w:rPr>
              <w:t>2</w:t>
            </w:r>
            <w:r w:rsidRPr="006B2D93">
              <w:rPr>
                <w:rFonts w:eastAsia="Times New Roman"/>
                <w:sz w:val="20"/>
                <w:szCs w:val="20"/>
                <w:lang w:val="fr-FR"/>
              </w:rPr>
              <w:t> : amélioration de l’accès aux technologies liées à la biologie de synthèse et de leur transfert</w:t>
            </w:r>
          </w:p>
          <w:p w14:paraId="3709D17C" w14:textId="77777777" w:rsidR="001C532F" w:rsidRPr="00226D22" w:rsidRDefault="001C532F" w:rsidP="00F00A5E">
            <w:pPr>
              <w:pStyle w:val="ListParagraph"/>
              <w:keepNext/>
              <w:keepLines/>
              <w:tabs>
                <w:tab w:val="clear" w:pos="567"/>
                <w:tab w:val="clear" w:pos="1134"/>
                <w:tab w:val="clear" w:pos="1701"/>
                <w:tab w:val="clear" w:pos="2268"/>
              </w:tabs>
              <w:ind w:left="0"/>
              <w:jc w:val="left"/>
              <w:rPr>
                <w:rFonts w:asciiTheme="majorBidi" w:eastAsia="Times New Roman" w:hAnsiTheme="majorBidi" w:cstheme="majorBidi"/>
                <w:sz w:val="20"/>
                <w:szCs w:val="20"/>
                <w:lang w:val="fr-FR"/>
              </w:rPr>
            </w:pPr>
            <w:r w:rsidRPr="006B2D93">
              <w:rPr>
                <w:rFonts w:eastAsia="Times New Roman"/>
                <w:b/>
                <w:bCs/>
                <w:sz w:val="20"/>
                <w:szCs w:val="20"/>
                <w:lang w:val="fr-FR"/>
              </w:rPr>
              <w:t>Objectif</w:t>
            </w:r>
            <w:r w:rsidRPr="006B2D93">
              <w:rPr>
                <w:rFonts w:eastAsia="Times New Roman"/>
                <w:sz w:val="20"/>
                <w:szCs w:val="20"/>
                <w:lang w:val="fr-FR"/>
              </w:rPr>
              <w:t> : l’accès à la technologie et son transfert sont essentiels à la réalisation des trois objectifs de la Convention et du Cadre. Ainsi, l’objectif du domaine de réalisation n° 2 est de garantir l’accès aux technologies de la biologie de synthèse qui présentent un intérêt pour la conservation et l’utilisation durable de la diversité biologique et qui n’entraînent pas de dommages importants à l’environnement, ainsi que de créer des environnements facilitant le transfert de ces technologies, conformément aux articles 16 et 19 de la Convention</w:t>
            </w:r>
            <w:r>
              <w:rPr>
                <w:rFonts w:eastAsia="Times New Roman"/>
                <w:sz w:val="20"/>
                <w:szCs w:val="20"/>
                <w:lang w:val="fr-FR"/>
              </w:rPr>
              <w:t>.</w:t>
            </w:r>
          </w:p>
        </w:tc>
      </w:tr>
      <w:tr w:rsidR="001C532F" w:rsidRPr="00226D22" w14:paraId="423A23E2" w14:textId="77777777" w:rsidTr="00CE7D50">
        <w:tblPrEx>
          <w:jc w:val="left"/>
        </w:tblPrEx>
        <w:trPr>
          <w:gridBefore w:val="1"/>
          <w:wBefore w:w="10" w:type="pct"/>
        </w:trPr>
        <w:tc>
          <w:tcPr>
            <w:tcW w:w="830" w:type="pct"/>
          </w:tcPr>
          <w:p w14:paraId="0451CC41" w14:textId="77777777" w:rsidR="001C532F" w:rsidRPr="00226D22" w:rsidRDefault="001C532F" w:rsidP="00F00A5E">
            <w:pPr>
              <w:keepNext/>
              <w:jc w:val="left"/>
              <w:rPr>
                <w:rFonts w:asciiTheme="majorBidi" w:hAnsiTheme="majorBidi" w:cstheme="majorBidi"/>
                <w:i/>
                <w:iCs/>
                <w:sz w:val="20"/>
                <w:szCs w:val="20"/>
                <w:lang w:val="fr-FR"/>
              </w:rPr>
            </w:pPr>
            <w:r w:rsidRPr="006B2D93">
              <w:rPr>
                <w:rFonts w:eastAsia="Times New Roman"/>
                <w:i/>
                <w:iCs/>
                <w:sz w:val="20"/>
                <w:szCs w:val="20"/>
                <w:lang w:val="fr-FR"/>
              </w:rPr>
              <w:t>Résultat</w:t>
            </w:r>
          </w:p>
        </w:tc>
        <w:tc>
          <w:tcPr>
            <w:tcW w:w="4160" w:type="pct"/>
            <w:gridSpan w:val="2"/>
          </w:tcPr>
          <w:p w14:paraId="5115891E" w14:textId="77777777" w:rsidR="001C532F" w:rsidRPr="00226D22" w:rsidRDefault="001C532F" w:rsidP="00F00A5E">
            <w:pPr>
              <w:keepNext/>
              <w:jc w:val="left"/>
              <w:rPr>
                <w:rFonts w:asciiTheme="majorBidi" w:hAnsiTheme="majorBidi" w:cstheme="majorBidi"/>
                <w:i/>
                <w:iCs/>
                <w:sz w:val="20"/>
                <w:szCs w:val="20"/>
                <w:lang w:val="fr-FR"/>
              </w:rPr>
            </w:pPr>
            <w:r w:rsidRPr="006B2D93">
              <w:rPr>
                <w:rFonts w:eastAsia="Times New Roman"/>
                <w:i/>
                <w:iCs/>
                <w:sz w:val="20"/>
                <w:szCs w:val="20"/>
                <w:lang w:val="fr-FR"/>
              </w:rPr>
              <w:t>Mesures stratégiques indicatives</w:t>
            </w:r>
          </w:p>
        </w:tc>
      </w:tr>
      <w:tr w:rsidR="001C532F" w:rsidRPr="00395997" w14:paraId="30989DAC" w14:textId="77777777" w:rsidTr="00CE7D50">
        <w:tblPrEx>
          <w:jc w:val="left"/>
        </w:tblPrEx>
        <w:trPr>
          <w:gridBefore w:val="1"/>
          <w:wBefore w:w="10" w:type="pct"/>
        </w:trPr>
        <w:tc>
          <w:tcPr>
            <w:tcW w:w="830" w:type="pct"/>
          </w:tcPr>
          <w:p w14:paraId="4B7F62BA" w14:textId="77777777" w:rsidR="001C532F" w:rsidRPr="00226D22" w:rsidRDefault="001C532F" w:rsidP="00F00A5E">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2.1. Amélioration de l’accès aux technologies et de leur transfert</w:t>
            </w:r>
          </w:p>
        </w:tc>
        <w:tc>
          <w:tcPr>
            <w:tcW w:w="4160" w:type="pct"/>
            <w:gridSpan w:val="2"/>
          </w:tcPr>
          <w:p w14:paraId="70FB5A4D"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Mettre en place des partenariats entre les secteurs public et privé, entre les secteurs public, privé et universitaire, ainsi qu’entre les secteurs universitaire et privé, dans les technologies pertinentes pour la recherche et le développement en matière de biologie de synthèse, ainsi que pour l’évaluation de cette discipline ;</w:t>
            </w:r>
          </w:p>
          <w:p w14:paraId="75C428EA"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 xml:space="preserve">Élaborer et tenir à jour une base de données accessible des outils et méthodes de détection, </w:t>
            </w:r>
            <w:r>
              <w:rPr>
                <w:rFonts w:eastAsia="Times New Roman"/>
                <w:sz w:val="20"/>
                <w:szCs w:val="20"/>
                <w:lang w:val="fr-FR"/>
              </w:rPr>
              <w:t>de recensement</w:t>
            </w:r>
            <w:r w:rsidRPr="006B2D93">
              <w:rPr>
                <w:rFonts w:eastAsia="Times New Roman"/>
                <w:sz w:val="20"/>
                <w:szCs w:val="20"/>
                <w:lang w:val="fr-FR"/>
              </w:rPr>
              <w:t xml:space="preserve"> et d’évaluation ;</w:t>
            </w:r>
          </w:p>
          <w:p w14:paraId="01629D69"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 xml:space="preserve">Encourager le développement et l’utilisation d’outils </w:t>
            </w:r>
            <w:r>
              <w:rPr>
                <w:rFonts w:eastAsia="Times New Roman"/>
                <w:sz w:val="20"/>
                <w:szCs w:val="20"/>
                <w:lang w:val="fr-FR"/>
              </w:rPr>
              <w:t>open s</w:t>
            </w:r>
            <w:r w:rsidRPr="006B2D93">
              <w:rPr>
                <w:rFonts w:eastAsia="Times New Roman"/>
                <w:sz w:val="20"/>
                <w:szCs w:val="20"/>
                <w:lang w:val="fr-FR"/>
              </w:rPr>
              <w:t>ource, de plateformes technologiques à faible coût et de modèles de fabrication distribuée ;</w:t>
            </w:r>
          </w:p>
          <w:p w14:paraId="3F3D771F"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Investir dans les chaînes d’approvisionnement et les renforcer</w:t>
            </w:r>
            <w:r>
              <w:rPr>
                <w:rFonts w:eastAsia="Times New Roman"/>
                <w:sz w:val="20"/>
                <w:szCs w:val="20"/>
                <w:lang w:val="fr-FR"/>
              </w:rPr>
              <w:t>,</w:t>
            </w:r>
            <w:r w:rsidRPr="006B2D93">
              <w:rPr>
                <w:rFonts w:eastAsia="Times New Roman"/>
                <w:sz w:val="20"/>
                <w:szCs w:val="20"/>
                <w:lang w:val="fr-FR"/>
              </w:rPr>
              <w:t xml:space="preserve"> y compris par des infrastructures de la chaîne du froid, la production nationale et régionale et la diversification des fournisseurs ;</w:t>
            </w:r>
          </w:p>
          <w:p w14:paraId="340FC006"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Faciliter les procédures d’importation des fournitures destinées à la recherche</w:t>
            </w:r>
            <w:r>
              <w:rPr>
                <w:rFonts w:eastAsia="Times New Roman"/>
                <w:sz w:val="20"/>
                <w:szCs w:val="20"/>
                <w:lang w:val="fr-FR"/>
              </w:rPr>
              <w:t> </w:t>
            </w:r>
            <w:r w:rsidRPr="006B2D93">
              <w:rPr>
                <w:rFonts w:eastAsia="Times New Roman"/>
                <w:sz w:val="20"/>
                <w:szCs w:val="20"/>
                <w:lang w:val="fr-FR"/>
              </w:rPr>
              <w:t>;</w:t>
            </w:r>
          </w:p>
          <w:p w14:paraId="5B466A5D"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Promouvoir et faciliter le partage des installations, conformément aux besoins et priorités des pays ;</w:t>
            </w:r>
          </w:p>
          <w:p w14:paraId="376B56DD"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Encourager le recours aux programmes d’échange et organiser des événements de rapprochements professionnels et des salons technologiques afin de favoriser la création de liens entre les fournisseurs de technologies, les organismes de contrôle, les évaluateurs et les utilisateurs potentiels, y compris au niveau régional ;</w:t>
            </w:r>
          </w:p>
          <w:p w14:paraId="2BF03766"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 xml:space="preserve">Développer des outils et élaborer des orientations concernant l’accès aux technologies de biologie de synthèse et leur transfert lorsque ces technologies présentent un intérêt pour la conservation et l’utilisation durable de la diversité biologique ou font appel à des </w:t>
            </w:r>
            <w:r w:rsidRPr="006B2D93">
              <w:rPr>
                <w:rFonts w:eastAsia="Times New Roman"/>
                <w:sz w:val="20"/>
                <w:szCs w:val="20"/>
                <w:lang w:val="fr-FR"/>
              </w:rPr>
              <w:lastRenderedPageBreak/>
              <w:t>ressources génétiques, qu’elles n’entraînent pas de dommages significatifs à l’environnement et qu’elles sont adaptées aux contextes économiques, sociaux et culturels locaux ;</w:t>
            </w:r>
          </w:p>
          <w:p w14:paraId="398A1919" w14:textId="77777777" w:rsidR="001C532F" w:rsidRPr="006B2D93" w:rsidRDefault="001C532F" w:rsidP="00F00A5E">
            <w:pPr>
              <w:pStyle w:val="ListParagraph"/>
              <w:numPr>
                <w:ilvl w:val="0"/>
                <w:numId w:val="17"/>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Encourager la mise en place de dispositions de licence volontaires, selon des conditions convenues d’un commun accord, pour les peuples autochtones et les communautés locales ;</w:t>
            </w:r>
          </w:p>
          <w:p w14:paraId="01F1B425" w14:textId="77777777" w:rsidR="001C532F" w:rsidRPr="00226D22" w:rsidRDefault="001C532F" w:rsidP="00F00A5E">
            <w:pPr>
              <w:pStyle w:val="ListParagraph"/>
              <w:numPr>
                <w:ilvl w:val="0"/>
                <w:numId w:val="17"/>
              </w:numPr>
              <w:tabs>
                <w:tab w:val="clear" w:pos="567"/>
                <w:tab w:val="clear" w:pos="1134"/>
                <w:tab w:val="clear" w:pos="1701"/>
                <w:tab w:val="clear" w:pos="2268"/>
              </w:tabs>
              <w:ind w:left="360"/>
              <w:jc w:val="left"/>
              <w:rPr>
                <w:rFonts w:asciiTheme="majorBidi" w:eastAsia="Times New Roman Bold" w:hAnsiTheme="majorBidi" w:cstheme="majorBidi"/>
                <w:sz w:val="20"/>
                <w:szCs w:val="20"/>
                <w:lang w:val="fr-FR"/>
              </w:rPr>
            </w:pPr>
            <w:r w:rsidRPr="00226D22">
              <w:rPr>
                <w:rFonts w:eastAsia="Times New Roman"/>
                <w:sz w:val="20"/>
                <w:szCs w:val="20"/>
                <w:lang w:val="fr-FR"/>
              </w:rPr>
              <w:t>Encourager la réduction des tarifs de licences volontaires et le transfert des connaissances technologiques pour l’utilisation dans le cadre de l’innovation locale et de la recherche à but non commercial dans les pays en développement.</w:t>
            </w:r>
          </w:p>
        </w:tc>
      </w:tr>
      <w:tr w:rsidR="001C532F" w:rsidRPr="00226D22" w14:paraId="0BA33140" w14:textId="77777777" w:rsidTr="00CE7D50">
        <w:tblPrEx>
          <w:jc w:val="left"/>
        </w:tblPrEx>
        <w:trPr>
          <w:gridBefore w:val="1"/>
          <w:wBefore w:w="10" w:type="pct"/>
        </w:trPr>
        <w:tc>
          <w:tcPr>
            <w:tcW w:w="830" w:type="pct"/>
          </w:tcPr>
          <w:p w14:paraId="69E5AC19" w14:textId="77777777" w:rsidR="001C532F" w:rsidRPr="00226D22" w:rsidRDefault="001C532F" w:rsidP="00930824">
            <w:pPr>
              <w:tabs>
                <w:tab w:val="clear" w:pos="567"/>
                <w:tab w:val="clear" w:pos="1134"/>
                <w:tab w:val="clear" w:pos="1701"/>
                <w:tab w:val="clear" w:pos="2268"/>
              </w:tabs>
              <w:jc w:val="left"/>
              <w:rPr>
                <w:rFonts w:asciiTheme="majorBidi" w:eastAsia="Segoe UI" w:hAnsiTheme="majorBidi" w:cstheme="majorBidi"/>
                <w:color w:val="333333"/>
                <w:sz w:val="20"/>
                <w:szCs w:val="20"/>
                <w:lang w:val="fr-FR"/>
              </w:rPr>
            </w:pPr>
            <w:r w:rsidRPr="006B2D93">
              <w:rPr>
                <w:rFonts w:eastAsia="Times New Roman"/>
                <w:sz w:val="20"/>
                <w:szCs w:val="20"/>
                <w:lang w:val="fr-FR"/>
              </w:rPr>
              <w:lastRenderedPageBreak/>
              <w:t>2.2. Mise en place de cadres réglementaires solides, conformes à la réglementation en vigueur</w:t>
            </w:r>
          </w:p>
        </w:tc>
        <w:tc>
          <w:tcPr>
            <w:tcW w:w="4160" w:type="pct"/>
            <w:gridSpan w:val="2"/>
          </w:tcPr>
          <w:p w14:paraId="2B08190B" w14:textId="77777777" w:rsidR="001C532F" w:rsidRPr="00F00A5E" w:rsidRDefault="001C532F" w:rsidP="00F00A5E">
            <w:pPr>
              <w:tabs>
                <w:tab w:val="clear" w:pos="567"/>
                <w:tab w:val="clear" w:pos="1134"/>
                <w:tab w:val="clear" w:pos="1701"/>
                <w:tab w:val="clear" w:pos="2268"/>
              </w:tabs>
              <w:rPr>
                <w:rFonts w:asciiTheme="majorBidi" w:hAnsiTheme="majorBidi" w:cstheme="majorBidi"/>
                <w:sz w:val="20"/>
                <w:szCs w:val="20"/>
                <w:lang w:val="fr-FR"/>
              </w:rPr>
            </w:pPr>
            <w:r w:rsidRPr="00F00A5E">
              <w:rPr>
                <w:rFonts w:asciiTheme="majorBidi" w:hAnsiTheme="majorBidi" w:cstheme="majorBidi"/>
                <w:sz w:val="20"/>
                <w:szCs w:val="20"/>
                <w:lang w:val="fr-FR"/>
              </w:rPr>
              <w:t>[</w:t>
            </w:r>
          </w:p>
          <w:p w14:paraId="70B58C4A"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Mettre en place, maintenir et développer davantage des cadres opérationnels en matière de prévention des risques biotechnologiques, qui, pour les Parties au Protocole de Cartagena, devraient être conformes à l’objectif A.1 du plan d’action pour le renforcement des capacités du Protocole</w:t>
            </w:r>
            <w:r w:rsidRPr="006B2D93">
              <w:rPr>
                <w:rStyle w:val="FootnoteReference"/>
                <w:rFonts w:asciiTheme="majorBidi" w:hAnsiTheme="majorBidi" w:cstheme="majorBidi"/>
                <w:i/>
                <w:iCs/>
                <w:sz w:val="20"/>
                <w:szCs w:val="20"/>
                <w:lang w:val="fr-FR"/>
              </w:rPr>
              <w:footnoteReference w:id="27"/>
            </w:r>
            <w:r w:rsidRPr="006B2D93">
              <w:rPr>
                <w:rFonts w:eastAsia="Times New Roman"/>
                <w:sz w:val="20"/>
                <w:szCs w:val="20"/>
                <w:lang w:val="fr-FR"/>
              </w:rPr>
              <w:t> ;</w:t>
            </w:r>
          </w:p>
          <w:p w14:paraId="7FD3F627"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Examiner les cadres réglementaires de prévention des risques biotechnologiques afin d</w:t>
            </w:r>
            <w:r>
              <w:rPr>
                <w:rFonts w:eastAsia="Times New Roman"/>
                <w:sz w:val="20"/>
                <w:szCs w:val="20"/>
                <w:lang w:val="fr-FR"/>
              </w:rPr>
              <w:t>e recens</w:t>
            </w:r>
            <w:r w:rsidRPr="006B2D93">
              <w:rPr>
                <w:rFonts w:eastAsia="Times New Roman"/>
                <w:sz w:val="20"/>
                <w:szCs w:val="20"/>
                <w:lang w:val="fr-FR"/>
              </w:rPr>
              <w:t>er d’éventuelles lacunes liées à la biologie de synthèse et les mettre à jour pour y remédier, si nécessaire ;</w:t>
            </w:r>
          </w:p>
          <w:p w14:paraId="01973F5E"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Mettre en place des mécanismes nationaux de coordination pour les activités liées à la biologie de synthèse ;</w:t>
            </w:r>
          </w:p>
          <w:p w14:paraId="22669CBE"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Promouvoir l’utilisation de lignes directrices visant à renforcer la gouvernance de la biologie de synthèse, en accord avec les besoins et les priorités des pays et les réglementations existantes ;</w:t>
            </w:r>
          </w:p>
          <w:p w14:paraId="5597E337"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Encourager la coopération Nord-Sud, Sud-Sud et triangulaire, notamment par l’échange de connaissances scientifiques, d’expertise technique, d’expérience en matière de réglementation et de bonnes pratiques liées à la biologie de synthèse, tout en respectant la législation nationale, les spécificités nationales et le droit souverain des Parties d’établir et de mettre en œuvre leurs propres cadres ;</w:t>
            </w:r>
          </w:p>
          <w:p w14:paraId="3EF4912E" w14:textId="77777777" w:rsidR="001C532F" w:rsidRPr="006B2D93" w:rsidRDefault="001C532F" w:rsidP="001C532F">
            <w:pPr>
              <w:pStyle w:val="ListParagraph"/>
              <w:numPr>
                <w:ilvl w:val="0"/>
                <w:numId w:val="18"/>
              </w:numPr>
              <w:tabs>
                <w:tab w:val="clear" w:pos="567"/>
                <w:tab w:val="clear" w:pos="1134"/>
                <w:tab w:val="clear" w:pos="1701"/>
                <w:tab w:val="clear" w:pos="2268"/>
              </w:tabs>
              <w:ind w:left="360"/>
              <w:rPr>
                <w:rFonts w:asciiTheme="majorBidi" w:hAnsiTheme="majorBidi" w:cstheme="majorBidi"/>
                <w:sz w:val="20"/>
                <w:szCs w:val="20"/>
                <w:lang w:val="fr-FR"/>
              </w:rPr>
            </w:pPr>
            <w:r w:rsidRPr="006B2D93">
              <w:rPr>
                <w:rFonts w:eastAsia="Times New Roman"/>
                <w:sz w:val="20"/>
                <w:szCs w:val="20"/>
                <w:lang w:val="fr-FR"/>
              </w:rPr>
              <w:t xml:space="preserve">Promouvoir des mesures visant à respecter, préserver et maintenir les connaissances traditionnelles, les innovations et les pratiques des peuples autochtones et communautés locales en rapport avec la biologie de synthèse, afin de garantir que leur accès et leur utilisation ne soient autorisés qu’avec </w:t>
            </w:r>
            <w:r>
              <w:rPr>
                <w:rFonts w:eastAsia="Times New Roman"/>
                <w:sz w:val="20"/>
                <w:szCs w:val="20"/>
                <w:lang w:val="fr-FR"/>
              </w:rPr>
              <w:t>le</w:t>
            </w:r>
            <w:r w:rsidRPr="006B2D93">
              <w:rPr>
                <w:rFonts w:eastAsia="Times New Roman"/>
                <w:sz w:val="20"/>
                <w:szCs w:val="20"/>
                <w:lang w:val="fr-FR"/>
              </w:rPr>
              <w:t xml:space="preserve"> consentement préalable, donné librement et en connaissance de cause</w:t>
            </w:r>
            <w:r w:rsidRPr="006B2D93">
              <w:rPr>
                <w:rStyle w:val="FootnoteReference"/>
                <w:rFonts w:asciiTheme="majorBidi" w:hAnsiTheme="majorBidi" w:cstheme="majorBidi"/>
                <w:i/>
                <w:iCs/>
                <w:sz w:val="20"/>
                <w:szCs w:val="20"/>
                <w:lang w:val="fr-FR"/>
              </w:rPr>
              <w:footnoteReference w:id="28"/>
            </w:r>
            <w:r>
              <w:rPr>
                <w:rFonts w:eastAsia="Times New Roman"/>
                <w:sz w:val="20"/>
                <w:szCs w:val="20"/>
                <w:lang w:val="fr-FR"/>
              </w:rPr>
              <w:t xml:space="preserve"> par les peuples autochtones et communautés locales concernées</w:t>
            </w:r>
            <w:r w:rsidRPr="006B2D93">
              <w:rPr>
                <w:rFonts w:eastAsia="Times New Roman"/>
                <w:sz w:val="20"/>
                <w:szCs w:val="20"/>
                <w:lang w:val="fr-FR"/>
              </w:rPr>
              <w:t>, et que les avantages découlant de leur utilisation soient partagés de manière juste et équitable, conformément aux cadres applicables en matière de propriété intellectuelle.</w:t>
            </w:r>
          </w:p>
          <w:p w14:paraId="47726BED" w14:textId="77777777" w:rsidR="001C532F" w:rsidRPr="00F00A5E" w:rsidRDefault="001C532F" w:rsidP="00F00A5E">
            <w:pPr>
              <w:tabs>
                <w:tab w:val="clear" w:pos="567"/>
                <w:tab w:val="clear" w:pos="1134"/>
                <w:tab w:val="clear" w:pos="1701"/>
                <w:tab w:val="clear" w:pos="2268"/>
              </w:tabs>
              <w:jc w:val="left"/>
              <w:rPr>
                <w:rFonts w:asciiTheme="majorBidi" w:hAnsiTheme="majorBidi" w:cstheme="majorBidi"/>
                <w:sz w:val="20"/>
                <w:szCs w:val="20"/>
                <w:lang w:val="fr-FR"/>
              </w:rPr>
            </w:pPr>
            <w:r w:rsidRPr="00F00A5E">
              <w:rPr>
                <w:rFonts w:asciiTheme="majorBidi" w:hAnsiTheme="majorBidi" w:cstheme="majorBidi"/>
                <w:sz w:val="20"/>
                <w:szCs w:val="20"/>
                <w:lang w:val="fr-FR"/>
              </w:rPr>
              <w:t>]</w:t>
            </w:r>
          </w:p>
        </w:tc>
      </w:tr>
      <w:tr w:rsidR="001C532F" w:rsidRPr="00226D22" w14:paraId="3160FBB3" w14:textId="77777777" w:rsidTr="00CE7D50">
        <w:tblPrEx>
          <w:jc w:val="left"/>
        </w:tblPrEx>
        <w:trPr>
          <w:gridBefore w:val="1"/>
          <w:wBefore w:w="10" w:type="pct"/>
        </w:trPr>
        <w:tc>
          <w:tcPr>
            <w:tcW w:w="830" w:type="pct"/>
          </w:tcPr>
          <w:p w14:paraId="0EA5290A"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2.3. Amélioration de l’accès aux technologies de la biologie de synthèse et du partage des avantages qui en découlent</w:t>
            </w:r>
          </w:p>
        </w:tc>
        <w:tc>
          <w:tcPr>
            <w:tcW w:w="4160" w:type="pct"/>
            <w:gridSpan w:val="2"/>
          </w:tcPr>
          <w:p w14:paraId="71240E5D" w14:textId="77777777" w:rsidR="001C532F" w:rsidRPr="006B2D93" w:rsidRDefault="001C532F" w:rsidP="00930824">
            <w:pPr>
              <w:tabs>
                <w:tab w:val="clear" w:pos="567"/>
                <w:tab w:val="clear" w:pos="1134"/>
                <w:tab w:val="clear" w:pos="1701"/>
                <w:tab w:val="clear" w:pos="2268"/>
              </w:tabs>
              <w:rPr>
                <w:rFonts w:asciiTheme="majorBidi" w:hAnsiTheme="majorBidi" w:cstheme="majorBidi"/>
                <w:sz w:val="20"/>
                <w:szCs w:val="20"/>
                <w:lang w:val="fr-FR"/>
              </w:rPr>
            </w:pPr>
            <w:r w:rsidRPr="006B2D93">
              <w:rPr>
                <w:rFonts w:asciiTheme="majorBidi" w:hAnsiTheme="majorBidi" w:cstheme="majorBidi"/>
                <w:sz w:val="20"/>
                <w:szCs w:val="20"/>
                <w:lang w:val="fr-FR"/>
              </w:rPr>
              <w:t>[</w:t>
            </w:r>
          </w:p>
          <w:p w14:paraId="0F480CA9" w14:textId="77777777" w:rsidR="001C532F" w:rsidRPr="006B2D93" w:rsidRDefault="001C532F" w:rsidP="001C532F">
            <w:pPr>
              <w:pStyle w:val="ListParagraph"/>
              <w:numPr>
                <w:ilvl w:val="0"/>
                <w:numId w:val="14"/>
              </w:numPr>
              <w:tabs>
                <w:tab w:val="clear" w:pos="567"/>
                <w:tab w:val="clear" w:pos="1134"/>
                <w:tab w:val="clear" w:pos="1701"/>
                <w:tab w:val="clear" w:pos="2268"/>
              </w:tabs>
              <w:rPr>
                <w:rFonts w:asciiTheme="majorBidi" w:hAnsiTheme="majorBidi" w:cstheme="majorBidi"/>
                <w:sz w:val="20"/>
                <w:szCs w:val="20"/>
                <w:lang w:val="fr-FR"/>
              </w:rPr>
            </w:pPr>
            <w:r w:rsidRPr="006B2D93">
              <w:rPr>
                <w:rFonts w:eastAsia="Times New Roman"/>
                <w:sz w:val="20"/>
                <w:szCs w:val="20"/>
                <w:lang w:val="fr-FR"/>
              </w:rPr>
              <w:t>Pour les Parties au Protocole de Nagoya sur l’accès aux ressources génétiques et le partage juste et équitable des avantages découlant de leur utilisation</w:t>
            </w:r>
            <w:r>
              <w:rPr>
                <w:rStyle w:val="FootnoteReference"/>
                <w:rFonts w:eastAsia="Times New Roman"/>
                <w:sz w:val="20"/>
                <w:szCs w:val="20"/>
                <w:lang w:val="fr-FR"/>
              </w:rPr>
              <w:footnoteReference w:id="29"/>
            </w:r>
            <w:r w:rsidRPr="006B2D93">
              <w:rPr>
                <w:rFonts w:eastAsia="Times New Roman"/>
                <w:sz w:val="20"/>
                <w:szCs w:val="20"/>
                <w:lang w:val="fr-FR"/>
              </w:rPr>
              <w:t>, il convient d’utiliser le plan d’action pour la création et le renforcement des capacités du Protocole</w:t>
            </w:r>
            <w:r>
              <w:rPr>
                <w:rStyle w:val="FootnoteReference"/>
                <w:rFonts w:eastAsia="Times New Roman"/>
                <w:sz w:val="20"/>
                <w:szCs w:val="20"/>
                <w:lang w:val="fr-FR"/>
              </w:rPr>
              <w:footnoteReference w:id="30"/>
            </w:r>
            <w:r w:rsidRPr="006B2D93">
              <w:rPr>
                <w:rFonts w:eastAsia="Times New Roman"/>
                <w:sz w:val="20"/>
                <w:szCs w:val="20"/>
                <w:lang w:val="fr-FR"/>
              </w:rPr>
              <w:t xml:space="preserve"> afin de consolider les systèmes d’accès et de partage des avantages ;</w:t>
            </w:r>
          </w:p>
          <w:p w14:paraId="5A1A6112" w14:textId="77777777" w:rsidR="001C532F" w:rsidRPr="006B2D93" w:rsidRDefault="001C532F" w:rsidP="001C532F">
            <w:pPr>
              <w:pStyle w:val="ListParagraph"/>
              <w:numPr>
                <w:ilvl w:val="0"/>
                <w:numId w:val="14"/>
              </w:numPr>
              <w:tabs>
                <w:tab w:val="clear" w:pos="567"/>
                <w:tab w:val="clear" w:pos="1134"/>
                <w:tab w:val="clear" w:pos="1701"/>
                <w:tab w:val="clear" w:pos="2268"/>
              </w:tabs>
              <w:rPr>
                <w:rFonts w:asciiTheme="majorBidi" w:hAnsiTheme="majorBidi" w:cstheme="majorBidi"/>
                <w:sz w:val="20"/>
                <w:szCs w:val="20"/>
                <w:lang w:val="fr-FR"/>
              </w:rPr>
            </w:pPr>
            <w:r w:rsidRPr="006B2D93">
              <w:rPr>
                <w:rFonts w:eastAsia="Times New Roman"/>
                <w:sz w:val="20"/>
                <w:szCs w:val="20"/>
                <w:lang w:val="fr-FR"/>
              </w:rPr>
              <w:t>Mobiliser les ressources financières des bénéficiaires des technologies de biologie de synthèse afin de permettre aux pays en développement de participer à la recherche, au développement et à l’évaluation de la biologie de synthèse ;</w:t>
            </w:r>
          </w:p>
          <w:p w14:paraId="410AD9CA" w14:textId="77777777" w:rsidR="001C532F" w:rsidRPr="006B2D93" w:rsidRDefault="001C532F" w:rsidP="001C532F">
            <w:pPr>
              <w:pStyle w:val="ListParagraph"/>
              <w:numPr>
                <w:ilvl w:val="0"/>
                <w:numId w:val="14"/>
              </w:numPr>
              <w:tabs>
                <w:tab w:val="clear" w:pos="567"/>
                <w:tab w:val="clear" w:pos="1134"/>
                <w:tab w:val="clear" w:pos="1701"/>
                <w:tab w:val="clear" w:pos="2268"/>
              </w:tabs>
              <w:rPr>
                <w:rFonts w:asciiTheme="majorBidi" w:hAnsiTheme="majorBidi" w:cstheme="majorBidi"/>
                <w:sz w:val="20"/>
                <w:szCs w:val="20"/>
                <w:lang w:val="fr-FR"/>
              </w:rPr>
            </w:pPr>
            <w:r w:rsidRPr="006B2D93">
              <w:rPr>
                <w:rFonts w:eastAsia="Times New Roman"/>
                <w:sz w:val="20"/>
                <w:szCs w:val="20"/>
                <w:lang w:val="fr-FR"/>
              </w:rPr>
              <w:t>Encourager un partage équitable et inclusif des avantages non financiers, en particulier pour les pays en développement, les peuples autochtones et les communautés locales ;</w:t>
            </w:r>
          </w:p>
          <w:p w14:paraId="5851E396" w14:textId="77777777" w:rsidR="001C532F" w:rsidRPr="006B2D93" w:rsidRDefault="001C532F" w:rsidP="001C532F">
            <w:pPr>
              <w:pStyle w:val="ListParagraph"/>
              <w:numPr>
                <w:ilvl w:val="0"/>
                <w:numId w:val="14"/>
              </w:numPr>
              <w:tabs>
                <w:tab w:val="clear" w:pos="567"/>
                <w:tab w:val="clear" w:pos="1134"/>
                <w:tab w:val="clear" w:pos="1701"/>
                <w:tab w:val="clear" w:pos="2268"/>
              </w:tabs>
              <w:rPr>
                <w:rFonts w:asciiTheme="majorBidi" w:hAnsiTheme="majorBidi" w:cstheme="majorBidi"/>
                <w:sz w:val="20"/>
                <w:szCs w:val="20"/>
                <w:lang w:val="fr-FR"/>
              </w:rPr>
            </w:pPr>
            <w:r w:rsidRPr="006B2D93">
              <w:rPr>
                <w:rFonts w:eastAsia="Times New Roman"/>
                <w:sz w:val="20"/>
                <w:szCs w:val="20"/>
                <w:lang w:val="fr-FR"/>
              </w:rPr>
              <w:t>Inclure des clauses de réciprocité et d’avantages mutuels dans les accords de partenariat ou de licence entre les secteurs public et privé, entre les secteurs public et universitaire, ainsi que dans d’autres accords de cette nature ;</w:t>
            </w:r>
          </w:p>
          <w:p w14:paraId="5894DD17" w14:textId="77777777" w:rsidR="001C532F" w:rsidRPr="006B2D93" w:rsidRDefault="001C532F" w:rsidP="001C532F">
            <w:pPr>
              <w:pStyle w:val="ListParagraph"/>
              <w:numPr>
                <w:ilvl w:val="0"/>
                <w:numId w:val="14"/>
              </w:numPr>
              <w:tabs>
                <w:tab w:val="clear" w:pos="567"/>
                <w:tab w:val="clear" w:pos="1134"/>
                <w:tab w:val="clear" w:pos="1701"/>
                <w:tab w:val="clear" w:pos="2268"/>
              </w:tabs>
              <w:rPr>
                <w:rFonts w:asciiTheme="majorBidi" w:hAnsiTheme="majorBidi" w:cstheme="majorBidi"/>
                <w:sz w:val="20"/>
                <w:szCs w:val="20"/>
                <w:lang w:val="fr-FR"/>
              </w:rPr>
            </w:pPr>
            <w:r w:rsidRPr="006B2D93">
              <w:rPr>
                <w:rFonts w:eastAsia="Times New Roman"/>
                <w:sz w:val="20"/>
                <w:szCs w:val="20"/>
                <w:lang w:val="fr-FR"/>
              </w:rPr>
              <w:lastRenderedPageBreak/>
              <w:t>Mettre au point des outils et des mécanismes appropriés afin de favoriser un partage juste et équitable des avantages découlant de la recherche, du développement et de l’application des technologies de biologie de synthèse.</w:t>
            </w:r>
          </w:p>
          <w:p w14:paraId="61F28EE6" w14:textId="77777777"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sz w:val="20"/>
                <w:szCs w:val="20"/>
                <w:lang w:val="fr-FR"/>
              </w:rPr>
            </w:pPr>
            <w:r w:rsidRPr="006B2D93">
              <w:rPr>
                <w:rFonts w:asciiTheme="majorBidi" w:hAnsiTheme="majorBidi" w:cstheme="majorBidi"/>
                <w:sz w:val="20"/>
                <w:szCs w:val="20"/>
                <w:lang w:val="fr-FR"/>
              </w:rPr>
              <w:t>]</w:t>
            </w:r>
          </w:p>
        </w:tc>
      </w:tr>
      <w:tr w:rsidR="001C532F" w:rsidRPr="00395997" w14:paraId="73E08F85" w14:textId="77777777" w:rsidTr="00CE7D50">
        <w:tblPrEx>
          <w:jc w:val="left"/>
        </w:tblPrEx>
        <w:trPr>
          <w:gridBefore w:val="1"/>
          <w:wBefore w:w="10" w:type="pct"/>
        </w:trPr>
        <w:tc>
          <w:tcPr>
            <w:tcW w:w="4990" w:type="pct"/>
            <w:gridSpan w:val="3"/>
          </w:tcPr>
          <w:p w14:paraId="70A4DC50" w14:textId="77777777" w:rsidR="001C532F" w:rsidRPr="006B2D93" w:rsidRDefault="001C532F" w:rsidP="00930824">
            <w:pPr>
              <w:pStyle w:val="ListParagraph"/>
              <w:keepNext/>
              <w:tabs>
                <w:tab w:val="clear" w:pos="567"/>
                <w:tab w:val="clear" w:pos="1134"/>
                <w:tab w:val="clear" w:pos="1701"/>
                <w:tab w:val="clear" w:pos="2268"/>
              </w:tabs>
              <w:ind w:left="32"/>
              <w:rPr>
                <w:rFonts w:asciiTheme="majorBidi" w:hAnsiTheme="majorBidi" w:cstheme="majorBidi"/>
                <w:sz w:val="20"/>
                <w:szCs w:val="20"/>
                <w:lang w:val="fr-FR"/>
              </w:rPr>
            </w:pPr>
            <w:r w:rsidRPr="006B2D93">
              <w:rPr>
                <w:rFonts w:eastAsia="Times New Roman"/>
                <w:b/>
                <w:bCs/>
                <w:sz w:val="20"/>
                <w:szCs w:val="20"/>
                <w:lang w:val="fr-FR"/>
              </w:rPr>
              <w:lastRenderedPageBreak/>
              <w:t>Domaine de réalisation</w:t>
            </w:r>
            <w:r>
              <w:rPr>
                <w:rFonts w:eastAsia="Times New Roman"/>
                <w:b/>
                <w:bCs/>
                <w:sz w:val="20"/>
                <w:szCs w:val="20"/>
                <w:lang w:val="fr-FR"/>
              </w:rPr>
              <w:t> </w:t>
            </w:r>
            <w:r w:rsidRPr="006B2D93">
              <w:rPr>
                <w:rFonts w:eastAsia="Times New Roman"/>
                <w:b/>
                <w:bCs/>
                <w:sz w:val="20"/>
                <w:szCs w:val="20"/>
                <w:lang w:val="fr-FR"/>
              </w:rPr>
              <w:t>3</w:t>
            </w:r>
            <w:r w:rsidRPr="006B2D93">
              <w:rPr>
                <w:rFonts w:eastAsia="Times New Roman"/>
                <w:sz w:val="20"/>
                <w:szCs w:val="20"/>
                <w:lang w:val="fr-FR"/>
              </w:rPr>
              <w:t> : un meilleur partage des connaissances sur la biologie de synthèse, notamment en ce qui concerne son développement, son évaluation, sa gouvernance et sa réglementation</w:t>
            </w:r>
          </w:p>
          <w:p w14:paraId="7FA4E48A" w14:textId="77777777" w:rsidR="001C532F" w:rsidRPr="00226D22" w:rsidRDefault="001C532F" w:rsidP="00930824">
            <w:pPr>
              <w:pStyle w:val="ListParagraph"/>
              <w:keepNext/>
              <w:tabs>
                <w:tab w:val="clear" w:pos="567"/>
                <w:tab w:val="clear" w:pos="1134"/>
                <w:tab w:val="clear" w:pos="1701"/>
                <w:tab w:val="clear" w:pos="2268"/>
              </w:tabs>
              <w:ind w:left="32"/>
              <w:jc w:val="left"/>
              <w:rPr>
                <w:rFonts w:asciiTheme="majorBidi" w:hAnsiTheme="majorBidi" w:cstheme="majorBidi"/>
                <w:sz w:val="20"/>
                <w:szCs w:val="20"/>
                <w:lang w:val="fr-FR"/>
              </w:rPr>
            </w:pPr>
            <w:r w:rsidRPr="006B2D93">
              <w:rPr>
                <w:rFonts w:eastAsia="Times New Roman"/>
                <w:b/>
                <w:bCs/>
                <w:sz w:val="20"/>
                <w:szCs w:val="20"/>
                <w:lang w:val="fr-FR"/>
              </w:rPr>
              <w:t>Objectif</w:t>
            </w:r>
            <w:r w:rsidRPr="006B2D93">
              <w:rPr>
                <w:rFonts w:eastAsia="Times New Roman"/>
                <w:sz w:val="20"/>
                <w:szCs w:val="20"/>
                <w:lang w:val="fr-FR"/>
              </w:rPr>
              <w:t> : les connaissances présentant un intérêt pour la recherche, le développement, l’évaluation, la gouvernance et la réglementation en matière de biologie de synthèse sont largement diffusées, conformément à l’article 17 de la Convention, et mises à la disposition de tous les acteurs pour la recherche et le développement, ainsi que pour l’évaluation, la gouvernance et la réglementation de la biologie de synthèse</w:t>
            </w:r>
          </w:p>
        </w:tc>
      </w:tr>
      <w:tr w:rsidR="001C532F" w:rsidRPr="00226D22" w14:paraId="270564BB" w14:textId="77777777" w:rsidTr="00CE7D50">
        <w:tblPrEx>
          <w:jc w:val="left"/>
        </w:tblPrEx>
        <w:trPr>
          <w:gridBefore w:val="1"/>
          <w:wBefore w:w="10" w:type="pct"/>
        </w:trPr>
        <w:tc>
          <w:tcPr>
            <w:tcW w:w="830" w:type="pct"/>
          </w:tcPr>
          <w:p w14:paraId="08EED83B" w14:textId="77777777" w:rsidR="001C532F" w:rsidRPr="00226D22" w:rsidRDefault="001C532F" w:rsidP="00930824">
            <w:pPr>
              <w:keepNext/>
              <w:jc w:val="left"/>
              <w:rPr>
                <w:rFonts w:asciiTheme="majorBidi" w:hAnsiTheme="majorBidi" w:cstheme="majorBidi"/>
                <w:i/>
                <w:iCs/>
                <w:sz w:val="20"/>
                <w:szCs w:val="20"/>
                <w:lang w:val="fr-FR"/>
              </w:rPr>
            </w:pPr>
            <w:r w:rsidRPr="006B2D93">
              <w:rPr>
                <w:rFonts w:eastAsia="Times New Roman"/>
                <w:i/>
                <w:iCs/>
                <w:sz w:val="20"/>
                <w:szCs w:val="20"/>
                <w:lang w:val="fr-FR"/>
              </w:rPr>
              <w:t>Résultat</w:t>
            </w:r>
          </w:p>
        </w:tc>
        <w:tc>
          <w:tcPr>
            <w:tcW w:w="4160" w:type="pct"/>
            <w:gridSpan w:val="2"/>
          </w:tcPr>
          <w:p w14:paraId="4DEA0D19" w14:textId="77777777" w:rsidR="001C532F" w:rsidRPr="00226D22" w:rsidRDefault="001C532F" w:rsidP="00930824">
            <w:pPr>
              <w:keepNext/>
              <w:jc w:val="left"/>
              <w:rPr>
                <w:rFonts w:asciiTheme="majorBidi" w:hAnsiTheme="majorBidi" w:cstheme="majorBidi"/>
                <w:i/>
                <w:iCs/>
                <w:sz w:val="20"/>
                <w:szCs w:val="20"/>
                <w:lang w:val="fr-FR"/>
              </w:rPr>
            </w:pPr>
            <w:r w:rsidRPr="006B2D93">
              <w:rPr>
                <w:rFonts w:eastAsia="Times New Roman"/>
                <w:i/>
                <w:iCs/>
                <w:sz w:val="20"/>
                <w:szCs w:val="20"/>
                <w:lang w:val="fr-FR"/>
              </w:rPr>
              <w:t>Mesures stratégiques indicatives</w:t>
            </w:r>
          </w:p>
        </w:tc>
      </w:tr>
      <w:tr w:rsidR="001C532F" w:rsidRPr="00395997" w14:paraId="55ED02DD" w14:textId="77777777" w:rsidTr="00CE7D50">
        <w:tblPrEx>
          <w:jc w:val="left"/>
        </w:tblPrEx>
        <w:trPr>
          <w:gridBefore w:val="1"/>
          <w:wBefore w:w="10" w:type="pct"/>
        </w:trPr>
        <w:tc>
          <w:tcPr>
            <w:tcW w:w="830" w:type="pct"/>
          </w:tcPr>
          <w:p w14:paraId="14F61BF3"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 xml:space="preserve">3.1. </w:t>
            </w:r>
            <w:r>
              <w:rPr>
                <w:rFonts w:eastAsia="Times New Roman"/>
                <w:sz w:val="20"/>
                <w:szCs w:val="20"/>
                <w:lang w:val="fr-FR"/>
              </w:rPr>
              <w:t>M</w:t>
            </w:r>
            <w:r w:rsidRPr="006B2D93">
              <w:rPr>
                <w:rFonts w:eastAsia="Times New Roman"/>
                <w:sz w:val="20"/>
                <w:szCs w:val="20"/>
                <w:lang w:val="fr-FR"/>
              </w:rPr>
              <w:t>eilleur accès aux connaissances scientifiques</w:t>
            </w:r>
          </w:p>
        </w:tc>
        <w:tc>
          <w:tcPr>
            <w:tcW w:w="4160" w:type="pct"/>
            <w:gridSpan w:val="2"/>
          </w:tcPr>
          <w:p w14:paraId="409AEDBA"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color w:val="000000" w:themeColor="text1"/>
                <w:sz w:val="20"/>
                <w:szCs w:val="20"/>
                <w:lang w:val="fr-FR"/>
              </w:rPr>
            </w:pPr>
            <w:r w:rsidRPr="006B2D93">
              <w:rPr>
                <w:rFonts w:eastAsia="Times New Roman"/>
                <w:color w:val="000000"/>
                <w:sz w:val="20"/>
                <w:szCs w:val="20"/>
                <w:lang w:val="fr-FR"/>
              </w:rPr>
              <w:t>a)  Encourager la publication d’articles scientifiques en libre accès dans le domaine de la biologie de synthèse [ainsi que dans les domaines liés à son évaluation, à sa gouvernance et à sa réglementation] [tout en respectant la législation nationale relative à la protection des informations confidentielles et à la souveraineté sur les ressources génétiques]</w:t>
            </w:r>
            <w:r>
              <w:rPr>
                <w:rFonts w:eastAsia="Times New Roman"/>
                <w:color w:val="000000"/>
                <w:sz w:val="20"/>
                <w:szCs w:val="20"/>
                <w:lang w:val="fr-FR"/>
              </w:rPr>
              <w:t> </w:t>
            </w:r>
            <w:r w:rsidRPr="006B2D93">
              <w:rPr>
                <w:rFonts w:eastAsia="Times New Roman"/>
                <w:color w:val="000000"/>
                <w:sz w:val="20"/>
                <w:szCs w:val="20"/>
                <w:lang w:val="fr-FR"/>
              </w:rPr>
              <w:t>;</w:t>
            </w:r>
          </w:p>
          <w:p w14:paraId="129ED81B" w14:textId="02CD5EDA"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color w:val="000000" w:themeColor="text1"/>
                <w:sz w:val="20"/>
                <w:szCs w:val="20"/>
                <w:lang w:val="fr-FR"/>
              </w:rPr>
            </w:pPr>
            <w:r w:rsidRPr="006B2D93">
              <w:rPr>
                <w:rFonts w:eastAsia="Times New Roman"/>
                <w:color w:val="000000"/>
                <w:sz w:val="20"/>
                <w:szCs w:val="20"/>
                <w:lang w:val="fr-FR"/>
              </w:rPr>
              <w:t>[</w:t>
            </w:r>
            <w:proofErr w:type="gramStart"/>
            <w:r w:rsidRPr="006B2D93">
              <w:rPr>
                <w:rFonts w:eastAsia="Times New Roman"/>
                <w:color w:val="000000"/>
                <w:sz w:val="20"/>
                <w:szCs w:val="20"/>
                <w:lang w:val="fr-FR"/>
              </w:rPr>
              <w:t>b</w:t>
            </w:r>
            <w:proofErr w:type="gramEnd"/>
            <w:r w:rsidRPr="006B2D93">
              <w:rPr>
                <w:rFonts w:eastAsia="Times New Roman"/>
                <w:color w:val="000000"/>
                <w:sz w:val="20"/>
                <w:szCs w:val="20"/>
                <w:lang w:val="fr-FR"/>
              </w:rPr>
              <w:t>) Promouvoir la publication d’informations pertinentes dans des bases de données publiques, conformément aux principes FAIR (données faciles à trouver, accessibles, interopérables et réutilisables) ainsi qu’aux principes CARE (collectivité, autorité de contrôle, responsabilité et éthique) ;</w:t>
            </w:r>
          </w:p>
          <w:p w14:paraId="72D54DFC"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color w:val="000000" w:themeColor="text1"/>
                <w:sz w:val="20"/>
                <w:szCs w:val="20"/>
                <w:lang w:val="fr-FR"/>
              </w:rPr>
            </w:pPr>
            <w:r w:rsidRPr="006B2D93">
              <w:rPr>
                <w:rFonts w:eastAsia="Times New Roman"/>
                <w:color w:val="000000"/>
                <w:sz w:val="20"/>
                <w:szCs w:val="20"/>
                <w:lang w:val="fr-FR"/>
              </w:rPr>
              <w:t>c)</w:t>
            </w:r>
            <w:r w:rsidRPr="006B2D93">
              <w:rPr>
                <w:rFonts w:eastAsia="Times New Roman"/>
                <w:sz w:val="20"/>
                <w:szCs w:val="20"/>
                <w:lang w:val="fr-FR"/>
              </w:rPr>
              <w:t xml:space="preserve"> </w:t>
            </w:r>
            <w:r w:rsidRPr="006B2D93">
              <w:rPr>
                <w:rFonts w:eastAsia="Times New Roman"/>
                <w:sz w:val="20"/>
                <w:szCs w:val="20"/>
                <w:lang w:val="fr-FR"/>
              </w:rPr>
              <w:tab/>
            </w:r>
            <w:r w:rsidRPr="006B2D93">
              <w:rPr>
                <w:rFonts w:eastAsia="Times New Roman"/>
                <w:color w:val="000000"/>
                <w:sz w:val="20"/>
                <w:szCs w:val="20"/>
                <w:lang w:val="fr-FR"/>
              </w:rPr>
              <w:t xml:space="preserve"> Encourager le renforcement des capacités en matière de gestion des données, de conservation des données et de gestion des données à long terme, notamment en améliorant la transparence, les normes relatives aux métadonnées et le traitement des informations confidentielles ;</w:t>
            </w:r>
          </w:p>
          <w:p w14:paraId="7C1DB601"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color w:val="000000" w:themeColor="text1"/>
                <w:sz w:val="20"/>
                <w:szCs w:val="20"/>
                <w:lang w:val="fr-FR"/>
              </w:rPr>
            </w:pPr>
            <w:r w:rsidRPr="006B2D93">
              <w:rPr>
                <w:rFonts w:eastAsia="Times New Roman"/>
                <w:color w:val="000000"/>
                <w:sz w:val="20"/>
                <w:szCs w:val="20"/>
                <w:lang w:val="fr-FR"/>
              </w:rPr>
              <w:t>d)</w:t>
            </w:r>
            <w:r w:rsidRPr="006B2D93">
              <w:rPr>
                <w:rFonts w:eastAsia="Times New Roman"/>
                <w:sz w:val="20"/>
                <w:szCs w:val="20"/>
                <w:lang w:val="fr-FR"/>
              </w:rPr>
              <w:t xml:space="preserve"> </w:t>
            </w:r>
            <w:r w:rsidRPr="006B2D93">
              <w:rPr>
                <w:rFonts w:eastAsia="Times New Roman"/>
                <w:sz w:val="20"/>
                <w:szCs w:val="20"/>
                <w:lang w:val="fr-FR"/>
              </w:rPr>
              <w:tab/>
            </w:r>
            <w:r w:rsidRPr="006B2D93">
              <w:rPr>
                <w:rFonts w:eastAsia="Times New Roman"/>
                <w:color w:val="000000"/>
                <w:sz w:val="20"/>
                <w:szCs w:val="20"/>
                <w:lang w:val="fr-FR"/>
              </w:rPr>
              <w:t xml:space="preserve">Promouvoir le partage des connaissances scientifiques et techniques relatives à la biologie de synthèse et à son évaluation, notamment par </w:t>
            </w:r>
            <w:r>
              <w:rPr>
                <w:rFonts w:eastAsia="Times New Roman"/>
                <w:color w:val="000000"/>
                <w:sz w:val="20"/>
                <w:szCs w:val="20"/>
                <w:lang w:val="fr-FR"/>
              </w:rPr>
              <w:t>l’intermédiaire</w:t>
            </w:r>
            <w:r w:rsidRPr="006B2D93">
              <w:rPr>
                <w:rFonts w:eastAsia="Times New Roman"/>
                <w:color w:val="000000"/>
                <w:sz w:val="20"/>
                <w:szCs w:val="20"/>
                <w:lang w:val="fr-FR"/>
              </w:rPr>
              <w:t xml:space="preserve"> des Centres d’échange prévus par la Convention et ses Protocoles ;</w:t>
            </w:r>
          </w:p>
          <w:p w14:paraId="1ADC2F24"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color w:val="000000" w:themeColor="text1"/>
                <w:sz w:val="20"/>
                <w:szCs w:val="20"/>
                <w:lang w:val="fr-FR"/>
              </w:rPr>
            </w:pPr>
            <w:r w:rsidRPr="006B2D93">
              <w:rPr>
                <w:rFonts w:eastAsia="Times New Roman"/>
                <w:color w:val="000000"/>
                <w:sz w:val="20"/>
                <w:szCs w:val="20"/>
                <w:lang w:val="fr-FR"/>
              </w:rPr>
              <w:t>e)</w:t>
            </w:r>
            <w:r w:rsidRPr="006B2D93">
              <w:rPr>
                <w:rFonts w:eastAsia="Times New Roman"/>
                <w:sz w:val="20"/>
                <w:szCs w:val="20"/>
                <w:lang w:val="fr-FR"/>
              </w:rPr>
              <w:t xml:space="preserve"> </w:t>
            </w:r>
            <w:r w:rsidRPr="006B2D93">
              <w:rPr>
                <w:rFonts w:eastAsia="Times New Roman"/>
                <w:sz w:val="20"/>
                <w:szCs w:val="20"/>
                <w:lang w:val="fr-FR"/>
              </w:rPr>
              <w:tab/>
            </w:r>
            <w:r w:rsidRPr="006B2D93">
              <w:rPr>
                <w:rFonts w:eastAsia="Times New Roman"/>
                <w:color w:val="000000"/>
                <w:sz w:val="20"/>
                <w:szCs w:val="20"/>
                <w:lang w:val="fr-FR"/>
              </w:rPr>
              <w:t>Faciliter l’accès aux revues scientifiques et aux bases de données techniques pour les chercheurs et les étudiants des pays en développement ;</w:t>
            </w:r>
          </w:p>
          <w:p w14:paraId="0C09256A" w14:textId="77777777" w:rsidR="001C532F" w:rsidRPr="00226D22" w:rsidRDefault="001C532F" w:rsidP="00930824">
            <w:pPr>
              <w:tabs>
                <w:tab w:val="clear" w:pos="567"/>
                <w:tab w:val="clear" w:pos="1134"/>
                <w:tab w:val="clear" w:pos="1701"/>
                <w:tab w:val="clear" w:pos="2268"/>
              </w:tabs>
              <w:ind w:left="360" w:hanging="360"/>
              <w:jc w:val="left"/>
              <w:rPr>
                <w:rFonts w:asciiTheme="majorBidi" w:eastAsia="Aptos Narrow" w:hAnsiTheme="majorBidi" w:cstheme="majorBidi"/>
                <w:color w:val="000000" w:themeColor="text1"/>
                <w:sz w:val="20"/>
                <w:szCs w:val="20"/>
                <w:lang w:val="fr-FR"/>
              </w:rPr>
            </w:pPr>
            <w:r w:rsidRPr="006B2D93">
              <w:rPr>
                <w:rFonts w:eastAsia="Times New Roman"/>
                <w:color w:val="000000"/>
                <w:sz w:val="20"/>
                <w:szCs w:val="20"/>
                <w:lang w:val="fr-FR"/>
              </w:rPr>
              <w:t>f)</w:t>
            </w:r>
            <w:r w:rsidRPr="006B2D93">
              <w:rPr>
                <w:rFonts w:eastAsia="Times New Roman"/>
                <w:sz w:val="20"/>
                <w:szCs w:val="20"/>
                <w:lang w:val="fr-FR"/>
              </w:rPr>
              <w:t xml:space="preserve"> </w:t>
            </w:r>
            <w:r w:rsidRPr="006B2D93">
              <w:rPr>
                <w:rFonts w:eastAsia="Times New Roman"/>
                <w:sz w:val="20"/>
                <w:szCs w:val="20"/>
                <w:lang w:val="fr-FR"/>
              </w:rPr>
              <w:tab/>
            </w:r>
            <w:r w:rsidRPr="006B2D93">
              <w:rPr>
                <w:rFonts w:eastAsia="Times New Roman"/>
                <w:color w:val="000000"/>
                <w:sz w:val="20"/>
                <w:szCs w:val="20"/>
                <w:lang w:val="fr-FR"/>
              </w:rPr>
              <w:t>Mettre en place des plateformes d’information sur la biologie de synthèse afin d’améliorer l’accès aux données pertinentes.]</w:t>
            </w:r>
          </w:p>
        </w:tc>
      </w:tr>
      <w:tr w:rsidR="001C532F" w:rsidRPr="00395997" w14:paraId="057B147E" w14:textId="77777777" w:rsidTr="00CE7D50">
        <w:tblPrEx>
          <w:jc w:val="left"/>
        </w:tblPrEx>
        <w:trPr>
          <w:gridBefore w:val="1"/>
          <w:wBefore w:w="10" w:type="pct"/>
        </w:trPr>
        <w:tc>
          <w:tcPr>
            <w:tcW w:w="830" w:type="pct"/>
          </w:tcPr>
          <w:p w14:paraId="0093AA56"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3.2. Mise en place d’initiatives et de mécanismes de partage des connaissances</w:t>
            </w:r>
          </w:p>
        </w:tc>
        <w:tc>
          <w:tcPr>
            <w:tcW w:w="4160" w:type="pct"/>
            <w:gridSpan w:val="2"/>
          </w:tcPr>
          <w:p w14:paraId="3BFA54BF"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a</w:t>
            </w:r>
            <w:proofErr w:type="gramEnd"/>
            <w:r w:rsidRPr="006B2D93">
              <w:rPr>
                <w:rFonts w:eastAsia="Times New Roman"/>
                <w:sz w:val="20"/>
                <w:szCs w:val="20"/>
                <w:lang w:val="fr-FR"/>
              </w:rPr>
              <w:t xml:space="preserve">) </w:t>
            </w:r>
            <w:r w:rsidRPr="006B2D93">
              <w:rPr>
                <w:rFonts w:eastAsia="Times New Roman"/>
                <w:sz w:val="20"/>
                <w:szCs w:val="20"/>
                <w:lang w:val="fr-FR"/>
              </w:rPr>
              <w:tab/>
              <w:t>Organiser des événements nationaux, régionaux et internationaux de partage des connaissances sur la biologie de synthèse et les domaines connexes, y compris les aspects réglementaires, l’évaluation et la surveillance, et encourager la participation aux réunions régionales et internationales pertinentes, en particulier pour les pays en développement ;</w:t>
            </w:r>
          </w:p>
          <w:p w14:paraId="0D920360"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b) </w:t>
            </w:r>
            <w:r w:rsidRPr="006B2D93">
              <w:rPr>
                <w:rFonts w:eastAsia="Times New Roman"/>
                <w:sz w:val="20"/>
                <w:szCs w:val="20"/>
                <w:lang w:val="fr-FR"/>
              </w:rPr>
              <w:tab/>
              <w:t>Soutenir la participation des chercheurs et des étudiants à des concours spécialisés) ;</w:t>
            </w:r>
          </w:p>
          <w:p w14:paraId="35982C9A"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c) </w:t>
            </w:r>
            <w:r w:rsidRPr="006B2D93">
              <w:rPr>
                <w:rFonts w:eastAsia="Times New Roman"/>
                <w:sz w:val="20"/>
                <w:szCs w:val="20"/>
                <w:lang w:val="fr-FR"/>
              </w:rPr>
              <w:tab/>
              <w:t>Conclure des accords de partage des connaissances et de coopération entre les institutions et encourager la participation à des réseaux de recherche internationaux ou régionaux ;</w:t>
            </w:r>
          </w:p>
          <w:p w14:paraId="29F3E8A9"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d) </w:t>
            </w:r>
            <w:r w:rsidRPr="006B2D93">
              <w:rPr>
                <w:rFonts w:eastAsia="Times New Roman"/>
                <w:sz w:val="20"/>
                <w:szCs w:val="20"/>
                <w:lang w:val="fr-FR"/>
              </w:rPr>
              <w:tab/>
              <w:t>Proposer des bourses et des stages à l’international dans le cadre d’initiatives de partage des connaissances sur la biologie de synthèse, en particulier à l’intention des pays en développement, des femmes et des jeunes ;</w:t>
            </w:r>
          </w:p>
          <w:p w14:paraId="0D3177A2"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e) </w:t>
            </w:r>
            <w:r w:rsidRPr="006B2D93">
              <w:rPr>
                <w:rFonts w:eastAsia="Times New Roman"/>
                <w:sz w:val="20"/>
                <w:szCs w:val="20"/>
                <w:lang w:val="fr-FR"/>
              </w:rPr>
              <w:tab/>
              <w:t>Faciliter la participation des chercheurs issus des pays en développement ainsi que des représentants des peuples autochtones et des communautés locales aux manifestations internationales de partage des connaissances ;</w:t>
            </w:r>
          </w:p>
          <w:p w14:paraId="3DC74C55"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f) </w:t>
            </w:r>
            <w:r w:rsidRPr="006B2D93">
              <w:rPr>
                <w:rFonts w:eastAsia="Times New Roman"/>
                <w:sz w:val="20"/>
                <w:szCs w:val="20"/>
                <w:lang w:val="fr-FR"/>
              </w:rPr>
              <w:tab/>
              <w:t>Encourager les échanges en matière de réglementation entre les pays dotés de systèmes réglementaires bien établis et ceux dont les systèmes sont en cours de développement ;</w:t>
            </w:r>
          </w:p>
          <w:p w14:paraId="21C8217D"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g) </w:t>
            </w:r>
            <w:r w:rsidRPr="006B2D93">
              <w:rPr>
                <w:rFonts w:eastAsia="Times New Roman"/>
                <w:sz w:val="20"/>
                <w:szCs w:val="20"/>
                <w:lang w:val="fr-FR"/>
              </w:rPr>
              <w:tab/>
              <w:t>Promouvoir des activités de partage des connaissances qui associent l’ensemble des titulaires de droits et des parties prenantes concernés ;</w:t>
            </w:r>
          </w:p>
          <w:p w14:paraId="15B96C43" w14:textId="77777777"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b/>
                <w:bCs/>
                <w:sz w:val="20"/>
                <w:szCs w:val="20"/>
                <w:lang w:val="fr-FR"/>
              </w:rPr>
            </w:pPr>
            <w:r w:rsidRPr="006B2D93">
              <w:rPr>
                <w:rFonts w:eastAsia="Times New Roman"/>
                <w:sz w:val="20"/>
                <w:szCs w:val="20"/>
                <w:lang w:val="fr-FR"/>
              </w:rPr>
              <w:t xml:space="preserve">h) </w:t>
            </w:r>
            <w:r w:rsidRPr="006B2D93">
              <w:rPr>
                <w:rFonts w:eastAsia="Times New Roman"/>
                <w:sz w:val="20"/>
                <w:szCs w:val="20"/>
                <w:lang w:val="fr-FR"/>
              </w:rPr>
              <w:tab/>
              <w:t>Encourager la coopération régionale, Nord-Sud, Sud-Sud et triangulaire dans les domaines de la biologie de synthèse et de la recherche écologique.]</w:t>
            </w:r>
          </w:p>
        </w:tc>
      </w:tr>
      <w:tr w:rsidR="001C532F" w:rsidRPr="00395997" w14:paraId="5EE1C0F9" w14:textId="77777777" w:rsidTr="00CE7D50">
        <w:tblPrEx>
          <w:jc w:val="left"/>
        </w:tblPrEx>
        <w:trPr>
          <w:gridBefore w:val="1"/>
          <w:wBefore w:w="10" w:type="pct"/>
        </w:trPr>
        <w:tc>
          <w:tcPr>
            <w:tcW w:w="830" w:type="pct"/>
          </w:tcPr>
          <w:p w14:paraId="5DCDEA8E"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t>3.3. Intensification de la communication et du rayonnement</w:t>
            </w:r>
          </w:p>
        </w:tc>
        <w:tc>
          <w:tcPr>
            <w:tcW w:w="4160" w:type="pct"/>
            <w:gridSpan w:val="2"/>
          </w:tcPr>
          <w:p w14:paraId="3FAC400C"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a</w:t>
            </w:r>
            <w:proofErr w:type="gramEnd"/>
            <w:r w:rsidRPr="006B2D93">
              <w:rPr>
                <w:rFonts w:eastAsia="Times New Roman"/>
                <w:sz w:val="20"/>
                <w:szCs w:val="20"/>
                <w:lang w:val="fr-FR"/>
              </w:rPr>
              <w:t xml:space="preserve">) </w:t>
            </w:r>
            <w:r w:rsidRPr="006B2D93">
              <w:rPr>
                <w:rFonts w:eastAsia="Times New Roman"/>
                <w:sz w:val="20"/>
                <w:szCs w:val="20"/>
                <w:lang w:val="fr-FR"/>
              </w:rPr>
              <w:tab/>
              <w:t>Encourager la publication de documents techniques et d’ouvrages scientifiques dans les langues locales ;</w:t>
            </w:r>
          </w:p>
          <w:p w14:paraId="4E21ECDE" w14:textId="3E8F4F2A"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b) </w:t>
            </w:r>
            <w:r w:rsidRPr="006B2D93">
              <w:rPr>
                <w:rFonts w:eastAsia="Times New Roman"/>
                <w:sz w:val="20"/>
                <w:szCs w:val="20"/>
                <w:lang w:val="fr-FR"/>
              </w:rPr>
              <w:tab/>
              <w:t xml:space="preserve">Appuyer l’élaboration de modules consacrés à la communication des risques, à la biosécurité, à l’éthique ainsi qu’à l’accès et au partage des avantages, dans les langues locales et </w:t>
            </w:r>
            <w:r w:rsidR="0038269F">
              <w:rPr>
                <w:rFonts w:eastAsia="Times New Roman"/>
                <w:sz w:val="20"/>
                <w:szCs w:val="20"/>
                <w:lang w:val="fr-FR"/>
              </w:rPr>
              <w:t>créés</w:t>
            </w:r>
            <w:r w:rsidRPr="006B2D93">
              <w:rPr>
                <w:rFonts w:eastAsia="Times New Roman"/>
                <w:sz w:val="20"/>
                <w:szCs w:val="20"/>
                <w:lang w:val="fr-FR"/>
              </w:rPr>
              <w:t xml:space="preserve"> en collaboration avec les parties prenantes ;</w:t>
            </w:r>
          </w:p>
          <w:p w14:paraId="0688D8B1"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c) </w:t>
            </w:r>
            <w:r w:rsidRPr="006B2D93">
              <w:rPr>
                <w:rFonts w:eastAsia="Times New Roman"/>
                <w:sz w:val="20"/>
                <w:szCs w:val="20"/>
                <w:lang w:val="fr-FR"/>
              </w:rPr>
              <w:tab/>
              <w:t>Sensibiliser le public en recourant à divers supports et en utilisant les langues locales ;</w:t>
            </w:r>
          </w:p>
          <w:p w14:paraId="4AEDC22F"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lastRenderedPageBreak/>
              <w:t xml:space="preserve">d) </w:t>
            </w:r>
            <w:r w:rsidRPr="006B2D93">
              <w:rPr>
                <w:rFonts w:eastAsia="Times New Roman"/>
                <w:sz w:val="20"/>
                <w:szCs w:val="20"/>
                <w:lang w:val="fr-FR"/>
              </w:rPr>
              <w:tab/>
              <w:t>Mener des dialogues et des campagnes de sensibilisation accessibles, multilingues et adaptés à divers publics, notamment le grand public, les peuples autochtones et les communautés locales, les femmes et les jeunes ;</w:t>
            </w:r>
          </w:p>
          <w:p w14:paraId="1E3F74A5"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e) </w:t>
            </w:r>
            <w:r w:rsidRPr="006B2D93">
              <w:rPr>
                <w:rFonts w:eastAsia="Times New Roman"/>
                <w:sz w:val="20"/>
                <w:szCs w:val="20"/>
                <w:lang w:val="fr-FR"/>
              </w:rPr>
              <w:tab/>
              <w:t>Organiser des forums spécifiques et des consultations publiques (par exemple, des séances de mise en commun des informations, des dialogues sur les risques et les avantages, ainsi que la participation aux processus décisionnels) avec la participation des peuples autochtones et des communautés locales, des organisations de la société civile, des femmes, des jeunes, des organismes de contrôle et de la communauté scientifique ;</w:t>
            </w:r>
          </w:p>
          <w:p w14:paraId="036AA32E"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f) </w:t>
            </w:r>
            <w:r w:rsidRPr="006B2D93">
              <w:rPr>
                <w:rFonts w:eastAsia="Times New Roman"/>
                <w:sz w:val="20"/>
                <w:szCs w:val="20"/>
                <w:lang w:val="fr-FR"/>
              </w:rPr>
              <w:tab/>
              <w:t>Encourager l’organisation de journées portes ouvertes consacrées à la recherche dans les universités afin de faciliter la diffusion des connaissances relatives à la biologie de synthèse et à ses répercussions potentielles ;</w:t>
            </w:r>
          </w:p>
          <w:p w14:paraId="2D02C8E5" w14:textId="77777777" w:rsidR="001C532F" w:rsidRPr="00226D22" w:rsidRDefault="001C532F" w:rsidP="00930824">
            <w:pPr>
              <w:tabs>
                <w:tab w:val="clear" w:pos="567"/>
                <w:tab w:val="clear" w:pos="1134"/>
                <w:tab w:val="clear" w:pos="1701"/>
                <w:tab w:val="clear" w:pos="2268"/>
              </w:tabs>
              <w:ind w:left="357" w:hanging="357"/>
              <w:jc w:val="left"/>
              <w:rPr>
                <w:rFonts w:asciiTheme="majorBidi" w:hAnsiTheme="majorBidi" w:cstheme="majorBidi"/>
                <w:b/>
                <w:bCs/>
                <w:sz w:val="20"/>
                <w:szCs w:val="20"/>
                <w:lang w:val="fr-FR"/>
              </w:rPr>
            </w:pPr>
            <w:r w:rsidRPr="006B2D93">
              <w:rPr>
                <w:rFonts w:eastAsia="Times New Roman"/>
                <w:sz w:val="20"/>
                <w:szCs w:val="20"/>
                <w:lang w:val="fr-FR"/>
              </w:rPr>
              <w:t xml:space="preserve">g) </w:t>
            </w:r>
            <w:r w:rsidRPr="006B2D93">
              <w:rPr>
                <w:rFonts w:eastAsia="Times New Roman"/>
                <w:sz w:val="20"/>
                <w:szCs w:val="20"/>
                <w:lang w:val="fr-FR"/>
              </w:rPr>
              <w:tab/>
              <w:t xml:space="preserve">Mettre en place une communauté de pratique favorisant le dialogue entre les organismes de contrôle et les scientifiques dans le domaine de la biologie de synthèse, afin </w:t>
            </w:r>
            <w:r>
              <w:rPr>
                <w:rFonts w:eastAsia="Times New Roman"/>
                <w:sz w:val="20"/>
                <w:szCs w:val="20"/>
                <w:lang w:val="fr-FR"/>
              </w:rPr>
              <w:t>de découvrir</w:t>
            </w:r>
            <w:r w:rsidRPr="006B2D93">
              <w:rPr>
                <w:rFonts w:eastAsia="Times New Roman"/>
                <w:sz w:val="20"/>
                <w:szCs w:val="20"/>
                <w:lang w:val="fr-FR"/>
              </w:rPr>
              <w:t xml:space="preserve"> les nouveaux enjeux en matière de surveillance réglementaire.]</w:t>
            </w:r>
          </w:p>
        </w:tc>
      </w:tr>
      <w:tr w:rsidR="001C532F" w:rsidRPr="00395997" w14:paraId="5A9136F5" w14:textId="77777777" w:rsidTr="00CE7D50">
        <w:tblPrEx>
          <w:jc w:val="left"/>
        </w:tblPrEx>
        <w:trPr>
          <w:gridBefore w:val="1"/>
          <w:wBefore w:w="10" w:type="pct"/>
        </w:trPr>
        <w:tc>
          <w:tcPr>
            <w:tcW w:w="830" w:type="pct"/>
          </w:tcPr>
          <w:p w14:paraId="15B4EAC0" w14:textId="77777777" w:rsidR="001C532F" w:rsidRPr="00226D22" w:rsidRDefault="001C532F" w:rsidP="00930824">
            <w:pPr>
              <w:tabs>
                <w:tab w:val="clear" w:pos="567"/>
                <w:tab w:val="clear" w:pos="1134"/>
                <w:tab w:val="clear" w:pos="1701"/>
                <w:tab w:val="clear" w:pos="2268"/>
              </w:tabs>
              <w:jc w:val="left"/>
              <w:rPr>
                <w:rFonts w:asciiTheme="majorBidi" w:hAnsiTheme="majorBidi" w:cstheme="majorBidi"/>
                <w:sz w:val="20"/>
                <w:szCs w:val="20"/>
                <w:lang w:val="fr-FR"/>
              </w:rPr>
            </w:pPr>
            <w:r w:rsidRPr="006B2D93">
              <w:rPr>
                <w:rFonts w:eastAsia="Times New Roman"/>
                <w:sz w:val="20"/>
                <w:szCs w:val="20"/>
                <w:lang w:val="fr-FR"/>
              </w:rPr>
              <w:lastRenderedPageBreak/>
              <w:t>3.4. Promotion d’un partage des connaissances inclusif</w:t>
            </w:r>
          </w:p>
        </w:tc>
        <w:tc>
          <w:tcPr>
            <w:tcW w:w="4160" w:type="pct"/>
            <w:gridSpan w:val="2"/>
          </w:tcPr>
          <w:p w14:paraId="589E7681" w14:textId="77777777" w:rsidR="001C532F" w:rsidRPr="006B2D93" w:rsidRDefault="001C532F" w:rsidP="00930824">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w:t>
            </w:r>
            <w:proofErr w:type="gramStart"/>
            <w:r w:rsidRPr="006B2D93">
              <w:rPr>
                <w:rFonts w:eastAsia="Times New Roman"/>
                <w:sz w:val="20"/>
                <w:szCs w:val="20"/>
                <w:lang w:val="fr-FR"/>
              </w:rPr>
              <w:t>a</w:t>
            </w:r>
            <w:proofErr w:type="gramEnd"/>
            <w:r w:rsidRPr="006B2D93">
              <w:rPr>
                <w:rFonts w:eastAsia="Times New Roman"/>
                <w:sz w:val="20"/>
                <w:szCs w:val="20"/>
                <w:lang w:val="fr-FR"/>
              </w:rPr>
              <w:t xml:space="preserve">) </w:t>
            </w:r>
            <w:r w:rsidRPr="006B2D93">
              <w:rPr>
                <w:rFonts w:eastAsia="Times New Roman"/>
                <w:sz w:val="20"/>
                <w:szCs w:val="20"/>
                <w:lang w:val="fr-FR"/>
              </w:rPr>
              <w:tab/>
              <w:t>Donner la priorité aux dialogues interculturels dans la construction des connaissances grâce à des mécanismes qui respectent et intègrent la diversité des systèmes de connaissances, des langues et des modes de transmission, tout en garantissant une participation effective fondée sur le consentement préalable, donné librement et en connaissance de cause, un engagement adapté à la culture et le respect des connaissances traditionnelles et des perspectives de genre ;</w:t>
            </w:r>
          </w:p>
          <w:p w14:paraId="5A2F104D" w14:textId="01DBAF82" w:rsidR="001C532F" w:rsidRPr="00F00A5E" w:rsidRDefault="001C532F" w:rsidP="00F00A5E">
            <w:pPr>
              <w:tabs>
                <w:tab w:val="clear" w:pos="567"/>
                <w:tab w:val="clear" w:pos="1134"/>
                <w:tab w:val="clear" w:pos="1701"/>
                <w:tab w:val="clear" w:pos="2268"/>
              </w:tabs>
              <w:ind w:left="357" w:hanging="357"/>
              <w:rPr>
                <w:rFonts w:asciiTheme="majorBidi" w:hAnsiTheme="majorBidi" w:cstheme="majorBidi"/>
                <w:sz w:val="20"/>
                <w:szCs w:val="20"/>
                <w:lang w:val="fr-FR"/>
              </w:rPr>
            </w:pPr>
            <w:r w:rsidRPr="006B2D93">
              <w:rPr>
                <w:rFonts w:eastAsia="Times New Roman"/>
                <w:sz w:val="20"/>
                <w:szCs w:val="20"/>
                <w:lang w:val="fr-FR"/>
              </w:rPr>
              <w:t xml:space="preserve">b) </w:t>
            </w:r>
            <w:r w:rsidRPr="006B2D93">
              <w:rPr>
                <w:rFonts w:eastAsia="Times New Roman"/>
                <w:sz w:val="20"/>
                <w:szCs w:val="20"/>
                <w:lang w:val="fr-FR"/>
              </w:rPr>
              <w:tab/>
              <w:t>Favoriser un apprentissage réciproque entre les institutions scientifiques et les peuples autochtones et communautés locales.</w:t>
            </w:r>
            <w:r w:rsidRPr="006B2D93">
              <w:rPr>
                <w:rFonts w:asciiTheme="majorBidi" w:hAnsiTheme="majorBidi" w:cstheme="majorBidi"/>
                <w:sz w:val="20"/>
                <w:szCs w:val="20"/>
                <w:lang w:val="fr-FR"/>
              </w:rPr>
              <w:t>]</w:t>
            </w:r>
          </w:p>
        </w:tc>
      </w:tr>
    </w:tbl>
    <w:p w14:paraId="5CAAFFA4" w14:textId="064B4F48" w:rsidR="003C41B2" w:rsidRPr="006B2D93" w:rsidRDefault="001C532F" w:rsidP="003C41B2">
      <w:pPr>
        <w:keepNext/>
        <w:keepLines/>
        <w:tabs>
          <w:tab w:val="clear" w:pos="567"/>
          <w:tab w:val="clear" w:pos="1134"/>
          <w:tab w:val="clear" w:pos="1701"/>
          <w:tab w:val="clear" w:pos="2268"/>
          <w:tab w:val="left" w:pos="2835"/>
          <w:tab w:val="left" w:pos="3402"/>
        </w:tabs>
        <w:spacing w:before="240" w:after="120"/>
        <w:ind w:left="1134"/>
        <w:jc w:val="left"/>
        <w:rPr>
          <w:rFonts w:cs="Times New Roman Bold"/>
          <w:sz w:val="24"/>
          <w:lang w:val="fr-FR"/>
        </w:rPr>
      </w:pPr>
      <w:r w:rsidRPr="006B2D93">
        <w:rPr>
          <w:rFonts w:cs="Times New Roman Bold"/>
          <w:sz w:val="24"/>
          <w:lang w:val="fr-FR"/>
        </w:rPr>
        <w:t xml:space="preserve"> </w:t>
      </w:r>
      <w:r w:rsidR="00062144" w:rsidRPr="006B2D93">
        <w:rPr>
          <w:rFonts w:cs="Times New Roman Bold"/>
          <w:sz w:val="24"/>
          <w:lang w:val="fr-FR"/>
        </w:rPr>
        <w:t>[</w:t>
      </w:r>
    </w:p>
    <w:p w14:paraId="5CAAFFA5" w14:textId="13DB4A82" w:rsidR="003C41B2" w:rsidRPr="006B2D93" w:rsidRDefault="00062144" w:rsidP="003C41B2">
      <w:pPr>
        <w:keepNext/>
        <w:keepLines/>
        <w:tabs>
          <w:tab w:val="clear" w:pos="567"/>
          <w:tab w:val="clear" w:pos="1134"/>
          <w:tab w:val="clear" w:pos="1701"/>
          <w:tab w:val="clear" w:pos="2268"/>
          <w:tab w:val="left" w:pos="2835"/>
          <w:tab w:val="left" w:pos="3402"/>
        </w:tabs>
        <w:spacing w:before="240" w:after="120"/>
        <w:ind w:left="1134"/>
        <w:jc w:val="left"/>
        <w:rPr>
          <w:rFonts w:cs="Times New Roman Bold"/>
          <w:b/>
          <w:bCs/>
          <w:sz w:val="24"/>
          <w:lang w:val="fr-FR"/>
        </w:rPr>
      </w:pPr>
      <w:r w:rsidRPr="006B2D93">
        <w:rPr>
          <w:rFonts w:eastAsia="Times New Roman" w:cs="Times New Roman Bold"/>
          <w:b/>
          <w:bCs/>
          <w:sz w:val="24"/>
          <w:szCs w:val="24"/>
          <w:lang w:val="fr-FR"/>
        </w:rPr>
        <w:t>Annexe</w:t>
      </w:r>
      <w:r w:rsidR="00C57D56">
        <w:rPr>
          <w:rFonts w:eastAsia="Times New Roman" w:cs="Times New Roman Bold"/>
          <w:b/>
          <w:bCs/>
          <w:sz w:val="24"/>
          <w:szCs w:val="24"/>
          <w:lang w:val="fr-FR"/>
        </w:rPr>
        <w:t> </w:t>
      </w:r>
      <w:r w:rsidRPr="006B2D93">
        <w:rPr>
          <w:rFonts w:eastAsia="Times New Roman" w:cs="Times New Roman Bold"/>
          <w:b/>
          <w:bCs/>
          <w:sz w:val="24"/>
          <w:szCs w:val="24"/>
          <w:lang w:val="fr-FR"/>
        </w:rPr>
        <w:t>II</w:t>
      </w:r>
    </w:p>
    <w:p w14:paraId="5CAAFFA6" w14:textId="63E8ADEB" w:rsidR="003C41B2" w:rsidRPr="006B2D93" w:rsidRDefault="00062144" w:rsidP="003C41B2">
      <w:pPr>
        <w:keepNext/>
        <w:keepLines/>
        <w:tabs>
          <w:tab w:val="clear" w:pos="567"/>
          <w:tab w:val="clear" w:pos="1134"/>
          <w:tab w:val="clear" w:pos="1701"/>
          <w:tab w:val="clear" w:pos="2268"/>
          <w:tab w:val="left" w:pos="2835"/>
          <w:tab w:val="left" w:pos="3402"/>
        </w:tabs>
        <w:spacing w:before="120" w:after="120"/>
        <w:ind w:left="1134"/>
        <w:jc w:val="left"/>
        <w:rPr>
          <w:rFonts w:cs="Times New Roman Bold"/>
          <w:b/>
          <w:bCs/>
          <w:sz w:val="24"/>
          <w:lang w:val="fr-FR"/>
        </w:rPr>
      </w:pPr>
      <w:r w:rsidRPr="006B2D93">
        <w:rPr>
          <w:rFonts w:eastAsia="Times New Roman" w:cs="Times New Roman Bold"/>
          <w:b/>
          <w:bCs/>
          <w:sz w:val="24"/>
          <w:szCs w:val="24"/>
          <w:lang w:val="fr-FR"/>
        </w:rPr>
        <w:t xml:space="preserve">Mandat du Groupe spécial d’experts techniques sur la biologie de synthèse </w:t>
      </w:r>
    </w:p>
    <w:p w14:paraId="5CAAFFA7" w14:textId="4EC6D645"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1.</w:t>
      </w:r>
      <w:r w:rsidRPr="006B2D93">
        <w:rPr>
          <w:rFonts w:eastAsia="Times New Roman"/>
          <w:lang w:val="fr-FR"/>
        </w:rPr>
        <w:tab/>
        <w:t xml:space="preserve"> Le Groupe spécial d’experts techniques sur la biologie de synthèse </w:t>
      </w:r>
      <w:r w:rsidR="007D76E1">
        <w:rPr>
          <w:rFonts w:eastAsia="Times New Roman"/>
          <w:lang w:val="fr-FR"/>
        </w:rPr>
        <w:t>se réunira</w:t>
      </w:r>
      <w:r w:rsidRPr="006B2D93">
        <w:rPr>
          <w:rFonts w:eastAsia="Times New Roman"/>
          <w:lang w:val="fr-FR"/>
        </w:rPr>
        <w:t xml:space="preserve"> conformément à la section H du mode de fonctionnement consolidé de l’Organe subsidiaire chargé de fournir des avis scientifiques, techniques et technologiques</w:t>
      </w:r>
      <w:r w:rsidR="00062D65">
        <w:rPr>
          <w:rStyle w:val="FootnoteReference"/>
          <w:rFonts w:eastAsia="Times New Roman"/>
          <w:lang w:val="fr-FR"/>
        </w:rPr>
        <w:footnoteReference w:id="31"/>
      </w:r>
      <w:r w:rsidRPr="006B2D93">
        <w:rPr>
          <w:rFonts w:eastAsia="Times New Roman"/>
          <w:lang w:val="fr-FR"/>
        </w:rPr>
        <w:t xml:space="preserve"> [sa composition étant élargie à [quatre] experts par région]. [La sélection des experts doit être effectuée en veillant à l’équilibre géographique et la représentation équilibrée des genres, ainsi qu’à une représentation équilibrée des compétences en matière de recherche et développement, d’innovation, de prévention des risques biotechnologiques, d’évaluation des risques, de réglementation, de création et renforcement des capacités, d’accès aux technologies et de transfert de technologies, ainsi que de coopération scientifique et technique, [en accordant une attention particulière aux] [y compris les] compétences des pays en développement</w:t>
      </w:r>
      <w:r w:rsidR="007D76E1">
        <w:rPr>
          <w:rFonts w:eastAsia="Times New Roman"/>
          <w:lang w:val="fr-FR"/>
        </w:rPr>
        <w:t xml:space="preserve"> Parties</w:t>
      </w:r>
      <w:r w:rsidRPr="006B2D93">
        <w:rPr>
          <w:rFonts w:eastAsia="Times New Roman"/>
          <w:lang w:val="fr-FR"/>
        </w:rPr>
        <w:t>.]</w:t>
      </w:r>
    </w:p>
    <w:p w14:paraId="5CAAFFA8" w14:textId="22125EB5" w:rsidR="003C41B2" w:rsidRPr="006B2D93" w:rsidRDefault="00062144" w:rsidP="003C41B2">
      <w:pPr>
        <w:pStyle w:val="CBDNormalNumber"/>
        <w:numPr>
          <w:ilvl w:val="0"/>
          <w:numId w:val="0"/>
        </w:numPr>
        <w:ind w:left="1134"/>
        <w:rPr>
          <w:snapToGrid w:val="0"/>
          <w:szCs w:val="18"/>
          <w:lang w:val="fr-FR"/>
        </w:rPr>
      </w:pPr>
      <w:r w:rsidRPr="006B2D93">
        <w:rPr>
          <w:rFonts w:eastAsia="Times New Roman"/>
          <w:lang w:val="fr-FR"/>
        </w:rPr>
        <w:t>[2</w:t>
      </w:r>
      <w:r w:rsidRPr="006B2D93">
        <w:rPr>
          <w:rFonts w:eastAsia="Times New Roman"/>
          <w:b/>
          <w:bCs/>
          <w:lang w:val="fr-FR"/>
        </w:rPr>
        <w:t>.</w:t>
      </w:r>
      <w:r w:rsidRPr="006B2D93">
        <w:rPr>
          <w:rFonts w:eastAsia="Times New Roman"/>
          <w:lang w:val="fr-FR"/>
        </w:rPr>
        <w:tab/>
        <w:t>Les experts devront être sélectionnés en fonction des thèmes à traiter, tout en veillant à une représentation appropriée des domaines de compétences multidisciplinaires relati</w:t>
      </w:r>
      <w:r w:rsidR="006405B3">
        <w:rPr>
          <w:rFonts w:eastAsia="Times New Roman"/>
          <w:lang w:val="fr-FR"/>
        </w:rPr>
        <w:t>fs</w:t>
      </w:r>
      <w:r w:rsidRPr="006B2D93">
        <w:rPr>
          <w:rFonts w:eastAsia="Times New Roman"/>
          <w:lang w:val="fr-FR"/>
        </w:rPr>
        <w:t xml:space="preserve"> à la biologie de synthèse.]</w:t>
      </w:r>
    </w:p>
    <w:p w14:paraId="5CAAFFA9" w14:textId="74FAD221"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3.</w:t>
      </w:r>
      <w:r w:rsidRPr="006B2D93">
        <w:rPr>
          <w:rFonts w:eastAsia="Times New Roman"/>
          <w:lang w:val="fr-FR"/>
        </w:rPr>
        <w:tab/>
        <w:t xml:space="preserve">La procédure visant à éviter ou à gérer les conflits d’intérêts au sein des groupes d’experts, </w:t>
      </w:r>
      <w:r w:rsidR="004D7A23">
        <w:rPr>
          <w:rFonts w:eastAsia="Times New Roman"/>
          <w:lang w:val="fr-FR"/>
        </w:rPr>
        <w:t>décrite</w:t>
      </w:r>
      <w:r w:rsidRPr="006B2D93">
        <w:rPr>
          <w:rFonts w:eastAsia="Times New Roman"/>
          <w:lang w:val="fr-FR"/>
        </w:rPr>
        <w:t xml:space="preserve"> dans l’annexe à la décision </w:t>
      </w:r>
      <w:hyperlink r:id="rId26" w:history="1">
        <w:r w:rsidRPr="006B2D93">
          <w:rPr>
            <w:rFonts w:eastAsia="Times New Roman"/>
            <w:color w:val="0000FF"/>
            <w:u w:val="single"/>
            <w:lang w:val="fr-FR"/>
          </w:rPr>
          <w:t>14/33</w:t>
        </w:r>
      </w:hyperlink>
      <w:r w:rsidRPr="006B2D93">
        <w:rPr>
          <w:rFonts w:eastAsia="Times New Roman"/>
          <w:lang w:val="fr-FR"/>
        </w:rPr>
        <w:t xml:space="preserve"> du 29</w:t>
      </w:r>
      <w:r w:rsidR="00C57D56">
        <w:rPr>
          <w:rFonts w:eastAsia="Times New Roman"/>
          <w:lang w:val="fr-FR"/>
        </w:rPr>
        <w:t> </w:t>
      </w:r>
      <w:r w:rsidRPr="006B2D93">
        <w:rPr>
          <w:rFonts w:eastAsia="Times New Roman"/>
          <w:lang w:val="fr-FR"/>
        </w:rPr>
        <w:t>novembre</w:t>
      </w:r>
      <w:r w:rsidR="00C57D56">
        <w:rPr>
          <w:rFonts w:eastAsia="Times New Roman"/>
          <w:lang w:val="fr-FR"/>
        </w:rPr>
        <w:t> </w:t>
      </w:r>
      <w:r w:rsidRPr="006B2D93">
        <w:rPr>
          <w:rFonts w:eastAsia="Times New Roman"/>
          <w:lang w:val="fr-FR"/>
        </w:rPr>
        <w:t xml:space="preserve">2018, telle qu’amendée par la décision </w:t>
      </w:r>
      <w:hyperlink r:id="rId27" w:history="1">
        <w:r w:rsidRPr="006B2D93">
          <w:rPr>
            <w:rFonts w:eastAsia="Times New Roman"/>
            <w:color w:val="0000FF"/>
            <w:u w:val="single"/>
            <w:lang w:val="fr-FR"/>
          </w:rPr>
          <w:t>16/26</w:t>
        </w:r>
      </w:hyperlink>
      <w:r w:rsidR="00556F94" w:rsidRPr="006B2D93">
        <w:rPr>
          <w:lang w:val="fr-FR"/>
        </w:rPr>
        <w:t xml:space="preserve"> </w:t>
      </w:r>
      <w:r w:rsidRPr="006B2D93">
        <w:rPr>
          <w:rFonts w:eastAsia="Times New Roman"/>
          <w:lang w:val="fr-FR"/>
        </w:rPr>
        <w:t>du 1</w:t>
      </w:r>
      <w:r w:rsidRPr="00F54754">
        <w:rPr>
          <w:rFonts w:eastAsia="Times New Roman"/>
          <w:vertAlign w:val="superscript"/>
          <w:lang w:val="fr-FR"/>
        </w:rPr>
        <w:t>er</w:t>
      </w:r>
      <w:r w:rsidR="00C57D56">
        <w:rPr>
          <w:rFonts w:eastAsia="Times New Roman"/>
          <w:lang w:val="fr-FR"/>
        </w:rPr>
        <w:t> </w:t>
      </w:r>
      <w:r w:rsidRPr="006B2D93">
        <w:rPr>
          <w:rFonts w:eastAsia="Times New Roman"/>
          <w:lang w:val="fr-FR"/>
        </w:rPr>
        <w:t>novembre</w:t>
      </w:r>
      <w:r w:rsidR="00C57D56">
        <w:rPr>
          <w:rFonts w:eastAsia="Times New Roman"/>
          <w:lang w:val="fr-FR"/>
        </w:rPr>
        <w:t> </w:t>
      </w:r>
      <w:r w:rsidRPr="006B2D93">
        <w:rPr>
          <w:rFonts w:eastAsia="Times New Roman"/>
          <w:lang w:val="fr-FR"/>
        </w:rPr>
        <w:t>2024, s’applique au Groupe spécial d’experts techniques.</w:t>
      </w:r>
    </w:p>
    <w:p w14:paraId="5CAAFFAB" w14:textId="338A7BFD" w:rsidR="003C41B2" w:rsidRPr="006B2D93" w:rsidRDefault="00062144" w:rsidP="00AD5929">
      <w:pPr>
        <w:tabs>
          <w:tab w:val="clear" w:pos="567"/>
        </w:tabs>
        <w:spacing w:before="120" w:after="120"/>
        <w:ind w:left="1134"/>
        <w:rPr>
          <w:snapToGrid w:val="0"/>
          <w:szCs w:val="18"/>
          <w:lang w:val="fr-FR"/>
        </w:rPr>
      </w:pPr>
      <w:r w:rsidRPr="006B2D93">
        <w:rPr>
          <w:rFonts w:eastAsia="Times New Roman"/>
          <w:lang w:val="fr-FR"/>
        </w:rPr>
        <w:t>4.</w:t>
      </w:r>
      <w:r w:rsidRPr="006B2D93">
        <w:rPr>
          <w:rFonts w:eastAsia="Times New Roman"/>
          <w:lang w:val="fr-FR"/>
        </w:rPr>
        <w:tab/>
        <w:t>Le Groupe spécial d’experts techniques est chargé</w:t>
      </w:r>
      <w:r w:rsidR="00C57D56">
        <w:rPr>
          <w:rFonts w:eastAsia="Times New Roman"/>
          <w:lang w:val="fr-FR"/>
        </w:rPr>
        <w:t> </w:t>
      </w:r>
      <w:r w:rsidRPr="006B2D93">
        <w:rPr>
          <w:rFonts w:eastAsia="Times New Roman"/>
          <w:lang w:val="fr-FR"/>
        </w:rPr>
        <w:t>:</w:t>
      </w:r>
    </w:p>
    <w:p w14:paraId="5CAAFFAC" w14:textId="1BE44452"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ab/>
        <w:t>[</w:t>
      </w:r>
      <w:proofErr w:type="gramStart"/>
      <w:r w:rsidRPr="006B2D93">
        <w:rPr>
          <w:rFonts w:eastAsia="Times New Roman"/>
          <w:lang w:val="fr-FR"/>
        </w:rPr>
        <w:t>a</w:t>
      </w:r>
      <w:proofErr w:type="gramEnd"/>
      <w:r w:rsidRPr="006B2D93">
        <w:rPr>
          <w:rFonts w:eastAsia="Times New Roman"/>
          <w:lang w:val="fr-FR"/>
        </w:rPr>
        <w:t>)</w:t>
      </w:r>
      <w:r w:rsidR="00AD5929" w:rsidRPr="006B2D93">
        <w:rPr>
          <w:rFonts w:eastAsia="Times New Roman"/>
          <w:lang w:val="fr-FR"/>
        </w:rPr>
        <w:tab/>
      </w:r>
      <w:r w:rsidR="00F54754">
        <w:rPr>
          <w:rFonts w:eastAsia="Times New Roman"/>
          <w:lang w:val="fr-FR"/>
        </w:rPr>
        <w:t>D’é</w:t>
      </w:r>
      <w:r w:rsidRPr="006B2D93">
        <w:rPr>
          <w:rFonts w:eastAsia="Times New Roman"/>
          <w:lang w:val="fr-FR"/>
        </w:rPr>
        <w:t xml:space="preserve">laborer et appliquer une méthode transparente, structurée et scientifiquement rigoureuse pour évaluer les </w:t>
      </w:r>
      <w:r w:rsidR="00F54754">
        <w:rPr>
          <w:rFonts w:eastAsia="Times New Roman"/>
          <w:lang w:val="fr-FR"/>
        </w:rPr>
        <w:t>éventuelles incidences, tant positives que négatives,</w:t>
      </w:r>
      <w:r w:rsidRPr="006B2D93">
        <w:rPr>
          <w:rFonts w:eastAsia="Times New Roman"/>
          <w:lang w:val="fr-FR"/>
        </w:rPr>
        <w:t xml:space="preserve"> de la biologie </w:t>
      </w:r>
      <w:r w:rsidRPr="006B2D93">
        <w:rPr>
          <w:rFonts w:eastAsia="Times New Roman"/>
          <w:lang w:val="fr-FR"/>
        </w:rPr>
        <w:lastRenderedPageBreak/>
        <w:t>de synthèse, en s’appuyant sur les travaux antérieurs menés dans le cadre de la Convention sur la diversité biologique</w:t>
      </w:r>
      <w:r w:rsidR="00062D65">
        <w:rPr>
          <w:rStyle w:val="FootnoteReference"/>
          <w:rFonts w:eastAsia="Times New Roman"/>
          <w:lang w:val="fr-FR"/>
        </w:rPr>
        <w:footnoteReference w:id="32"/>
      </w:r>
      <w:r w:rsidR="00062D65">
        <w:rPr>
          <w:rFonts w:eastAsia="Times New Roman"/>
          <w:lang w:val="fr-FR"/>
        </w:rPr>
        <w:t xml:space="preserve"> </w:t>
      </w:r>
      <w:r w:rsidRPr="006B2D93">
        <w:rPr>
          <w:rFonts w:eastAsia="Times New Roman"/>
          <w:lang w:val="fr-FR"/>
        </w:rPr>
        <w:t>et de ses Protocoles. Cette méthode pourrait, selon le cas</w:t>
      </w:r>
      <w:r w:rsidR="00677446" w:rsidRPr="006B2D93">
        <w:rPr>
          <w:rFonts w:eastAsia="Times New Roman"/>
          <w:lang w:val="fr-FR"/>
        </w:rPr>
        <w:t> :</w:t>
      </w:r>
    </w:p>
    <w:p w14:paraId="5CAAFFAD" w14:textId="1A287315" w:rsidR="003C41B2" w:rsidRPr="006B2D93" w:rsidRDefault="00062144" w:rsidP="003C41B2">
      <w:pPr>
        <w:tabs>
          <w:tab w:val="clear" w:pos="567"/>
          <w:tab w:val="clear" w:pos="1134"/>
          <w:tab w:val="clear" w:pos="1701"/>
        </w:tabs>
        <w:spacing w:before="120" w:after="120"/>
        <w:ind w:left="2268" w:hanging="567"/>
        <w:rPr>
          <w:snapToGrid w:val="0"/>
          <w:szCs w:val="18"/>
          <w:lang w:val="fr-FR"/>
        </w:rPr>
      </w:pPr>
      <w:r w:rsidRPr="006B2D93">
        <w:rPr>
          <w:rFonts w:eastAsia="Times New Roman"/>
          <w:lang w:val="fr-FR"/>
        </w:rPr>
        <w:t>i)</w:t>
      </w:r>
      <w:r w:rsidRPr="006B2D93">
        <w:rPr>
          <w:rFonts w:eastAsia="Times New Roman"/>
          <w:lang w:val="fr-FR"/>
        </w:rPr>
        <w:tab/>
        <w:t>Évaluer la qualité, la pertinence et les limites des informations et des données disponibles</w:t>
      </w:r>
      <w:r w:rsidR="00C57D56">
        <w:rPr>
          <w:rFonts w:eastAsia="Times New Roman"/>
          <w:lang w:val="fr-FR"/>
        </w:rPr>
        <w:t> </w:t>
      </w:r>
      <w:r w:rsidRPr="006B2D93">
        <w:rPr>
          <w:rFonts w:eastAsia="Times New Roman"/>
          <w:lang w:val="fr-FR"/>
        </w:rPr>
        <w:t>;</w:t>
      </w:r>
    </w:p>
    <w:p w14:paraId="5CAAFFAE" w14:textId="32FBFD9D" w:rsidR="003C41B2" w:rsidRPr="006B2D93" w:rsidRDefault="00062144" w:rsidP="003C41B2">
      <w:pPr>
        <w:tabs>
          <w:tab w:val="clear" w:pos="567"/>
          <w:tab w:val="clear" w:pos="1134"/>
          <w:tab w:val="clear" w:pos="1701"/>
        </w:tabs>
        <w:spacing w:before="120" w:after="120"/>
        <w:ind w:left="2268" w:hanging="567"/>
        <w:rPr>
          <w:snapToGrid w:val="0"/>
          <w:szCs w:val="18"/>
          <w:lang w:val="fr-FR"/>
        </w:rPr>
      </w:pPr>
      <w:r w:rsidRPr="006B2D93">
        <w:rPr>
          <w:rFonts w:eastAsia="Times New Roman"/>
          <w:lang w:val="fr-FR"/>
        </w:rPr>
        <w:t>ii)</w:t>
      </w:r>
      <w:r w:rsidRPr="006B2D93">
        <w:rPr>
          <w:rFonts w:eastAsia="Times New Roman"/>
          <w:lang w:val="fr-FR"/>
        </w:rPr>
        <w:tab/>
      </w:r>
      <w:r w:rsidR="00666395">
        <w:rPr>
          <w:rFonts w:eastAsia="Times New Roman"/>
          <w:lang w:val="fr-FR"/>
        </w:rPr>
        <w:t>Recenser</w:t>
      </w:r>
      <w:r w:rsidRPr="006B2D93">
        <w:rPr>
          <w:rFonts w:eastAsia="Times New Roman"/>
          <w:lang w:val="fr-FR"/>
        </w:rPr>
        <w:t xml:space="preserve"> des références et des éléments de comparaison appropriés</w:t>
      </w:r>
      <w:r w:rsidR="00C57D56">
        <w:rPr>
          <w:rFonts w:eastAsia="Times New Roman"/>
          <w:lang w:val="fr-FR"/>
        </w:rPr>
        <w:t> </w:t>
      </w:r>
      <w:r w:rsidRPr="006B2D93">
        <w:rPr>
          <w:rFonts w:eastAsia="Times New Roman"/>
          <w:lang w:val="fr-FR"/>
        </w:rPr>
        <w:t>;</w:t>
      </w:r>
    </w:p>
    <w:p w14:paraId="5CAAFFAF" w14:textId="22D9A353" w:rsidR="003C41B2" w:rsidRPr="006B2D93" w:rsidRDefault="00062144" w:rsidP="003C41B2">
      <w:pPr>
        <w:tabs>
          <w:tab w:val="clear" w:pos="567"/>
          <w:tab w:val="clear" w:pos="1134"/>
          <w:tab w:val="clear" w:pos="1701"/>
        </w:tabs>
        <w:spacing w:before="120" w:after="120"/>
        <w:ind w:left="2268" w:hanging="567"/>
        <w:rPr>
          <w:snapToGrid w:val="0"/>
          <w:szCs w:val="18"/>
          <w:lang w:val="fr-FR"/>
        </w:rPr>
      </w:pPr>
      <w:r w:rsidRPr="006B2D93">
        <w:rPr>
          <w:rFonts w:eastAsia="Times New Roman"/>
          <w:lang w:val="fr-FR"/>
        </w:rPr>
        <w:t>iii)</w:t>
      </w:r>
      <w:r w:rsidRPr="006B2D93">
        <w:rPr>
          <w:rFonts w:eastAsia="Times New Roman"/>
          <w:lang w:val="fr-FR"/>
        </w:rPr>
        <w:tab/>
        <w:t xml:space="preserve">Prendre en compte les </w:t>
      </w:r>
      <w:r w:rsidR="00F54754">
        <w:rPr>
          <w:rFonts w:eastAsia="Times New Roman"/>
          <w:lang w:val="fr-FR"/>
        </w:rPr>
        <w:t>incidences</w:t>
      </w:r>
      <w:r w:rsidRPr="006B2D93">
        <w:rPr>
          <w:rFonts w:eastAsia="Times New Roman"/>
          <w:lang w:val="fr-FR"/>
        </w:rPr>
        <w:t xml:space="preserve"> cumulati</w:t>
      </w:r>
      <w:r w:rsidR="00F54754">
        <w:rPr>
          <w:rFonts w:eastAsia="Times New Roman"/>
          <w:lang w:val="fr-FR"/>
        </w:rPr>
        <w:t>ve</w:t>
      </w:r>
      <w:r w:rsidRPr="006B2D93">
        <w:rPr>
          <w:rFonts w:eastAsia="Times New Roman"/>
          <w:lang w:val="fr-FR"/>
        </w:rPr>
        <w:t xml:space="preserve">s et à long terme, le caractère irréversible ainsi que la répartition des </w:t>
      </w:r>
      <w:r w:rsidR="00F54754">
        <w:rPr>
          <w:rFonts w:eastAsia="Times New Roman"/>
          <w:lang w:val="fr-FR"/>
        </w:rPr>
        <w:t>éventuelles incidences</w:t>
      </w:r>
      <w:r w:rsidRPr="006B2D93">
        <w:rPr>
          <w:rFonts w:eastAsia="Times New Roman"/>
          <w:lang w:val="fr-FR"/>
        </w:rPr>
        <w:t xml:space="preserve"> et des incertitudes</w:t>
      </w:r>
      <w:r w:rsidR="00C57D56">
        <w:rPr>
          <w:rFonts w:eastAsia="Times New Roman"/>
          <w:lang w:val="fr-FR"/>
        </w:rPr>
        <w:t> </w:t>
      </w:r>
      <w:r w:rsidRPr="006B2D93">
        <w:rPr>
          <w:rFonts w:eastAsia="Times New Roman"/>
          <w:lang w:val="fr-FR"/>
        </w:rPr>
        <w:t xml:space="preserve">; </w:t>
      </w:r>
    </w:p>
    <w:p w14:paraId="5CAAFFB0" w14:textId="77777777" w:rsidR="003C41B2" w:rsidRPr="006B2D93" w:rsidRDefault="00062144" w:rsidP="003C41B2">
      <w:pPr>
        <w:tabs>
          <w:tab w:val="clear" w:pos="567"/>
          <w:tab w:val="clear" w:pos="1134"/>
          <w:tab w:val="clear" w:pos="1701"/>
        </w:tabs>
        <w:spacing w:before="120" w:after="120"/>
        <w:ind w:left="2268" w:hanging="567"/>
        <w:rPr>
          <w:snapToGrid w:val="0"/>
          <w:szCs w:val="18"/>
          <w:lang w:val="fr-FR"/>
        </w:rPr>
      </w:pPr>
      <w:r w:rsidRPr="006B2D93">
        <w:rPr>
          <w:rFonts w:eastAsia="Times New Roman"/>
          <w:lang w:val="fr-FR"/>
        </w:rPr>
        <w:t>iv)</w:t>
      </w:r>
      <w:r w:rsidRPr="006B2D93">
        <w:rPr>
          <w:rFonts w:eastAsia="Times New Roman"/>
          <w:lang w:val="fr-FR"/>
        </w:rPr>
        <w:tab/>
        <w:t>Tenir compte de l’utilisation prévue ;]</w:t>
      </w:r>
    </w:p>
    <w:p w14:paraId="5CAAFFB1" w14:textId="7DA4DBD4"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ab/>
        <w:t>[(b)</w:t>
      </w:r>
      <w:r w:rsidRPr="006B2D93">
        <w:rPr>
          <w:rFonts w:eastAsia="Times New Roman"/>
          <w:lang w:val="fr-FR"/>
        </w:rPr>
        <w:tab/>
      </w:r>
      <w:r w:rsidR="00F54754">
        <w:rPr>
          <w:rFonts w:eastAsia="Times New Roman"/>
          <w:lang w:val="fr-FR"/>
        </w:rPr>
        <w:t>D’é</w:t>
      </w:r>
      <w:r w:rsidRPr="006B2D93">
        <w:rPr>
          <w:rFonts w:eastAsia="Times New Roman"/>
          <w:lang w:val="fr-FR"/>
        </w:rPr>
        <w:t xml:space="preserve">valuer, à l’aide de la méthode visée </w:t>
      </w:r>
      <w:r w:rsidR="00F54754">
        <w:rPr>
          <w:rFonts w:eastAsia="Times New Roman"/>
          <w:lang w:val="fr-FR"/>
        </w:rPr>
        <w:t>à l’alinéa</w:t>
      </w:r>
      <w:r w:rsidR="0038269F">
        <w:rPr>
          <w:rFonts w:eastAsia="Times New Roman"/>
          <w:lang w:val="fr-FR"/>
        </w:rPr>
        <w:t> </w:t>
      </w:r>
      <w:r w:rsidRPr="006B2D93">
        <w:rPr>
          <w:rFonts w:eastAsia="Times New Roman"/>
          <w:lang w:val="fr-FR"/>
        </w:rPr>
        <w:t xml:space="preserve">4 a) ci-dessus, les </w:t>
      </w:r>
      <w:r w:rsidR="00871D07">
        <w:rPr>
          <w:rFonts w:eastAsia="Times New Roman"/>
          <w:lang w:val="fr-FR"/>
        </w:rPr>
        <w:t xml:space="preserve">éventuelles incidences, tant positives que négatives, </w:t>
      </w:r>
      <w:r w:rsidRPr="006B2D93">
        <w:rPr>
          <w:rFonts w:eastAsia="Times New Roman"/>
          <w:lang w:val="fr-FR"/>
        </w:rPr>
        <w:t>de [la biologie de synthèse, y compris] [emplacement réservé à un seul sujet][l’intelligence artificielle et la biologie computationnelle][la convergence de l’intelligence artificielle et de la biologie computationnelle avec la biologie de synthèse] et [</w:t>
      </w:r>
      <w:r w:rsidR="00871D07">
        <w:rPr>
          <w:rFonts w:eastAsia="Times New Roman"/>
          <w:lang w:val="fr-FR"/>
        </w:rPr>
        <w:t>d</w:t>
      </w:r>
      <w:r w:rsidRPr="006B2D93">
        <w:rPr>
          <w:rFonts w:eastAsia="Times New Roman"/>
          <w:lang w:val="fr-FR"/>
        </w:rPr>
        <w:t>es applications à des fins de conservation] sur les objectifs de la Convention et la mise en œuvre du Cadre mondial de la biodiversité de Kunming-Montréal</w:t>
      </w:r>
      <w:r w:rsidR="00062D65">
        <w:rPr>
          <w:rStyle w:val="FootnoteReference"/>
          <w:rFonts w:eastAsia="Times New Roman"/>
          <w:lang w:val="fr-FR"/>
        </w:rPr>
        <w:footnoteReference w:id="33"/>
      </w:r>
      <w:r w:rsidRPr="006B2D93">
        <w:rPr>
          <w:rFonts w:eastAsia="Times New Roman"/>
          <w:lang w:val="fr-FR"/>
        </w:rPr>
        <w:t>, y compris les considérations relatives à la prévention des risques biotechnologiques, ainsi que les aspects économiques, sociaux, écologiques, culturels, traditionnels, religieux et éthiques ;]</w:t>
      </w:r>
    </w:p>
    <w:p w14:paraId="5CAAFFB2" w14:textId="693D571C"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ab/>
        <w:t>[</w:t>
      </w:r>
      <w:proofErr w:type="gramStart"/>
      <w:r w:rsidRPr="006B2D93">
        <w:rPr>
          <w:rFonts w:eastAsia="Times New Roman"/>
          <w:lang w:val="fr-FR"/>
        </w:rPr>
        <w:t>c</w:t>
      </w:r>
      <w:proofErr w:type="gramEnd"/>
      <w:r w:rsidRPr="006B2D93">
        <w:rPr>
          <w:rFonts w:eastAsia="Times New Roman"/>
          <w:lang w:val="fr-FR"/>
        </w:rPr>
        <w:t>)</w:t>
      </w:r>
      <w:r w:rsidRPr="006B2D93">
        <w:rPr>
          <w:rFonts w:eastAsia="Times New Roman"/>
          <w:lang w:val="fr-FR"/>
        </w:rPr>
        <w:tab/>
      </w:r>
      <w:r w:rsidR="00F54754">
        <w:rPr>
          <w:rFonts w:eastAsia="Times New Roman"/>
          <w:lang w:val="fr-FR"/>
        </w:rPr>
        <w:t>D’e</w:t>
      </w:r>
      <w:r w:rsidRPr="006B2D93">
        <w:rPr>
          <w:rFonts w:eastAsia="Times New Roman"/>
          <w:lang w:val="fr-FR"/>
        </w:rPr>
        <w:t xml:space="preserve">xaminer la méthode d’analyse prospective </w:t>
      </w:r>
      <w:r w:rsidR="00062D65">
        <w:rPr>
          <w:rFonts w:eastAsia="Times New Roman"/>
          <w:lang w:val="fr-FR"/>
        </w:rPr>
        <w:t>figurant</w:t>
      </w:r>
      <w:r w:rsidRPr="006B2D93">
        <w:rPr>
          <w:rFonts w:eastAsia="Times New Roman"/>
          <w:lang w:val="fr-FR"/>
        </w:rPr>
        <w:t xml:space="preserve"> à l’annexe</w:t>
      </w:r>
      <w:r w:rsidR="00AE25C9" w:rsidRPr="006B2D93">
        <w:rPr>
          <w:rFonts w:eastAsia="Times New Roman"/>
          <w:lang w:val="fr-FR"/>
        </w:rPr>
        <w:t> </w:t>
      </w:r>
      <w:r w:rsidRPr="006B2D93">
        <w:rPr>
          <w:rFonts w:eastAsia="Times New Roman"/>
          <w:lang w:val="fr-FR"/>
        </w:rPr>
        <w:t>IV du document</w:t>
      </w:r>
      <w:r w:rsidR="00557204" w:rsidRPr="006B2D93">
        <w:rPr>
          <w:rFonts w:eastAsia="Times New Roman"/>
          <w:lang w:val="fr-FR"/>
        </w:rPr>
        <w:t> </w:t>
      </w:r>
      <w:hyperlink r:id="rId28" w:history="1">
        <w:r w:rsidRPr="006B2D93">
          <w:rPr>
            <w:rFonts w:eastAsia="Times New Roman"/>
            <w:color w:val="0000FF"/>
            <w:u w:val="single"/>
            <w:lang w:val="fr-FR"/>
          </w:rPr>
          <w:t>CBD/SBSTTA/26/4</w:t>
        </w:r>
      </w:hyperlink>
      <w:r w:rsidRPr="006B2D93">
        <w:rPr>
          <w:rFonts w:eastAsia="Times New Roman"/>
          <w:lang w:val="fr-FR"/>
        </w:rPr>
        <w:t xml:space="preserve">, en vue de son application continue aux tendances et enjeux émergents </w:t>
      </w:r>
      <w:r w:rsidR="00AC5A88">
        <w:rPr>
          <w:rFonts w:eastAsia="Times New Roman"/>
          <w:lang w:val="fr-FR"/>
        </w:rPr>
        <w:t>dans le domaine de la</w:t>
      </w:r>
      <w:r w:rsidRPr="006B2D93">
        <w:rPr>
          <w:rFonts w:eastAsia="Times New Roman"/>
          <w:lang w:val="fr-FR"/>
        </w:rPr>
        <w:t xml:space="preserve"> biologie de synthèse ;</w:t>
      </w:r>
      <w:r w:rsidR="00062D65">
        <w:rPr>
          <w:rFonts w:eastAsia="Times New Roman"/>
          <w:lang w:val="fr-FR"/>
        </w:rPr>
        <w:t>]</w:t>
      </w:r>
    </w:p>
    <w:p w14:paraId="5CAAFFB3" w14:textId="31FBCDBD"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ab/>
        <w:t>d)</w:t>
      </w:r>
      <w:r w:rsidRPr="006B2D93">
        <w:rPr>
          <w:rFonts w:eastAsia="Times New Roman"/>
          <w:lang w:val="fr-FR"/>
        </w:rPr>
        <w:tab/>
        <w:t xml:space="preserve"> </w:t>
      </w:r>
      <w:r w:rsidR="00F54754">
        <w:rPr>
          <w:rFonts w:eastAsia="Times New Roman"/>
          <w:lang w:val="fr-FR"/>
        </w:rPr>
        <w:t>De r</w:t>
      </w:r>
      <w:r w:rsidRPr="006B2D93">
        <w:rPr>
          <w:rFonts w:eastAsia="Times New Roman"/>
          <w:lang w:val="fr-FR"/>
        </w:rPr>
        <w:t xml:space="preserve">édiger un rapport sur les résultats de ses travaux, qui sera examiné par l’Organe subsidiaire chargé de fournir des avis scientifiques, techniques et technologiques lors d’une réunion </w:t>
      </w:r>
      <w:r w:rsidR="00AC5A88">
        <w:rPr>
          <w:rFonts w:eastAsia="Times New Roman"/>
          <w:lang w:val="fr-FR"/>
        </w:rPr>
        <w:t>qui se tiendra</w:t>
      </w:r>
      <w:r w:rsidRPr="006B2D93">
        <w:rPr>
          <w:rFonts w:eastAsia="Times New Roman"/>
          <w:lang w:val="fr-FR"/>
        </w:rPr>
        <w:t xml:space="preserve"> avant la dix-huitième réunion de la Conférence des Parties.</w:t>
      </w:r>
    </w:p>
    <w:p w14:paraId="5CAAFFB4" w14:textId="77777777"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5.</w:t>
      </w:r>
      <w:r w:rsidRPr="006B2D93">
        <w:rPr>
          <w:rFonts w:eastAsia="Times New Roman"/>
          <w:lang w:val="fr-FR"/>
        </w:rPr>
        <w:tab/>
        <w:t xml:space="preserve">Le Groupe spécial d’experts techniques tiendra compte des besoins et priorités particuliers des [Parties, y compris les] Parties qui sont des pays en développement, en particulier les pays les moins avancés et les petits États insulaires en </w:t>
      </w:r>
      <w:proofErr w:type="gramStart"/>
      <w:r w:rsidRPr="006B2D93">
        <w:rPr>
          <w:rFonts w:eastAsia="Times New Roman"/>
          <w:lang w:val="fr-FR"/>
        </w:rPr>
        <w:t>développement[</w:t>
      </w:r>
      <w:proofErr w:type="gramEnd"/>
      <w:r w:rsidRPr="006B2D93">
        <w:rPr>
          <w:rFonts w:eastAsia="Times New Roman"/>
          <w:lang w:val="fr-FR"/>
        </w:rPr>
        <w:t>, ainsi que les Parties dont l’économie est en transition et les pays à grande diversité biologique].</w:t>
      </w:r>
    </w:p>
    <w:p w14:paraId="5CAAFFB5" w14:textId="77777777"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6.</w:t>
      </w:r>
      <w:r w:rsidRPr="006B2D93">
        <w:rPr>
          <w:rFonts w:eastAsia="Times New Roman"/>
          <w:lang w:val="fr-FR"/>
        </w:rPr>
        <w:tab/>
        <w:t>Le Groupe spécial d’experts techniques s’appuiera sur les travaux antérieurs menés dans le cadre de la Convention et de ses Protocoles, tout en veillant à adopter une approche coordonnée, complémentaire et sans redondances.</w:t>
      </w:r>
    </w:p>
    <w:p w14:paraId="5CAAFFB6" w14:textId="03DAE931" w:rsidR="003C41B2" w:rsidRPr="006B2D93" w:rsidRDefault="00062144" w:rsidP="003C41B2">
      <w:pPr>
        <w:tabs>
          <w:tab w:val="clear" w:pos="567"/>
        </w:tabs>
        <w:spacing w:before="120" w:after="120"/>
        <w:ind w:left="1134"/>
        <w:rPr>
          <w:snapToGrid w:val="0"/>
          <w:szCs w:val="18"/>
          <w:lang w:val="fr-FR"/>
        </w:rPr>
      </w:pPr>
      <w:r w:rsidRPr="006B2D93">
        <w:rPr>
          <w:rFonts w:eastAsia="Times New Roman"/>
          <w:lang w:val="fr-FR"/>
        </w:rPr>
        <w:t>7.</w:t>
      </w:r>
      <w:r w:rsidRPr="006B2D93">
        <w:rPr>
          <w:rFonts w:eastAsia="Times New Roman"/>
          <w:lang w:val="fr-FR"/>
        </w:rPr>
        <w:tab/>
        <w:t xml:space="preserve">Le Groupe spécial d’experts techniques s’appuiera sur la synthèse établie par le Secrétariat conformément au paragraphe 11 a) de la présente décision et, </w:t>
      </w:r>
      <w:r w:rsidR="005A4B6D">
        <w:rPr>
          <w:rFonts w:eastAsia="Times New Roman"/>
          <w:lang w:val="fr-FR"/>
        </w:rPr>
        <w:t>au besoin</w:t>
      </w:r>
      <w:r w:rsidRPr="006B2D93">
        <w:rPr>
          <w:rFonts w:eastAsia="Times New Roman"/>
          <w:lang w:val="fr-FR"/>
        </w:rPr>
        <w:t>, sur d’autres informations scientifiques et techniques pertinentes.</w:t>
      </w:r>
    </w:p>
    <w:p w14:paraId="5CAAFFB7" w14:textId="7945FF0B" w:rsidR="003C41B2" w:rsidRPr="006B2D93" w:rsidRDefault="00062144" w:rsidP="003C41B2">
      <w:pPr>
        <w:tabs>
          <w:tab w:val="clear" w:pos="567"/>
        </w:tabs>
        <w:spacing w:before="120" w:after="120"/>
        <w:ind w:left="1134"/>
        <w:rPr>
          <w:rFonts w:cs="Times New Roman Bold"/>
          <w:lang w:val="fr-FR"/>
        </w:rPr>
      </w:pPr>
      <w:r w:rsidRPr="006B2D93">
        <w:rPr>
          <w:rFonts w:eastAsia="Times New Roman"/>
          <w:lang w:val="fr-FR"/>
        </w:rPr>
        <w:t>8.</w:t>
      </w:r>
      <w:r w:rsidRPr="006B2D93">
        <w:rPr>
          <w:rFonts w:eastAsia="Times New Roman"/>
          <w:lang w:val="fr-FR"/>
        </w:rPr>
        <w:tab/>
        <w:t xml:space="preserve">Le Groupe spécial d’experts techniques tiendra compte, le cas échéant, des travaux d’autres organisations internationales dans les domaines de [la biologie de synthèse] [l’intelligence artificielle et de la biologie </w:t>
      </w:r>
      <w:proofErr w:type="gramStart"/>
      <w:r w:rsidRPr="006B2D93">
        <w:rPr>
          <w:rFonts w:eastAsia="Times New Roman"/>
          <w:lang w:val="fr-FR"/>
        </w:rPr>
        <w:t>computationnelle][</w:t>
      </w:r>
      <w:proofErr w:type="gramEnd"/>
      <w:r w:rsidRPr="006B2D93">
        <w:rPr>
          <w:rFonts w:eastAsia="Times New Roman"/>
          <w:lang w:val="fr-FR"/>
        </w:rPr>
        <w:t>la convergence de l’intelligence artificielle et de la biologie computationnelle avec la biologie de synthèse] et [des applications à des fins de conservation]</w:t>
      </w:r>
      <w:r w:rsidR="00E830B5" w:rsidRPr="006B2D93">
        <w:rPr>
          <w:rFonts w:eastAsia="Times New Roman"/>
          <w:lang w:val="fr-FR"/>
        </w:rPr>
        <w:t>.</w:t>
      </w:r>
      <w:r w:rsidR="00B0130F" w:rsidRPr="006B2D93">
        <w:rPr>
          <w:rFonts w:eastAsia="Times New Roman"/>
          <w:lang w:val="fr-FR"/>
        </w:rPr>
        <w:t xml:space="preserve"> </w:t>
      </w:r>
    </w:p>
    <w:p w14:paraId="5CAAFFB8" w14:textId="77777777" w:rsidR="003C41B2" w:rsidRPr="006B2D93" w:rsidRDefault="00062144" w:rsidP="003C41B2">
      <w:pPr>
        <w:tabs>
          <w:tab w:val="clear" w:pos="567"/>
        </w:tabs>
        <w:spacing w:before="120" w:after="120"/>
        <w:ind w:left="1134"/>
        <w:rPr>
          <w:rFonts w:cs="Times New Roman Bold"/>
          <w:lang w:val="fr-FR"/>
        </w:rPr>
      </w:pPr>
      <w:r w:rsidRPr="006B2D93">
        <w:rPr>
          <w:rFonts w:cs="Times New Roman Bold"/>
          <w:lang w:val="fr-FR"/>
        </w:rPr>
        <w:t>]</w:t>
      </w:r>
    </w:p>
    <w:p w14:paraId="5CAAFFB9" w14:textId="77777777" w:rsidR="00A111D1" w:rsidRPr="006B2D93" w:rsidRDefault="00062144" w:rsidP="00677446">
      <w:pPr>
        <w:pStyle w:val="Para1"/>
        <w:numPr>
          <w:ilvl w:val="0"/>
          <w:numId w:val="0"/>
        </w:numPr>
        <w:jc w:val="center"/>
        <w:rPr>
          <w:lang w:val="fr-FR"/>
        </w:rPr>
      </w:pPr>
      <w:r w:rsidRPr="006B2D93">
        <w:rPr>
          <w:rFonts w:asciiTheme="majorBidi" w:hAnsiTheme="majorBidi" w:cstheme="majorBidi"/>
          <w:lang w:val="fr-FR"/>
        </w:rPr>
        <w:t>__________</w:t>
      </w:r>
    </w:p>
    <w:sectPr w:rsidR="00A111D1" w:rsidRPr="006B2D93" w:rsidSect="00F73AA0">
      <w:headerReference w:type="even" r:id="rId29"/>
      <w:headerReference w:type="default" r:id="rId30"/>
      <w:footerReference w:type="even" r:id="rId31"/>
      <w:footerReference w:type="default" r:id="rId32"/>
      <w:headerReference w:type="first" r:id="rId33"/>
      <w:type w:val="continuous"/>
      <w:pgSz w:w="12240" w:h="15840"/>
      <w:pgMar w:top="567"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E3D98" w14:textId="77777777" w:rsidR="00B477A5" w:rsidRDefault="00B477A5">
      <w:r>
        <w:separator/>
      </w:r>
    </w:p>
  </w:endnote>
  <w:endnote w:type="continuationSeparator" w:id="0">
    <w:p w14:paraId="673F6AC9" w14:textId="77777777" w:rsidR="00B477A5" w:rsidRDefault="00B477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Simplified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828911"/>
      <w:docPartObj>
        <w:docPartGallery w:val="Page Numbers (Bottom of Page)"/>
        <w:docPartUnique/>
      </w:docPartObj>
    </w:sdtPr>
    <w:sdtEndPr/>
    <w:sdtContent>
      <w:sdt>
        <w:sdtPr>
          <w:id w:val="-1705238520"/>
          <w:docPartObj>
            <w:docPartGallery w:val="Page Numbers (Top of Page)"/>
            <w:docPartUnique/>
          </w:docPartObj>
        </w:sdtPr>
        <w:sdtEndPr/>
        <w:sdtContent>
          <w:p w14:paraId="5CAAFFCD" w14:textId="77777777" w:rsidR="00062144" w:rsidRPr="00EA14DB" w:rsidRDefault="00062144" w:rsidP="00D75CA6">
            <w:pPr>
              <w:pStyle w:val="Footer"/>
              <w:jc w:val="left"/>
            </w:pPr>
            <w:r w:rsidRPr="0077767A">
              <w:rPr>
                <w:szCs w:val="20"/>
              </w:rPr>
              <w:fldChar w:fldCharType="begin"/>
            </w:r>
            <w:r w:rsidRPr="0077767A">
              <w:rPr>
                <w:szCs w:val="20"/>
              </w:rPr>
              <w:instrText xml:space="preserve"> PAGE </w:instrText>
            </w:r>
            <w:r w:rsidRPr="0077767A">
              <w:rPr>
                <w:szCs w:val="20"/>
              </w:rPr>
              <w:fldChar w:fldCharType="separate"/>
            </w:r>
            <w:r w:rsidR="00677446">
              <w:rPr>
                <w:noProof/>
                <w:szCs w:val="20"/>
              </w:rPr>
              <w:t>14</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00677446">
              <w:rPr>
                <w:noProof/>
                <w:szCs w:val="20"/>
              </w:rPr>
              <w:t>16</w:t>
            </w:r>
            <w:r w:rsidRPr="0077767A">
              <w:rPr>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9102902"/>
      <w:docPartObj>
        <w:docPartGallery w:val="Page Numbers (Top of Page)"/>
        <w:docPartUnique/>
      </w:docPartObj>
    </w:sdtPr>
    <w:sdtEndPr/>
    <w:sdtContent>
      <w:p w14:paraId="5CAAFFD0" w14:textId="5E437E86" w:rsidR="00062144" w:rsidRDefault="00062144" w:rsidP="00003B54">
        <w:pPr>
          <w:pStyle w:val="Footer"/>
          <w:jc w:val="right"/>
        </w:pPr>
        <w:r w:rsidRPr="0077767A">
          <w:rPr>
            <w:szCs w:val="20"/>
          </w:rPr>
          <w:fldChar w:fldCharType="begin"/>
        </w:r>
        <w:r w:rsidRPr="0077767A">
          <w:rPr>
            <w:szCs w:val="20"/>
          </w:rPr>
          <w:instrText xml:space="preserve"> PAGE </w:instrText>
        </w:r>
        <w:r w:rsidRPr="0077767A">
          <w:rPr>
            <w:szCs w:val="20"/>
          </w:rPr>
          <w:fldChar w:fldCharType="separate"/>
        </w:r>
        <w:r w:rsidR="00677446">
          <w:rPr>
            <w:noProof/>
            <w:szCs w:val="20"/>
          </w:rPr>
          <w:t>15</w:t>
        </w:r>
        <w:r w:rsidRPr="0077767A">
          <w:rPr>
            <w:szCs w:val="20"/>
          </w:rPr>
          <w:fldChar w:fldCharType="end"/>
        </w:r>
        <w:r w:rsidRPr="007975BF">
          <w:rPr>
            <w:szCs w:val="20"/>
          </w:rPr>
          <w:t>/</w:t>
        </w:r>
        <w:r w:rsidRPr="0077767A">
          <w:rPr>
            <w:szCs w:val="20"/>
          </w:rPr>
          <w:fldChar w:fldCharType="begin"/>
        </w:r>
        <w:r w:rsidRPr="0077767A">
          <w:rPr>
            <w:szCs w:val="20"/>
          </w:rPr>
          <w:instrText xml:space="preserve"> NUMPAGES  </w:instrText>
        </w:r>
        <w:r w:rsidRPr="0077767A">
          <w:rPr>
            <w:szCs w:val="20"/>
          </w:rPr>
          <w:fldChar w:fldCharType="separate"/>
        </w:r>
        <w:r w:rsidR="00677446">
          <w:rPr>
            <w:noProof/>
            <w:szCs w:val="20"/>
          </w:rPr>
          <w:t>16</w:t>
        </w:r>
        <w:r w:rsidRPr="0077767A">
          <w:rPr>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FB463" w14:textId="77777777" w:rsidR="00B477A5" w:rsidRPr="00EA14DB" w:rsidRDefault="00B477A5" w:rsidP="00CF1848">
      <w:r w:rsidRPr="00EA14DB">
        <w:separator/>
      </w:r>
    </w:p>
  </w:footnote>
  <w:footnote w:type="continuationSeparator" w:id="0">
    <w:p w14:paraId="00AB2260" w14:textId="77777777" w:rsidR="00B477A5" w:rsidRPr="00EA14DB" w:rsidRDefault="00B477A5" w:rsidP="00CF1848">
      <w:r w:rsidRPr="00EA14DB">
        <w:continuationSeparator/>
      </w:r>
    </w:p>
  </w:footnote>
  <w:footnote w:id="1">
    <w:p w14:paraId="5CAAFFD1" w14:textId="5EC62216" w:rsidR="00062144" w:rsidRPr="00A84FFB" w:rsidRDefault="00062144">
      <w:pPr>
        <w:pStyle w:val="FootnoteText"/>
        <w:rPr>
          <w:lang w:val="fr-FR"/>
        </w:rPr>
      </w:pPr>
      <w:r w:rsidRPr="00A84FFB">
        <w:rPr>
          <w:rStyle w:val="FootnoteReference"/>
          <w:lang w:val="fr-FR"/>
        </w:rPr>
        <w:footnoteRef/>
      </w:r>
      <w:r w:rsidRPr="00A84FFB">
        <w:rPr>
          <w:rFonts w:eastAsia="Times New Roman"/>
          <w:szCs w:val="18"/>
          <w:lang w:val="fr-FR"/>
        </w:rPr>
        <w:t xml:space="preserve"> Nations Unies, </w:t>
      </w:r>
      <w:r w:rsidRPr="00A84FFB">
        <w:rPr>
          <w:rFonts w:eastAsia="Times New Roman"/>
          <w:i/>
          <w:iCs/>
          <w:szCs w:val="18"/>
          <w:lang w:val="fr-FR"/>
        </w:rPr>
        <w:t>Recueil des traités</w:t>
      </w:r>
      <w:r w:rsidRPr="00A84FFB">
        <w:rPr>
          <w:rFonts w:eastAsia="Times New Roman"/>
          <w:szCs w:val="18"/>
          <w:lang w:val="fr-FR"/>
        </w:rPr>
        <w:t>, vol. 1760, n°</w:t>
      </w:r>
      <w:r w:rsidR="00C57D56" w:rsidRPr="00A84FFB">
        <w:rPr>
          <w:rFonts w:eastAsia="Times New Roman"/>
          <w:szCs w:val="18"/>
          <w:lang w:val="fr-FR"/>
        </w:rPr>
        <w:t> </w:t>
      </w:r>
      <w:r w:rsidRPr="00A84FFB">
        <w:rPr>
          <w:rFonts w:eastAsia="Times New Roman"/>
          <w:szCs w:val="18"/>
          <w:lang w:val="fr-FR"/>
        </w:rPr>
        <w:t>30619.</w:t>
      </w:r>
    </w:p>
  </w:footnote>
  <w:footnote w:id="2">
    <w:p w14:paraId="5CAAFFD2" w14:textId="63C884D5" w:rsidR="00062144" w:rsidRPr="00A84FFB" w:rsidRDefault="00062144">
      <w:pPr>
        <w:pStyle w:val="FootnoteText"/>
        <w:rPr>
          <w:lang w:val="fr-FR"/>
        </w:rPr>
      </w:pPr>
      <w:r w:rsidRPr="00A84FFB">
        <w:rPr>
          <w:rStyle w:val="FootnoteReference"/>
          <w:lang w:val="fr-FR"/>
        </w:rPr>
        <w:footnoteRef/>
      </w:r>
      <w:r w:rsidRPr="00A84FFB">
        <w:rPr>
          <w:rFonts w:eastAsia="Times New Roman"/>
          <w:szCs w:val="18"/>
          <w:lang w:val="fr-FR"/>
        </w:rPr>
        <w:t xml:space="preserve"> Décision</w:t>
      </w:r>
      <w:r w:rsidR="00C57D56" w:rsidRPr="00A84FFB">
        <w:rPr>
          <w:rFonts w:eastAsia="Times New Roman"/>
          <w:szCs w:val="18"/>
          <w:lang w:val="fr-FR"/>
        </w:rPr>
        <w:t> </w:t>
      </w:r>
      <w:r w:rsidRPr="00A84FFB">
        <w:rPr>
          <w:rFonts w:eastAsia="Times New Roman"/>
          <w:szCs w:val="18"/>
          <w:lang w:val="fr-FR"/>
        </w:rPr>
        <w:t>15/4, annexe.</w:t>
      </w:r>
    </w:p>
  </w:footnote>
  <w:footnote w:id="3">
    <w:p w14:paraId="5CAAFFD3" w14:textId="77777777" w:rsidR="00062144" w:rsidRPr="00A84FFB" w:rsidRDefault="00062144" w:rsidP="00AB51D5">
      <w:pPr>
        <w:pStyle w:val="FootnoteText"/>
        <w:rPr>
          <w:lang w:val="fr-FR"/>
        </w:rPr>
      </w:pPr>
      <w:r w:rsidRPr="00A84FFB">
        <w:rPr>
          <w:rStyle w:val="FootnoteReference"/>
          <w:lang w:val="fr-FR"/>
        </w:rPr>
        <w:footnoteRef/>
      </w:r>
      <w:r w:rsidRPr="00A84FFB">
        <w:rPr>
          <w:rFonts w:eastAsia="Times New Roman"/>
          <w:szCs w:val="18"/>
          <w:lang w:val="fr-FR"/>
        </w:rPr>
        <w:t xml:space="preserve"> </w:t>
      </w:r>
      <w:hyperlink r:id="rId1" w:history="1">
        <w:r w:rsidRPr="00A84FFB">
          <w:rPr>
            <w:rFonts w:eastAsia="Times New Roman"/>
            <w:color w:val="0000FF"/>
            <w:szCs w:val="18"/>
            <w:u w:val="single"/>
            <w:lang w:val="fr-FR"/>
          </w:rPr>
          <w:t>CBD/SYNBIO/AHTEG/2026/1/3</w:t>
        </w:r>
      </w:hyperlink>
      <w:r w:rsidRPr="00A84FFB">
        <w:rPr>
          <w:rFonts w:eastAsia="Times New Roman"/>
          <w:szCs w:val="18"/>
          <w:lang w:val="fr-FR"/>
        </w:rPr>
        <w:t>.</w:t>
      </w:r>
    </w:p>
  </w:footnote>
  <w:footnote w:id="4">
    <w:p w14:paraId="5CAAFFD4" w14:textId="77777777" w:rsidR="00062144" w:rsidRPr="00A84FFB" w:rsidRDefault="00062144">
      <w:pPr>
        <w:pStyle w:val="FootnoteText"/>
        <w:rPr>
          <w:lang w:val="fr-FR"/>
        </w:rPr>
      </w:pPr>
      <w:r w:rsidRPr="00A84FFB">
        <w:rPr>
          <w:rStyle w:val="FootnoteReference"/>
          <w:lang w:val="fr-FR"/>
        </w:rPr>
        <w:footnoteRef/>
      </w:r>
      <w:r w:rsidRPr="00A84FFB">
        <w:rPr>
          <w:rFonts w:eastAsia="Times New Roman"/>
          <w:szCs w:val="18"/>
          <w:lang w:val="fr-FR"/>
        </w:rPr>
        <w:t xml:space="preserve"> Voir </w:t>
      </w:r>
      <w:hyperlink r:id="rId2" w:history="1">
        <w:r w:rsidRPr="00A84FFB">
          <w:rPr>
            <w:rFonts w:eastAsia="Times New Roman"/>
            <w:color w:val="0000FF"/>
            <w:szCs w:val="18"/>
            <w:u w:val="single"/>
            <w:lang w:val="fr-FR"/>
          </w:rPr>
          <w:t>CBD/SYNBIO/AHTEG/2026/1/2</w:t>
        </w:r>
      </w:hyperlink>
      <w:r w:rsidRPr="00A84FFB">
        <w:rPr>
          <w:rFonts w:eastAsia="Times New Roman"/>
          <w:szCs w:val="18"/>
          <w:lang w:val="fr-FR"/>
        </w:rPr>
        <w:t>, annexe II.</w:t>
      </w:r>
    </w:p>
  </w:footnote>
  <w:footnote w:id="5">
    <w:p w14:paraId="5CAAFFD5" w14:textId="77777777" w:rsidR="00062144" w:rsidRPr="00A84FFB" w:rsidRDefault="00062144" w:rsidP="00576AFA">
      <w:pPr>
        <w:pStyle w:val="FootnoteText"/>
        <w:rPr>
          <w:lang w:val="fr-FR"/>
        </w:rPr>
      </w:pPr>
      <w:r w:rsidRPr="00A84FFB">
        <w:rPr>
          <w:rStyle w:val="FootnoteReference"/>
          <w:lang w:val="fr-FR"/>
        </w:rPr>
        <w:footnoteRef/>
      </w:r>
      <w:r w:rsidRPr="00A84FFB">
        <w:rPr>
          <w:rFonts w:eastAsia="Times New Roman"/>
          <w:szCs w:val="18"/>
          <w:lang w:val="fr-FR"/>
        </w:rPr>
        <w:t xml:space="preserve"> Conformément au principe 15 de la Déclaration de Rio sur l’environnement et le développement.</w:t>
      </w:r>
    </w:p>
  </w:footnote>
  <w:footnote w:id="6">
    <w:p w14:paraId="5CAAFFD6" w14:textId="03CFD29D" w:rsidR="00062144" w:rsidRPr="00A84FFB" w:rsidRDefault="00062144" w:rsidP="00E07E3C">
      <w:pPr>
        <w:pStyle w:val="FootnoteText"/>
        <w:rPr>
          <w:lang w:val="fr-FR"/>
        </w:rPr>
      </w:pPr>
      <w:r w:rsidRPr="00A84FFB">
        <w:rPr>
          <w:rStyle w:val="FootnoteReference"/>
          <w:lang w:val="fr-FR"/>
        </w:rPr>
        <w:footnoteRef/>
      </w:r>
      <w:r w:rsidRPr="00A84FFB">
        <w:rPr>
          <w:rFonts w:eastAsia="Times New Roman"/>
          <w:szCs w:val="18"/>
          <w:lang w:val="fr-FR"/>
        </w:rPr>
        <w:t xml:space="preserve"> Par exemple, l’Organisation des Nations Unies pour l’alimentation et l’agriculture, l’Organisation pour l’interdiction des armes chimiques, le Secrétariat de la Convention sur le commerce international des espèces de faune et de flore sauvages menacées d’extinction, le Secrétariat de la Convention sur l’interdiction de la mise au point, de la fabrication et du stockage des armes bactériologiques (biologiques) ou à toxines et sur leur destruction, la Conférence des Nations Unies sur le commerce et le développement, l’Organisation mondiale de la </w:t>
      </w:r>
      <w:r w:rsidR="00C57D56" w:rsidRPr="00A84FFB">
        <w:rPr>
          <w:rFonts w:eastAsia="Times New Roman"/>
          <w:szCs w:val="18"/>
          <w:lang w:val="fr-FR"/>
        </w:rPr>
        <w:t>S</w:t>
      </w:r>
      <w:r w:rsidRPr="00A84FFB">
        <w:rPr>
          <w:rFonts w:eastAsia="Times New Roman"/>
          <w:szCs w:val="18"/>
          <w:lang w:val="fr-FR"/>
        </w:rPr>
        <w:t>anté</w:t>
      </w:r>
      <w:r w:rsidR="006B2D93" w:rsidRPr="00A84FFB">
        <w:rPr>
          <w:rFonts w:eastAsia="Times New Roman"/>
          <w:szCs w:val="18"/>
          <w:lang w:val="fr-FR"/>
        </w:rPr>
        <w:t>,</w:t>
      </w:r>
      <w:r w:rsidRPr="00A84FFB">
        <w:rPr>
          <w:rFonts w:eastAsia="Times New Roman"/>
          <w:szCs w:val="18"/>
          <w:lang w:val="fr-FR"/>
        </w:rPr>
        <w:t xml:space="preserve"> le Consortium international pour la synthèse des gènes</w:t>
      </w:r>
      <w:r w:rsidR="006B2D93" w:rsidRPr="00A84FFB">
        <w:rPr>
          <w:rFonts w:eastAsia="Times New Roman"/>
          <w:szCs w:val="18"/>
          <w:lang w:val="fr-FR"/>
        </w:rPr>
        <w:t xml:space="preserve"> et l’Union internationale pour la conservation de la nature</w:t>
      </w:r>
      <w:r w:rsidRPr="00A84FFB">
        <w:rPr>
          <w:rFonts w:eastAsia="Times New Roman"/>
          <w:szCs w:val="18"/>
          <w:lang w:val="fr-FR"/>
        </w:rPr>
        <w:t>.</w:t>
      </w:r>
    </w:p>
  </w:footnote>
  <w:footnote w:id="7">
    <w:p w14:paraId="073AD412" w14:textId="1E9CDE3C" w:rsidR="004815B8" w:rsidRPr="00A84FFB" w:rsidRDefault="004815B8">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Nations Unies, </w:t>
      </w:r>
      <w:r w:rsidRPr="00A84FFB">
        <w:rPr>
          <w:rFonts w:eastAsia="Times New Roman"/>
          <w:i/>
          <w:iCs/>
          <w:szCs w:val="18"/>
          <w:lang w:val="fr-FR"/>
        </w:rPr>
        <w:t>Recueil des traités</w:t>
      </w:r>
      <w:r w:rsidRPr="00A84FFB">
        <w:rPr>
          <w:rFonts w:eastAsia="Times New Roman"/>
          <w:szCs w:val="18"/>
          <w:lang w:val="fr-FR"/>
        </w:rPr>
        <w:t>, vol. 1760, n°</w:t>
      </w:r>
      <w:r w:rsidR="00C57D56" w:rsidRPr="00A84FFB">
        <w:rPr>
          <w:rFonts w:eastAsia="Times New Roman"/>
          <w:szCs w:val="18"/>
          <w:lang w:val="fr-FR"/>
        </w:rPr>
        <w:t> </w:t>
      </w:r>
      <w:r w:rsidRPr="00A84FFB">
        <w:rPr>
          <w:rFonts w:eastAsia="Times New Roman"/>
          <w:szCs w:val="18"/>
          <w:lang w:val="fr-FR"/>
        </w:rPr>
        <w:t>30619.</w:t>
      </w:r>
    </w:p>
  </w:footnote>
  <w:footnote w:id="8">
    <w:p w14:paraId="7D5CC8FF" w14:textId="2848A7D5" w:rsidR="004815B8" w:rsidRPr="00A84FFB" w:rsidRDefault="004815B8">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Décision</w:t>
      </w:r>
      <w:r w:rsidR="00C57D56" w:rsidRPr="00A84FFB">
        <w:rPr>
          <w:rFonts w:eastAsia="Times New Roman"/>
          <w:szCs w:val="18"/>
          <w:lang w:val="fr-FR"/>
        </w:rPr>
        <w:t> </w:t>
      </w:r>
      <w:r w:rsidRPr="00A84FFB">
        <w:rPr>
          <w:rFonts w:eastAsia="Times New Roman"/>
          <w:szCs w:val="18"/>
          <w:lang w:val="fr-FR"/>
        </w:rPr>
        <w:t>15/4, annexe.</w:t>
      </w:r>
    </w:p>
  </w:footnote>
  <w:footnote w:id="9">
    <w:p w14:paraId="5CAAFFD7" w14:textId="139811B8"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La biologie de synthèse est définie opérationnellement dans la décision</w:t>
      </w:r>
      <w:r w:rsidR="00C57D56" w:rsidRPr="00A84FFB">
        <w:rPr>
          <w:rFonts w:eastAsia="Times New Roman"/>
          <w:szCs w:val="18"/>
          <w:lang w:val="fr-FR"/>
        </w:rPr>
        <w:t> </w:t>
      </w:r>
      <w:r w:rsidRPr="00A84FFB">
        <w:rPr>
          <w:rFonts w:eastAsia="Times New Roman"/>
          <w:color w:val="0000FF"/>
          <w:szCs w:val="18"/>
          <w:u w:val="single"/>
          <w:lang w:val="fr-FR"/>
        </w:rPr>
        <w:t>XIII/17</w:t>
      </w:r>
      <w:r w:rsidRPr="00A84FFB">
        <w:rPr>
          <w:rFonts w:eastAsia="Times New Roman"/>
          <w:szCs w:val="18"/>
          <w:lang w:val="fr-FR"/>
        </w:rPr>
        <w:t>, comme un prolongement et une nouvelle dimension de la biotechnologie moderne, qui associe science, technologie et ingénierie afin de faciliter et d’accélérer la compréhension, la conception, la reconception, la fabrication ou la modification de matériel génétique, d’organismes vivants et de systèmes biologiques.</w:t>
      </w:r>
    </w:p>
  </w:footnote>
  <w:footnote w:id="10">
    <w:p w14:paraId="41358D36" w14:textId="54F05A8D" w:rsidR="004815B8" w:rsidRPr="00A84FFB" w:rsidRDefault="004815B8">
      <w:pPr>
        <w:pStyle w:val="FootnoteText"/>
        <w:rPr>
          <w:lang w:val="fr-FR"/>
        </w:rPr>
      </w:pPr>
      <w:r w:rsidRPr="00A84FFB">
        <w:rPr>
          <w:rStyle w:val="FootnoteReference"/>
          <w:lang w:val="fr-FR"/>
        </w:rPr>
        <w:footnoteRef/>
      </w:r>
      <w:r w:rsidRPr="00A84FFB">
        <w:rPr>
          <w:lang w:val="fr-FR"/>
        </w:rPr>
        <w:t xml:space="preserve"> Tels que recensés en réponse aux notifications </w:t>
      </w:r>
      <w:r w:rsidRPr="00A84FFB">
        <w:rPr>
          <w:rFonts w:eastAsia="Times New Roman"/>
          <w:szCs w:val="18"/>
          <w:lang w:val="fr-FR"/>
        </w:rPr>
        <w:t>n° </w:t>
      </w:r>
      <w:hyperlink r:id="rId3" w:history="1">
        <w:r w:rsidRPr="00A84FFB">
          <w:rPr>
            <w:rFonts w:eastAsia="Times New Roman"/>
            <w:color w:val="0000FF"/>
            <w:szCs w:val="18"/>
            <w:u w:val="single"/>
            <w:lang w:val="fr-FR"/>
          </w:rPr>
          <w:t>2025-065</w:t>
        </w:r>
      </w:hyperlink>
      <w:r w:rsidRPr="00A84FFB">
        <w:rPr>
          <w:rFonts w:eastAsia="Times New Roman"/>
          <w:szCs w:val="18"/>
          <w:lang w:val="fr-FR"/>
        </w:rPr>
        <w:t xml:space="preserve"> et </w:t>
      </w:r>
      <w:hyperlink r:id="rId4" w:history="1">
        <w:r w:rsidRPr="00A84FFB">
          <w:rPr>
            <w:rFonts w:eastAsia="Times New Roman"/>
            <w:color w:val="0000FF"/>
            <w:szCs w:val="18"/>
            <w:u w:val="single"/>
            <w:lang w:val="fr-FR"/>
          </w:rPr>
          <w:t>2025-088</w:t>
        </w:r>
      </w:hyperlink>
      <w:r w:rsidRPr="00A84FFB">
        <w:rPr>
          <w:lang w:val="fr-FR"/>
        </w:rPr>
        <w:t>.</w:t>
      </w:r>
    </w:p>
  </w:footnote>
  <w:footnote w:id="11">
    <w:p w14:paraId="5CAAFFD8" w14:textId="215021EE"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w:t>
      </w:r>
      <w:r w:rsidR="004815B8" w:rsidRPr="00A84FFB">
        <w:rPr>
          <w:rFonts w:eastAsia="Times New Roman"/>
          <w:szCs w:val="18"/>
          <w:lang w:val="fr-FR"/>
        </w:rPr>
        <w:t xml:space="preserve">Nations Unies, </w:t>
      </w:r>
      <w:r w:rsidR="004815B8" w:rsidRPr="00A84FFB">
        <w:rPr>
          <w:rFonts w:eastAsia="Times New Roman"/>
          <w:i/>
          <w:iCs/>
          <w:szCs w:val="18"/>
          <w:lang w:val="fr-FR"/>
        </w:rPr>
        <w:t>Recueil des traités</w:t>
      </w:r>
      <w:r w:rsidR="004815B8" w:rsidRPr="00A84FFB">
        <w:rPr>
          <w:rFonts w:eastAsia="Times New Roman"/>
          <w:szCs w:val="18"/>
          <w:lang w:val="fr-FR"/>
        </w:rPr>
        <w:t>, vol.</w:t>
      </w:r>
      <w:r w:rsidR="00C57D56" w:rsidRPr="00A84FFB">
        <w:rPr>
          <w:rFonts w:eastAsia="Times New Roman"/>
          <w:szCs w:val="18"/>
          <w:lang w:val="fr-FR"/>
        </w:rPr>
        <w:t> </w:t>
      </w:r>
      <w:r w:rsidR="004815B8" w:rsidRPr="00A84FFB">
        <w:rPr>
          <w:rFonts w:eastAsia="Times New Roman"/>
          <w:szCs w:val="18"/>
          <w:lang w:val="fr-FR"/>
        </w:rPr>
        <w:t>2226, n°</w:t>
      </w:r>
      <w:r w:rsidR="00C57D56" w:rsidRPr="00A84FFB">
        <w:rPr>
          <w:rFonts w:eastAsia="Times New Roman"/>
          <w:szCs w:val="18"/>
          <w:lang w:val="fr-FR"/>
        </w:rPr>
        <w:t> </w:t>
      </w:r>
      <w:r w:rsidR="004815B8" w:rsidRPr="00A84FFB">
        <w:rPr>
          <w:rFonts w:eastAsia="Times New Roman"/>
          <w:szCs w:val="18"/>
          <w:lang w:val="fr-FR"/>
        </w:rPr>
        <w:t>30619.</w:t>
      </w:r>
    </w:p>
  </w:footnote>
  <w:footnote w:id="12">
    <w:p w14:paraId="210640CF" w14:textId="4C5B2AEF" w:rsidR="004815B8" w:rsidRPr="00A84FFB" w:rsidRDefault="004815B8">
      <w:pPr>
        <w:pStyle w:val="FootnoteText"/>
        <w:rPr>
          <w:lang w:val="fr-FR"/>
        </w:rPr>
      </w:pPr>
      <w:r w:rsidRPr="00A84FFB">
        <w:rPr>
          <w:rStyle w:val="FootnoteReference"/>
          <w:lang w:val="fr-FR"/>
        </w:rPr>
        <w:footnoteRef/>
      </w:r>
      <w:r w:rsidRPr="00A84FFB">
        <w:rPr>
          <w:lang w:val="fr-FR"/>
        </w:rPr>
        <w:t xml:space="preserve"> Décision</w:t>
      </w:r>
      <w:r w:rsidR="00C57D56" w:rsidRPr="00A84FFB">
        <w:rPr>
          <w:lang w:val="fr-FR"/>
        </w:rPr>
        <w:t> </w:t>
      </w:r>
      <w:hyperlink r:id="rId5" w:history="1">
        <w:r w:rsidRPr="00A84FFB">
          <w:rPr>
            <w:rStyle w:val="Hyperlink"/>
            <w:lang w:val="fr-FR"/>
          </w:rPr>
          <w:t>CP-10/4</w:t>
        </w:r>
      </w:hyperlink>
      <w:r w:rsidRPr="00A84FFB">
        <w:rPr>
          <w:lang w:val="fr-FR"/>
        </w:rPr>
        <w:t>, annexe.</w:t>
      </w:r>
    </w:p>
  </w:footnote>
  <w:footnote w:id="13">
    <w:p w14:paraId="00EE9875" w14:textId="7BC6A0F0" w:rsidR="004815B8" w:rsidRPr="00A84FFB" w:rsidRDefault="004815B8">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Nations Unies, </w:t>
      </w:r>
      <w:r w:rsidRPr="00A84FFB">
        <w:rPr>
          <w:rFonts w:eastAsia="Times New Roman"/>
          <w:i/>
          <w:iCs/>
          <w:szCs w:val="18"/>
          <w:lang w:val="fr-FR"/>
        </w:rPr>
        <w:t>Recueil des traités</w:t>
      </w:r>
      <w:r w:rsidRPr="00A84FFB">
        <w:rPr>
          <w:rFonts w:eastAsia="Times New Roman"/>
          <w:szCs w:val="18"/>
          <w:lang w:val="fr-FR"/>
        </w:rPr>
        <w:t>, vol.</w:t>
      </w:r>
      <w:r w:rsidR="00C57D56" w:rsidRPr="00A84FFB">
        <w:rPr>
          <w:rFonts w:eastAsia="Times New Roman"/>
          <w:szCs w:val="18"/>
          <w:lang w:val="fr-FR"/>
        </w:rPr>
        <w:t> </w:t>
      </w:r>
      <w:r w:rsidRPr="00A84FFB">
        <w:rPr>
          <w:rFonts w:eastAsia="Times New Roman"/>
          <w:szCs w:val="18"/>
          <w:lang w:val="fr-FR"/>
        </w:rPr>
        <w:t>3008, n°</w:t>
      </w:r>
      <w:r w:rsidR="00C57D56" w:rsidRPr="00A84FFB">
        <w:rPr>
          <w:rFonts w:eastAsia="Times New Roman"/>
          <w:szCs w:val="18"/>
          <w:lang w:val="fr-FR"/>
        </w:rPr>
        <w:t> </w:t>
      </w:r>
      <w:r w:rsidRPr="00A84FFB">
        <w:rPr>
          <w:rFonts w:eastAsia="Times New Roman"/>
          <w:szCs w:val="18"/>
          <w:lang w:val="fr-FR"/>
        </w:rPr>
        <w:t>30619.</w:t>
      </w:r>
    </w:p>
  </w:footnote>
  <w:footnote w:id="14">
    <w:p w14:paraId="2B8449F3" w14:textId="500FE01D" w:rsidR="004815B8" w:rsidRPr="00A84FFB" w:rsidRDefault="004815B8">
      <w:pPr>
        <w:pStyle w:val="FootnoteText"/>
        <w:rPr>
          <w:lang w:val="fr-FR"/>
        </w:rPr>
      </w:pPr>
      <w:r w:rsidRPr="00A84FFB">
        <w:rPr>
          <w:rStyle w:val="FootnoteReference"/>
          <w:lang w:val="fr-FR"/>
        </w:rPr>
        <w:footnoteRef/>
      </w:r>
      <w:r w:rsidRPr="00A84FFB">
        <w:rPr>
          <w:lang w:val="fr-FR"/>
        </w:rPr>
        <w:t xml:space="preserve"> Décision</w:t>
      </w:r>
      <w:r w:rsidR="00C57D56" w:rsidRPr="00A84FFB">
        <w:rPr>
          <w:lang w:val="fr-FR"/>
        </w:rPr>
        <w:t> </w:t>
      </w:r>
      <w:hyperlink r:id="rId6" w:history="1">
        <w:r w:rsidRPr="00A84FFB">
          <w:rPr>
            <w:rStyle w:val="Hyperlink"/>
            <w:lang w:val="fr-FR"/>
          </w:rPr>
          <w:t>NP-5/3</w:t>
        </w:r>
      </w:hyperlink>
      <w:r w:rsidRPr="00A84FFB">
        <w:rPr>
          <w:lang w:val="fr-FR"/>
        </w:rPr>
        <w:t>, annexe.</w:t>
      </w:r>
    </w:p>
  </w:footnote>
  <w:footnote w:id="15">
    <w:p w14:paraId="5CAAFFD9" w14:textId="14596073"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Voir </w:t>
      </w:r>
      <w:r w:rsidR="004D7A23" w:rsidRPr="00A84FFB">
        <w:rPr>
          <w:rFonts w:eastAsia="Times New Roman"/>
          <w:szCs w:val="18"/>
          <w:lang w:val="fr-FR"/>
        </w:rPr>
        <w:t xml:space="preserve">la </w:t>
      </w:r>
      <w:r w:rsidRPr="00A84FFB">
        <w:rPr>
          <w:rFonts w:eastAsia="Times New Roman"/>
          <w:szCs w:val="18"/>
          <w:lang w:val="fr-FR"/>
        </w:rPr>
        <w:t>décision </w:t>
      </w:r>
      <w:hyperlink r:id="rId7" w:history="1">
        <w:r w:rsidRPr="00A84FFB">
          <w:rPr>
            <w:rFonts w:eastAsia="Times New Roman"/>
            <w:color w:val="0000FF"/>
            <w:szCs w:val="18"/>
            <w:u w:val="single"/>
            <w:lang w:val="fr-FR"/>
          </w:rPr>
          <w:t>15/8</w:t>
        </w:r>
      </w:hyperlink>
      <w:r w:rsidRPr="00A84FFB">
        <w:rPr>
          <w:rFonts w:eastAsia="Times New Roman"/>
          <w:szCs w:val="18"/>
          <w:lang w:val="fr-FR"/>
        </w:rPr>
        <w:t>, annexe I, paragraphes 8 et 9.</w:t>
      </w:r>
    </w:p>
  </w:footnote>
  <w:footnote w:id="16">
    <w:p w14:paraId="5CAAFFDA" w14:textId="77777777"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Voir </w:t>
      </w:r>
      <w:hyperlink r:id="rId8" w:history="1">
        <w:r w:rsidRPr="00A84FFB">
          <w:rPr>
            <w:rFonts w:eastAsia="Times New Roman"/>
            <w:color w:val="0000FF"/>
            <w:szCs w:val="18"/>
            <w:u w:val="single"/>
            <w:lang w:val="fr-FR"/>
          </w:rPr>
          <w:t xml:space="preserve">CBD </w:t>
        </w:r>
        <w:proofErr w:type="spellStart"/>
        <w:r w:rsidRPr="00A84FFB">
          <w:rPr>
            <w:rFonts w:eastAsia="Times New Roman"/>
            <w:color w:val="0000FF"/>
            <w:szCs w:val="18"/>
            <w:u w:val="single"/>
            <w:lang w:val="fr-FR"/>
          </w:rPr>
          <w:t>Technical</w:t>
        </w:r>
        <w:proofErr w:type="spellEnd"/>
        <w:r w:rsidRPr="00A84FFB">
          <w:rPr>
            <w:rFonts w:eastAsia="Times New Roman"/>
            <w:color w:val="0000FF"/>
            <w:szCs w:val="18"/>
            <w:u w:val="single"/>
            <w:lang w:val="fr-FR"/>
          </w:rPr>
          <w:t xml:space="preserve"> </w:t>
        </w:r>
        <w:proofErr w:type="spellStart"/>
        <w:r w:rsidRPr="00A84FFB">
          <w:rPr>
            <w:rFonts w:eastAsia="Times New Roman"/>
            <w:color w:val="0000FF"/>
            <w:szCs w:val="18"/>
            <w:u w:val="single"/>
            <w:lang w:val="fr-FR"/>
          </w:rPr>
          <w:t>Series</w:t>
        </w:r>
        <w:proofErr w:type="spellEnd"/>
        <w:r w:rsidRPr="00A84FFB">
          <w:rPr>
            <w:rFonts w:eastAsia="Times New Roman"/>
            <w:color w:val="0000FF"/>
            <w:szCs w:val="18"/>
            <w:u w:val="single"/>
            <w:lang w:val="fr-FR"/>
          </w:rPr>
          <w:t xml:space="preserve"> No. 100</w:t>
        </w:r>
      </w:hyperlink>
      <w:r w:rsidRPr="00A84FFB">
        <w:rPr>
          <w:rFonts w:eastAsia="Times New Roman"/>
          <w:szCs w:val="18"/>
          <w:lang w:val="fr-FR"/>
        </w:rPr>
        <w:t xml:space="preserve"> [Cahier technique n° 100].</w:t>
      </w:r>
    </w:p>
  </w:footnote>
  <w:footnote w:id="17">
    <w:p w14:paraId="5CAAFFDB" w14:textId="77777777"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Voir </w:t>
      </w:r>
      <w:r w:rsidRPr="00A84FFB">
        <w:rPr>
          <w:rFonts w:eastAsia="Times New Roman"/>
          <w:i/>
          <w:iCs/>
          <w:szCs w:val="18"/>
          <w:lang w:val="fr-FR"/>
        </w:rPr>
        <w:t>The</w:t>
      </w:r>
      <w:r w:rsidRPr="00A84FFB">
        <w:rPr>
          <w:rFonts w:eastAsia="Times New Roman"/>
          <w:szCs w:val="18"/>
          <w:lang w:val="fr-FR"/>
        </w:rPr>
        <w:t xml:space="preserve"> </w:t>
      </w:r>
      <w:proofErr w:type="spellStart"/>
      <w:r w:rsidRPr="00A84FFB">
        <w:rPr>
          <w:rFonts w:eastAsia="Times New Roman"/>
          <w:i/>
          <w:iCs/>
          <w:szCs w:val="18"/>
          <w:lang w:val="fr-FR"/>
        </w:rPr>
        <w:t>Methodological</w:t>
      </w:r>
      <w:proofErr w:type="spellEnd"/>
      <w:r w:rsidRPr="00A84FFB">
        <w:rPr>
          <w:rFonts w:eastAsia="Times New Roman"/>
          <w:i/>
          <w:iCs/>
          <w:szCs w:val="18"/>
          <w:lang w:val="fr-FR"/>
        </w:rPr>
        <w:t xml:space="preserve"> </w:t>
      </w:r>
      <w:proofErr w:type="spellStart"/>
      <w:r w:rsidRPr="00A84FFB">
        <w:rPr>
          <w:rFonts w:eastAsia="Times New Roman"/>
          <w:i/>
          <w:iCs/>
          <w:szCs w:val="18"/>
          <w:lang w:val="fr-FR"/>
        </w:rPr>
        <w:t>Assessment</w:t>
      </w:r>
      <w:proofErr w:type="spellEnd"/>
      <w:r w:rsidRPr="00A84FFB">
        <w:rPr>
          <w:rFonts w:eastAsia="Times New Roman"/>
          <w:i/>
          <w:iCs/>
          <w:szCs w:val="18"/>
          <w:lang w:val="fr-FR"/>
        </w:rPr>
        <w:t xml:space="preserve"> Report on the Diverse Values and Valuation of Nature</w:t>
      </w:r>
      <w:r w:rsidRPr="00A84FFB">
        <w:rPr>
          <w:rFonts w:eastAsia="Times New Roman"/>
          <w:szCs w:val="18"/>
          <w:lang w:val="fr-FR"/>
        </w:rPr>
        <w:t xml:space="preserve"> [Rapport d’évaluation méthodologique sur les diverses valeurs de la nature et leur estimation] de la Plateforme intergouvernementale scientifique et politique sur la biodiversité et les services écosystémiques.</w:t>
      </w:r>
    </w:p>
  </w:footnote>
  <w:footnote w:id="18">
    <w:p w14:paraId="5CAAFFDC" w14:textId="77777777"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 Le consentement préalable, donné librement et en connaissance de cause » fait référence à la terminologie tripartite des « consentement préalable donné en connaissance de cause », « consentement préalable, donné librement et en connaissance de cause » et « approbation et participation ».</w:t>
      </w:r>
    </w:p>
  </w:footnote>
  <w:footnote w:id="19">
    <w:p w14:paraId="5CAAFFDD" w14:textId="6A928326"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Conformément à l’Article 2 de la Convention, </w:t>
      </w:r>
      <w:r w:rsidR="00317DE0" w:rsidRPr="00A84FFB">
        <w:rPr>
          <w:rFonts w:eastAsia="Times New Roman"/>
          <w:szCs w:val="18"/>
          <w:lang w:val="fr-FR"/>
        </w:rPr>
        <w:t>et aux</w:t>
      </w:r>
      <w:r w:rsidRPr="00A84FFB">
        <w:rPr>
          <w:rFonts w:eastAsia="Times New Roman"/>
          <w:szCs w:val="18"/>
          <w:lang w:val="fr-FR"/>
        </w:rPr>
        <w:t xml:space="preserve"> décisions pertinentes de la Conférence des Parties.</w:t>
      </w:r>
    </w:p>
  </w:footnote>
  <w:footnote w:id="20">
    <w:p w14:paraId="5CAAFFDE" w14:textId="77777777"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Notamment en s’appuyant, selon qu’il convient, sur les travaux menés dans le cadre des Protocoles à la Convention et de l’Organisation de coopération et de développement économiques.</w:t>
      </w:r>
    </w:p>
  </w:footnote>
  <w:footnote w:id="21">
    <w:p w14:paraId="5CAAFFDF" w14:textId="759472A0" w:rsidR="00062144" w:rsidRPr="00A84FFB" w:rsidRDefault="00062144" w:rsidP="008D2AA7">
      <w:pPr>
        <w:pStyle w:val="FootnoteText"/>
        <w:rPr>
          <w:lang w:val="fr-FR"/>
        </w:rPr>
      </w:pPr>
      <w:r w:rsidRPr="00A84FFB">
        <w:rPr>
          <w:rStyle w:val="FootnoteReference"/>
          <w:lang w:val="fr-FR"/>
        </w:rPr>
        <w:footnoteRef/>
      </w:r>
      <w:r w:rsidRPr="00A84FFB">
        <w:rPr>
          <w:rFonts w:eastAsia="Times New Roman"/>
          <w:szCs w:val="18"/>
          <w:lang w:val="fr-FR"/>
        </w:rPr>
        <w:t xml:space="preserve"> Par exemple, le plan de mise en œuvre du Protocole de Cartagena, le Plan d’action pour l’égalité des sexes (2023-2030), l’</w:t>
      </w:r>
      <w:proofErr w:type="spellStart"/>
      <w:r w:rsidRPr="00A84FFB">
        <w:rPr>
          <w:rFonts w:eastAsia="Times New Roman"/>
          <w:szCs w:val="18"/>
          <w:lang w:val="fr-FR"/>
        </w:rPr>
        <w:t>Akwé</w:t>
      </w:r>
      <w:proofErr w:type="spellEnd"/>
      <w:r w:rsidR="00C57D56" w:rsidRPr="00A84FFB">
        <w:rPr>
          <w:rFonts w:eastAsia="Times New Roman"/>
          <w:szCs w:val="18"/>
          <w:lang w:val="fr-FR"/>
        </w:rPr>
        <w:t> </w:t>
      </w:r>
      <w:r w:rsidRPr="00A84FFB">
        <w:rPr>
          <w:rFonts w:eastAsia="Times New Roman"/>
          <w:szCs w:val="18"/>
          <w:lang w:val="fr-FR"/>
        </w:rPr>
        <w:t xml:space="preserve">: les Lignes directrices volontaires de Kon, les Lignes directrices volontaires de </w:t>
      </w:r>
      <w:proofErr w:type="spellStart"/>
      <w:r w:rsidRPr="00A84FFB">
        <w:rPr>
          <w:rFonts w:eastAsia="Times New Roman"/>
          <w:szCs w:val="18"/>
          <w:lang w:val="fr-FR"/>
        </w:rPr>
        <w:t>Mo’otz</w:t>
      </w:r>
      <w:proofErr w:type="spellEnd"/>
      <w:r w:rsidRPr="00A84FFB">
        <w:rPr>
          <w:rFonts w:eastAsia="Times New Roman"/>
          <w:szCs w:val="18"/>
          <w:lang w:val="fr-FR"/>
        </w:rPr>
        <w:t xml:space="preserve"> </w:t>
      </w:r>
      <w:proofErr w:type="spellStart"/>
      <w:r w:rsidRPr="00A84FFB">
        <w:rPr>
          <w:rFonts w:eastAsia="Times New Roman"/>
          <w:szCs w:val="18"/>
          <w:lang w:val="fr-FR"/>
        </w:rPr>
        <w:t>Kuxtal</w:t>
      </w:r>
      <w:proofErr w:type="spellEnd"/>
      <w:r w:rsidRPr="00A84FFB">
        <w:rPr>
          <w:rFonts w:eastAsia="Times New Roman"/>
          <w:szCs w:val="18"/>
          <w:lang w:val="fr-FR"/>
        </w:rPr>
        <w:t xml:space="preserve">, le Plan d’action sur l’utilisation coutumière durable de la diversité biologique, la stratégie de gestion des connaissances visant à soutenir la mise en œuvre du Cadre, la Déclaration des Nations Unies sur les droits des peuples autochtones, la recommandation de l’Organisation des Nations </w:t>
      </w:r>
      <w:r w:rsidR="004D7A23" w:rsidRPr="00A84FFB">
        <w:rPr>
          <w:rFonts w:eastAsia="Times New Roman"/>
          <w:szCs w:val="18"/>
          <w:lang w:val="fr-FR"/>
        </w:rPr>
        <w:t>U</w:t>
      </w:r>
      <w:r w:rsidRPr="00A84FFB">
        <w:rPr>
          <w:rFonts w:eastAsia="Times New Roman"/>
          <w:szCs w:val="18"/>
          <w:lang w:val="fr-FR"/>
        </w:rPr>
        <w:t xml:space="preserve">nies pour l’éducation, la science et la culture (UNESCO) sur la science ouverte, le Cadre d’orientation mondial de l’Organisation mondiale de la </w:t>
      </w:r>
      <w:r w:rsidR="00C57D56" w:rsidRPr="00A84FFB">
        <w:rPr>
          <w:rFonts w:eastAsia="Times New Roman"/>
          <w:szCs w:val="18"/>
          <w:lang w:val="fr-FR"/>
        </w:rPr>
        <w:t>S</w:t>
      </w:r>
      <w:r w:rsidRPr="00A84FFB">
        <w:rPr>
          <w:rFonts w:eastAsia="Times New Roman"/>
          <w:szCs w:val="18"/>
          <w:lang w:val="fr-FR"/>
        </w:rPr>
        <w:t xml:space="preserve">anté pour l’utilisation responsable des sciences de la vie, la Stratégie en matière de science et d’innovation de l’Organisation des Nations </w:t>
      </w:r>
      <w:r w:rsidR="004D7A23" w:rsidRPr="00A84FFB">
        <w:rPr>
          <w:rFonts w:eastAsia="Times New Roman"/>
          <w:szCs w:val="18"/>
          <w:lang w:val="fr-FR"/>
        </w:rPr>
        <w:t>U</w:t>
      </w:r>
      <w:r w:rsidRPr="00A84FFB">
        <w:rPr>
          <w:rFonts w:eastAsia="Times New Roman"/>
          <w:szCs w:val="18"/>
          <w:lang w:val="fr-FR"/>
        </w:rPr>
        <w:t>nies pour l’alimentation et l’agriculture (FAO) et son plan d’action correspondant, la politique de l’Union internationale pour la conservation de la nature (UICN) sur la biologie se synthèse en rapport avec la conservation de la nature (résolution</w:t>
      </w:r>
      <w:r w:rsidR="00C57D56" w:rsidRPr="00A84FFB">
        <w:rPr>
          <w:rFonts w:eastAsia="Times New Roman"/>
          <w:szCs w:val="18"/>
          <w:lang w:val="fr-FR"/>
        </w:rPr>
        <w:t> </w:t>
      </w:r>
      <w:r w:rsidRPr="00A84FFB">
        <w:rPr>
          <w:rFonts w:eastAsia="Times New Roman"/>
          <w:szCs w:val="18"/>
          <w:lang w:val="fr-FR"/>
        </w:rPr>
        <w:t>8.086), le Cadre de l’Organisation de coopération et de développement économiques relatif à la gouvernance anticipative des technologies émergentes et les mécanismes agiles de l’OCDE pour un développement technologique responsable.</w:t>
      </w:r>
    </w:p>
  </w:footnote>
  <w:footnote w:id="22">
    <w:p w14:paraId="05F458B2" w14:textId="06458156" w:rsidR="00A84FFB" w:rsidRPr="00A84FFB" w:rsidRDefault="00A84FFB">
      <w:pPr>
        <w:pStyle w:val="FootnoteText"/>
        <w:rPr>
          <w:lang w:val="fr-FR"/>
        </w:rPr>
      </w:pPr>
      <w:r w:rsidRPr="00A84FFB">
        <w:rPr>
          <w:rStyle w:val="FootnoteReference"/>
          <w:lang w:val="fr-FR"/>
        </w:rPr>
        <w:footnoteRef/>
      </w:r>
      <w:r w:rsidRPr="00A84FFB">
        <w:rPr>
          <w:lang w:val="fr-FR"/>
        </w:rPr>
        <w:t xml:space="preserve"> Au besoin, pour compl</w:t>
      </w:r>
      <w:r>
        <w:rPr>
          <w:lang w:val="fr-FR"/>
        </w:rPr>
        <w:t xml:space="preserve">éter les infrastructures appuyées au titre du </w:t>
      </w:r>
      <w:r w:rsidRPr="006B2D93">
        <w:rPr>
          <w:rFonts w:eastAsia="Times New Roman"/>
          <w:lang w:val="fr-FR"/>
        </w:rPr>
        <w:t>plan d’action de renforcement des capacités pour le Protocole de Cartagena sur la prévention des risques biotechnologiques</w:t>
      </w:r>
      <w:r>
        <w:rPr>
          <w:rFonts w:eastAsia="Times New Roman"/>
          <w:lang w:val="fr-FR"/>
        </w:rPr>
        <w:t xml:space="preserve"> et du </w:t>
      </w:r>
      <w:r w:rsidRPr="006B2D93">
        <w:rPr>
          <w:rFonts w:eastAsia="Times New Roman"/>
          <w:lang w:val="fr-FR"/>
        </w:rPr>
        <w:t>plan d’action de création et de renforcement des capacités pour le Protocole de Nagoya sur l’accès aux ressources génétiques et le partage juste et équitable des avantages découlant de leur utilisation</w:t>
      </w:r>
      <w:r>
        <w:rPr>
          <w:rFonts w:eastAsia="Times New Roman"/>
          <w:lang w:val="fr-FR"/>
        </w:rPr>
        <w:t>, pour les Parties à ces instruments respectifs.</w:t>
      </w:r>
    </w:p>
  </w:footnote>
  <w:footnote w:id="23">
    <w:p w14:paraId="650927B1" w14:textId="73C9220B" w:rsidR="00A84FFB" w:rsidRPr="00A84FFB" w:rsidRDefault="00A84FFB">
      <w:pPr>
        <w:pStyle w:val="FootnoteText"/>
        <w:rPr>
          <w:lang w:val="fr-FR"/>
        </w:rPr>
      </w:pPr>
      <w:r w:rsidRPr="00A84FFB">
        <w:rPr>
          <w:rStyle w:val="FootnoteReference"/>
          <w:lang w:val="fr-FR"/>
        </w:rPr>
        <w:footnoteRef/>
      </w:r>
      <w:r w:rsidRPr="00A84FFB">
        <w:rPr>
          <w:lang w:val="fr-FR"/>
        </w:rPr>
        <w:t xml:space="preserve"> </w:t>
      </w:r>
      <w:r>
        <w:rPr>
          <w:lang w:val="fr-FR"/>
        </w:rPr>
        <w:t xml:space="preserve">Par exemple, des </w:t>
      </w:r>
      <w:r w:rsidR="009A7664">
        <w:rPr>
          <w:lang w:val="fr-FR"/>
        </w:rPr>
        <w:t>équipements informatiques pour le traitement des données, la conception assistée par ordinateur, la modélisation, la bio-informatique et l’intelligence artificielle ; des logiciels ; et des serveurs.</w:t>
      </w:r>
    </w:p>
  </w:footnote>
  <w:footnote w:id="24">
    <w:p w14:paraId="0FF63ECE" w14:textId="77777777" w:rsidR="001C532F" w:rsidRPr="00A84FFB" w:rsidRDefault="001C532F" w:rsidP="001C532F">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Tels que ceux menés par l’International Gene </w:t>
      </w:r>
      <w:proofErr w:type="spellStart"/>
      <w:r w:rsidRPr="00A84FFB">
        <w:rPr>
          <w:rFonts w:eastAsia="Times New Roman"/>
          <w:szCs w:val="18"/>
          <w:lang w:val="fr-FR"/>
        </w:rPr>
        <w:t>Synthesis</w:t>
      </w:r>
      <w:proofErr w:type="spellEnd"/>
      <w:r w:rsidRPr="00A84FFB">
        <w:rPr>
          <w:rFonts w:eastAsia="Times New Roman"/>
          <w:szCs w:val="18"/>
          <w:lang w:val="fr-FR"/>
        </w:rPr>
        <w:t xml:space="preserve"> Consortium, le </w:t>
      </w:r>
      <w:proofErr w:type="spellStart"/>
      <w:r w:rsidRPr="00A84FFB">
        <w:rPr>
          <w:rFonts w:eastAsia="Times New Roman"/>
          <w:szCs w:val="18"/>
          <w:lang w:val="fr-FR"/>
        </w:rPr>
        <w:t>Synthetic</w:t>
      </w:r>
      <w:proofErr w:type="spellEnd"/>
      <w:r w:rsidRPr="00A84FFB">
        <w:rPr>
          <w:rFonts w:eastAsia="Times New Roman"/>
          <w:szCs w:val="18"/>
          <w:lang w:val="fr-FR"/>
        </w:rPr>
        <w:t xml:space="preserve"> </w:t>
      </w:r>
      <w:proofErr w:type="spellStart"/>
      <w:r w:rsidRPr="00A84FFB">
        <w:rPr>
          <w:rFonts w:eastAsia="Times New Roman"/>
          <w:szCs w:val="18"/>
          <w:lang w:val="fr-FR"/>
        </w:rPr>
        <w:t>Biology</w:t>
      </w:r>
      <w:proofErr w:type="spellEnd"/>
      <w:r w:rsidRPr="00A84FFB">
        <w:rPr>
          <w:rFonts w:eastAsia="Times New Roman"/>
          <w:szCs w:val="18"/>
          <w:lang w:val="fr-FR"/>
        </w:rPr>
        <w:t xml:space="preserve"> Open </w:t>
      </w:r>
      <w:proofErr w:type="spellStart"/>
      <w:r w:rsidRPr="00A84FFB">
        <w:rPr>
          <w:rFonts w:eastAsia="Times New Roman"/>
          <w:szCs w:val="18"/>
          <w:lang w:val="fr-FR"/>
        </w:rPr>
        <w:t>Language</w:t>
      </w:r>
      <w:proofErr w:type="spellEnd"/>
      <w:r w:rsidRPr="00A84FFB">
        <w:rPr>
          <w:rFonts w:eastAsia="Times New Roman"/>
          <w:szCs w:val="18"/>
          <w:lang w:val="fr-FR"/>
        </w:rPr>
        <w:t xml:space="preserve">, l’Initiative internationale pour la biosécurité et la </w:t>
      </w:r>
      <w:proofErr w:type="spellStart"/>
      <w:r w:rsidRPr="00A84FFB">
        <w:rPr>
          <w:rFonts w:eastAsia="Times New Roman"/>
          <w:szCs w:val="18"/>
          <w:lang w:val="fr-FR"/>
        </w:rPr>
        <w:t>biosûreté</w:t>
      </w:r>
      <w:proofErr w:type="spellEnd"/>
      <w:r w:rsidRPr="00A84FFB">
        <w:rPr>
          <w:rFonts w:eastAsia="Times New Roman"/>
          <w:szCs w:val="18"/>
          <w:lang w:val="fr-FR"/>
        </w:rPr>
        <w:t xml:space="preserve"> dans le domaine scientifique, le </w:t>
      </w:r>
      <w:proofErr w:type="spellStart"/>
      <w:r w:rsidRPr="00A84FFB">
        <w:rPr>
          <w:rFonts w:eastAsia="Times New Roman"/>
          <w:szCs w:val="18"/>
          <w:lang w:val="fr-FR"/>
        </w:rPr>
        <w:t>Synthetic</w:t>
      </w:r>
      <w:proofErr w:type="spellEnd"/>
      <w:r w:rsidRPr="00A84FFB">
        <w:rPr>
          <w:rFonts w:eastAsia="Times New Roman"/>
          <w:szCs w:val="18"/>
          <w:lang w:val="fr-FR"/>
        </w:rPr>
        <w:t xml:space="preserve"> </w:t>
      </w:r>
      <w:proofErr w:type="spellStart"/>
      <w:r w:rsidRPr="00A84FFB">
        <w:rPr>
          <w:rFonts w:eastAsia="Times New Roman"/>
          <w:szCs w:val="18"/>
          <w:lang w:val="fr-FR"/>
        </w:rPr>
        <w:t>Biology</w:t>
      </w:r>
      <w:proofErr w:type="spellEnd"/>
      <w:r w:rsidRPr="00A84FFB">
        <w:rPr>
          <w:rFonts w:eastAsia="Times New Roman"/>
          <w:szCs w:val="18"/>
          <w:lang w:val="fr-FR"/>
        </w:rPr>
        <w:t xml:space="preserve"> Standards Consortium, le Registre </w:t>
      </w:r>
      <w:proofErr w:type="spellStart"/>
      <w:r w:rsidRPr="00A84FFB">
        <w:rPr>
          <w:rFonts w:eastAsia="Times New Roman"/>
          <w:szCs w:val="18"/>
          <w:lang w:val="fr-FR"/>
        </w:rPr>
        <w:t>iGEM</w:t>
      </w:r>
      <w:proofErr w:type="spellEnd"/>
      <w:r w:rsidRPr="00A84FFB">
        <w:rPr>
          <w:rFonts w:eastAsia="Times New Roman"/>
          <w:szCs w:val="18"/>
          <w:lang w:val="fr-FR"/>
        </w:rPr>
        <w:t xml:space="preserve"> des composants biologiques et l’Engineering </w:t>
      </w:r>
      <w:proofErr w:type="spellStart"/>
      <w:r w:rsidRPr="00A84FFB">
        <w:rPr>
          <w:rFonts w:eastAsia="Times New Roman"/>
          <w:szCs w:val="18"/>
          <w:lang w:val="fr-FR"/>
        </w:rPr>
        <w:t>Biology</w:t>
      </w:r>
      <w:proofErr w:type="spellEnd"/>
      <w:r w:rsidRPr="00A84FFB">
        <w:rPr>
          <w:rFonts w:eastAsia="Times New Roman"/>
          <w:szCs w:val="18"/>
          <w:lang w:val="fr-FR"/>
        </w:rPr>
        <w:t xml:space="preserve"> </w:t>
      </w:r>
      <w:proofErr w:type="spellStart"/>
      <w:r w:rsidRPr="00A84FFB">
        <w:rPr>
          <w:rFonts w:eastAsia="Times New Roman"/>
          <w:szCs w:val="18"/>
          <w:lang w:val="fr-FR"/>
        </w:rPr>
        <w:t>Research</w:t>
      </w:r>
      <w:proofErr w:type="spellEnd"/>
      <w:r w:rsidRPr="00A84FFB">
        <w:rPr>
          <w:rFonts w:eastAsia="Times New Roman"/>
          <w:szCs w:val="18"/>
          <w:lang w:val="fr-FR"/>
        </w:rPr>
        <w:t xml:space="preserve"> Consortium.</w:t>
      </w:r>
    </w:p>
  </w:footnote>
  <w:footnote w:id="25">
    <w:p w14:paraId="74D42A97" w14:textId="77777777" w:rsidR="001C532F" w:rsidRPr="00A84FFB" w:rsidRDefault="001C532F" w:rsidP="001C532F">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Nations Unies, </w:t>
      </w:r>
      <w:r w:rsidRPr="00A84FFB">
        <w:rPr>
          <w:rFonts w:eastAsia="Times New Roman"/>
          <w:i/>
          <w:iCs/>
          <w:szCs w:val="18"/>
          <w:lang w:val="fr-FR"/>
        </w:rPr>
        <w:t>Recueil des traités</w:t>
      </w:r>
      <w:r w:rsidRPr="00A84FFB">
        <w:rPr>
          <w:rFonts w:eastAsia="Times New Roman"/>
          <w:szCs w:val="18"/>
          <w:lang w:val="fr-FR"/>
        </w:rPr>
        <w:t>, vol. 2226, n° 30619.</w:t>
      </w:r>
    </w:p>
  </w:footnote>
  <w:footnote w:id="26">
    <w:p w14:paraId="0A72E72F" w14:textId="77777777" w:rsidR="001C532F" w:rsidRPr="00A84FFB" w:rsidRDefault="001C532F" w:rsidP="001C532F">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Objectif A.5 : les Parties procèdent à des évaluations des risques scientifiquement fondées des organismes vivants modifiés et assurent la gestion et le contrôle des risques identifiés afin de prévenir les effets néfastes de ces organismes sur la conservation et l’utilisation durable de la diversité biologique, en tenant également compte des risques pour la santé humaine ; Objectif A.9 : les Parties qui le souhaitent tiennent compte des considérations socio-économiques lorsqu’elles prennent des décisions relatives à l’importation d’organismes vivants modifiés et coopèrent en matière de recherche et d’échange d’informations conformément à l’article 26 du Protocole de Cartagena (décision </w:t>
      </w:r>
      <w:hyperlink r:id="rId9" w:history="1">
        <w:r w:rsidRPr="00A84FFB">
          <w:rPr>
            <w:rFonts w:eastAsia="Times New Roman"/>
            <w:color w:val="0000FF"/>
            <w:szCs w:val="18"/>
            <w:u w:val="single"/>
            <w:lang w:val="fr-FR"/>
          </w:rPr>
          <w:t>CP-10/4</w:t>
        </w:r>
      </w:hyperlink>
      <w:r w:rsidRPr="00A84FFB">
        <w:rPr>
          <w:rFonts w:eastAsia="Times New Roman"/>
          <w:szCs w:val="18"/>
          <w:lang w:val="fr-FR"/>
        </w:rPr>
        <w:t>, annexe).</w:t>
      </w:r>
    </w:p>
  </w:footnote>
  <w:footnote w:id="27">
    <w:p w14:paraId="751BA128" w14:textId="71FF67BF" w:rsidR="001C532F" w:rsidRPr="00A84FFB" w:rsidRDefault="001C532F" w:rsidP="001C532F">
      <w:pPr>
        <w:pStyle w:val="FootnoteText"/>
        <w:rPr>
          <w:lang w:val="fr-FR"/>
        </w:rPr>
      </w:pPr>
      <w:r w:rsidRPr="00A84FFB">
        <w:rPr>
          <w:rStyle w:val="FootnoteReference"/>
          <w:lang w:val="fr-FR"/>
        </w:rPr>
        <w:t>2</w:t>
      </w:r>
      <w:r w:rsidR="0018560D">
        <w:rPr>
          <w:vertAlign w:val="superscript"/>
          <w:lang w:val="fr-FR"/>
        </w:rPr>
        <w:t>7</w:t>
      </w:r>
      <w:r w:rsidRPr="00A84FFB">
        <w:rPr>
          <w:rFonts w:eastAsia="Times New Roman"/>
          <w:szCs w:val="18"/>
          <w:lang w:val="fr-FR"/>
        </w:rPr>
        <w:t xml:space="preserve"> Objectif A.1 : les Parties ont mis en place des cadres nationaux opérationnels en matière de prévention des risques biotechnologiques (décision </w:t>
      </w:r>
      <w:hyperlink r:id="rId10" w:history="1">
        <w:r w:rsidRPr="00A84FFB">
          <w:rPr>
            <w:rFonts w:eastAsia="Times New Roman"/>
            <w:color w:val="0000FF"/>
            <w:szCs w:val="18"/>
            <w:u w:val="single"/>
            <w:lang w:val="fr-FR"/>
          </w:rPr>
          <w:t>CP-10/4</w:t>
        </w:r>
      </w:hyperlink>
      <w:r w:rsidRPr="00A84FFB">
        <w:rPr>
          <w:rFonts w:eastAsia="Times New Roman"/>
          <w:szCs w:val="18"/>
          <w:lang w:val="fr-FR"/>
        </w:rPr>
        <w:t>, annexe).</w:t>
      </w:r>
    </w:p>
  </w:footnote>
  <w:footnote w:id="28">
    <w:p w14:paraId="40026661" w14:textId="0F835F36" w:rsidR="001C532F" w:rsidRPr="00A84FFB" w:rsidRDefault="001C532F" w:rsidP="001C532F">
      <w:pPr>
        <w:pStyle w:val="FootnoteText"/>
        <w:rPr>
          <w:lang w:val="fr-FR"/>
        </w:rPr>
      </w:pPr>
      <w:r w:rsidRPr="00395997">
        <w:rPr>
          <w:rStyle w:val="FootnoteReference"/>
          <w:lang w:val="fr-FR"/>
        </w:rPr>
        <w:t>2</w:t>
      </w:r>
      <w:r w:rsidR="0059212B">
        <w:rPr>
          <w:vertAlign w:val="superscript"/>
          <w:lang w:val="fr-FR"/>
        </w:rPr>
        <w:t>8</w:t>
      </w:r>
      <w:r w:rsidRPr="00A84FFB">
        <w:rPr>
          <w:rFonts w:eastAsia="Times New Roman"/>
          <w:szCs w:val="18"/>
          <w:lang w:val="fr-FR"/>
        </w:rPr>
        <w:t xml:space="preserve"> « Le consentement préalable, donné librement et en connaissance de cause » fait référence à la terminologie tripartite des « consentement préalable donné en connaissance de cause », « consentement préalable, donné librement et en connaissance de cause » et « approbation et participation ».</w:t>
      </w:r>
    </w:p>
  </w:footnote>
  <w:footnote w:id="29">
    <w:p w14:paraId="371E71FA" w14:textId="77777777" w:rsidR="001C532F" w:rsidRPr="00A84FFB" w:rsidRDefault="001C532F" w:rsidP="001C532F">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Nations Unies, </w:t>
      </w:r>
      <w:r w:rsidRPr="00A84FFB">
        <w:rPr>
          <w:rFonts w:eastAsia="Times New Roman"/>
          <w:i/>
          <w:iCs/>
          <w:szCs w:val="18"/>
          <w:lang w:val="fr-FR"/>
        </w:rPr>
        <w:t>Recueil des traités</w:t>
      </w:r>
      <w:r w:rsidRPr="00A84FFB">
        <w:rPr>
          <w:rFonts w:eastAsia="Times New Roman"/>
          <w:szCs w:val="18"/>
          <w:lang w:val="fr-FR"/>
        </w:rPr>
        <w:t>, vol. 3008, n° 30619.</w:t>
      </w:r>
    </w:p>
  </w:footnote>
  <w:footnote w:id="30">
    <w:p w14:paraId="26075C63" w14:textId="77777777" w:rsidR="001C532F" w:rsidRPr="00A84FFB" w:rsidRDefault="001C532F" w:rsidP="001C532F">
      <w:pPr>
        <w:pStyle w:val="FootnoteText"/>
        <w:rPr>
          <w:lang w:val="fr-FR"/>
        </w:rPr>
      </w:pPr>
      <w:r w:rsidRPr="00A84FFB">
        <w:rPr>
          <w:rStyle w:val="FootnoteReference"/>
          <w:lang w:val="fr-FR"/>
        </w:rPr>
        <w:footnoteRef/>
      </w:r>
      <w:r w:rsidRPr="00A84FFB">
        <w:rPr>
          <w:lang w:val="fr-FR"/>
        </w:rPr>
        <w:t xml:space="preserve"> Décision </w:t>
      </w:r>
      <w:hyperlink r:id="rId11" w:history="1">
        <w:r w:rsidRPr="00A84FFB">
          <w:rPr>
            <w:rStyle w:val="Hyperlink"/>
            <w:lang w:val="fr-FR"/>
          </w:rPr>
          <w:t>NP-5/3</w:t>
        </w:r>
      </w:hyperlink>
      <w:r w:rsidRPr="00A84FFB">
        <w:rPr>
          <w:lang w:val="fr-FR"/>
        </w:rPr>
        <w:t>, annexe.</w:t>
      </w:r>
    </w:p>
  </w:footnote>
  <w:footnote w:id="31">
    <w:p w14:paraId="03C572FF" w14:textId="6849A435" w:rsidR="00062D65" w:rsidRPr="00A84FFB" w:rsidRDefault="00062D65">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Décision</w:t>
      </w:r>
      <w:r w:rsidR="00C57D56" w:rsidRPr="00A84FFB">
        <w:rPr>
          <w:rFonts w:eastAsia="Times New Roman"/>
          <w:szCs w:val="18"/>
          <w:lang w:val="fr-FR"/>
        </w:rPr>
        <w:t> </w:t>
      </w:r>
      <w:hyperlink r:id="rId12" w:history="1">
        <w:r w:rsidRPr="00A84FFB">
          <w:rPr>
            <w:rFonts w:eastAsia="Times New Roman"/>
            <w:color w:val="0000FF"/>
            <w:szCs w:val="18"/>
            <w:lang w:val="fr-FR"/>
          </w:rPr>
          <w:t>VIII/10</w:t>
        </w:r>
      </w:hyperlink>
      <w:r w:rsidRPr="00A84FFB">
        <w:rPr>
          <w:rFonts w:eastAsia="Times New Roman"/>
          <w:szCs w:val="18"/>
          <w:lang w:val="fr-FR"/>
        </w:rPr>
        <w:t>, annexe</w:t>
      </w:r>
      <w:r w:rsidR="00C57D56" w:rsidRPr="00A84FFB">
        <w:rPr>
          <w:rFonts w:eastAsia="Times New Roman"/>
          <w:szCs w:val="18"/>
          <w:lang w:val="fr-FR"/>
        </w:rPr>
        <w:t> </w:t>
      </w:r>
      <w:r w:rsidRPr="00A84FFB">
        <w:rPr>
          <w:rFonts w:eastAsia="Times New Roman"/>
          <w:szCs w:val="18"/>
          <w:lang w:val="fr-FR"/>
        </w:rPr>
        <w:t>III.</w:t>
      </w:r>
    </w:p>
  </w:footnote>
  <w:footnote w:id="32">
    <w:p w14:paraId="4764E322" w14:textId="1CC473F8" w:rsidR="00062D65" w:rsidRPr="00A84FFB" w:rsidRDefault="00062D65">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 xml:space="preserve">Nations Unies, </w:t>
      </w:r>
      <w:r w:rsidRPr="00A84FFB">
        <w:rPr>
          <w:rFonts w:eastAsia="Times New Roman"/>
          <w:i/>
          <w:iCs/>
          <w:szCs w:val="18"/>
          <w:lang w:val="fr-FR"/>
        </w:rPr>
        <w:t>Recueil des Traités</w:t>
      </w:r>
      <w:r w:rsidRPr="00A84FFB">
        <w:rPr>
          <w:rFonts w:eastAsia="Times New Roman"/>
          <w:szCs w:val="18"/>
          <w:lang w:val="fr-FR"/>
        </w:rPr>
        <w:t>, vol. 1760, n</w:t>
      </w:r>
      <w:r w:rsidRPr="00A84FFB">
        <w:rPr>
          <w:rFonts w:eastAsia="Times New Roman"/>
          <w:szCs w:val="18"/>
          <w:vertAlign w:val="superscript"/>
          <w:lang w:val="fr-FR"/>
        </w:rPr>
        <w:t>o</w:t>
      </w:r>
      <w:r w:rsidRPr="00A84FFB">
        <w:rPr>
          <w:rFonts w:eastAsia="Times New Roman"/>
          <w:szCs w:val="18"/>
          <w:lang w:val="fr-FR"/>
        </w:rPr>
        <w:t> 30619.</w:t>
      </w:r>
    </w:p>
  </w:footnote>
  <w:footnote w:id="33">
    <w:p w14:paraId="77961969" w14:textId="65AAB090" w:rsidR="00062D65" w:rsidRPr="00A84FFB" w:rsidRDefault="00062D65">
      <w:pPr>
        <w:pStyle w:val="FootnoteText"/>
        <w:rPr>
          <w:lang w:val="fr-FR"/>
        </w:rPr>
      </w:pPr>
      <w:r w:rsidRPr="00A84FFB">
        <w:rPr>
          <w:rStyle w:val="FootnoteReference"/>
          <w:lang w:val="fr-FR"/>
        </w:rPr>
        <w:footnoteRef/>
      </w:r>
      <w:r w:rsidRPr="00A84FFB">
        <w:rPr>
          <w:lang w:val="fr-FR"/>
        </w:rPr>
        <w:t xml:space="preserve"> </w:t>
      </w:r>
      <w:r w:rsidRPr="00A84FFB">
        <w:rPr>
          <w:rFonts w:eastAsia="Times New Roman"/>
          <w:szCs w:val="18"/>
          <w:lang w:val="fr-FR"/>
        </w:rPr>
        <w:t>Décision</w:t>
      </w:r>
      <w:r w:rsidR="00C57D56" w:rsidRPr="00A84FFB">
        <w:rPr>
          <w:rFonts w:eastAsia="Times New Roman"/>
          <w:szCs w:val="18"/>
          <w:lang w:val="fr-FR"/>
        </w:rPr>
        <w:t> </w:t>
      </w:r>
      <w:hyperlink r:id="rId13" w:history="1">
        <w:r w:rsidRPr="00A84FFB">
          <w:rPr>
            <w:rFonts w:eastAsia="Times New Roman"/>
            <w:color w:val="0000FF"/>
            <w:szCs w:val="18"/>
            <w:u w:val="single"/>
            <w:lang w:val="fr-FR"/>
          </w:rPr>
          <w:t>15/4</w:t>
        </w:r>
      </w:hyperlink>
      <w:r w:rsidRPr="00A84FFB">
        <w:rPr>
          <w:rFonts w:eastAsia="Times New Roman"/>
          <w:szCs w:val="18"/>
          <w:lang w:val="fr-FR"/>
        </w:rPr>
        <w:t>, annexe.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20"/>
      </w:rPr>
      <w:alias w:val="Subject"/>
      <w:id w:val="-1885015078"/>
      <w:dataBinding w:prefixMappings="xmlns:ns0='http://purl.org/dc/elements/1.1/' xmlns:ns1='http://schemas.openxmlformats.org/package/2006/metadata/core-properties' " w:xpath="/ns1:coreProperties[1]/ns0:subject[1]" w:storeItemID="{6C3C8BC8-F283-45AE-878A-BAB7291924A1}"/>
      <w:text/>
    </w:sdtPr>
    <w:sdtEndPr/>
    <w:sdtContent>
      <w:p w14:paraId="5CAAFFC9" w14:textId="6D8DB748" w:rsidR="00062144" w:rsidRDefault="006B2D93" w:rsidP="007C4951">
        <w:pPr>
          <w:pStyle w:val="Header"/>
          <w:spacing w:after="240"/>
          <w:rPr>
            <w:rFonts w:eastAsia="Times New Roman"/>
            <w:sz w:val="22"/>
            <w:lang w:val="fr-FR"/>
          </w:rPr>
        </w:pPr>
        <w:r>
          <w:rPr>
            <w:szCs w:val="20"/>
          </w:rPr>
          <w:t>CBD/SBSTTA/REC/28/3</w:t>
        </w:r>
      </w:p>
    </w:sdtContent>
  </w:sdt>
  <w:p w14:paraId="5CAAFFCA" w14:textId="77777777" w:rsidR="00062144" w:rsidRDefault="000621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Subject"/>
      <w:id w:val="851227268"/>
      <w:dataBinding w:prefixMappings="xmlns:ns0='http://purl.org/dc/elements/1.1/' xmlns:ns1='http://schemas.openxmlformats.org/package/2006/metadata/core-properties' " w:xpath="/ns1:coreProperties[1]/ns0:subject[1]" w:storeItemID="{6C3C8BC8-F283-45AE-878A-BAB7291924A1}"/>
      <w:text/>
    </w:sdtPr>
    <w:sdtEndPr/>
    <w:sdtContent>
      <w:p w14:paraId="5CAAFFCB" w14:textId="2F081DC2" w:rsidR="00062144" w:rsidRDefault="00CF7FA2" w:rsidP="007C4951">
        <w:pPr>
          <w:pStyle w:val="Header"/>
          <w:spacing w:after="240"/>
          <w:jc w:val="right"/>
          <w:rPr>
            <w:rFonts w:eastAsia="Times New Roman"/>
            <w:szCs w:val="20"/>
            <w:lang w:val="fr-FR"/>
          </w:rPr>
        </w:pPr>
        <w:r>
          <w:t>CBD/SBSTTA/</w:t>
        </w:r>
        <w:r w:rsidR="006B2D93">
          <w:t>REC/</w:t>
        </w:r>
        <w:r>
          <w:t>28/</w:t>
        </w:r>
        <w:r w:rsidR="006B2D93">
          <w:t>3</w:t>
        </w:r>
      </w:p>
    </w:sdtContent>
  </w:sdt>
  <w:p w14:paraId="5CAAFFCC" w14:textId="77777777" w:rsidR="00062144" w:rsidRDefault="000621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DBF7" w14:textId="77777777" w:rsidR="00243AAE" w:rsidRDefault="00243AAE" w:rsidP="006E4F8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D5B99"/>
    <w:multiLevelType w:val="hybridMultilevel"/>
    <w:tmpl w:val="9F32D4B4"/>
    <w:lvl w:ilvl="0" w:tplc="85523A9C">
      <w:start w:val="1"/>
      <w:numFmt w:val="lowerLetter"/>
      <w:lvlText w:val="%1)"/>
      <w:lvlJc w:val="left"/>
      <w:pPr>
        <w:ind w:left="360" w:hanging="360"/>
      </w:pPr>
      <w:rPr>
        <w:rFonts w:hint="default"/>
      </w:rPr>
    </w:lvl>
    <w:lvl w:ilvl="1" w:tplc="02D64848" w:tentative="1">
      <w:start w:val="1"/>
      <w:numFmt w:val="lowerLetter"/>
      <w:lvlText w:val="%2."/>
      <w:lvlJc w:val="left"/>
      <w:pPr>
        <w:ind w:left="1080" w:hanging="360"/>
      </w:pPr>
    </w:lvl>
    <w:lvl w:ilvl="2" w:tplc="6BB6966A" w:tentative="1">
      <w:start w:val="1"/>
      <w:numFmt w:val="lowerRoman"/>
      <w:lvlText w:val="%3."/>
      <w:lvlJc w:val="right"/>
      <w:pPr>
        <w:ind w:left="1800" w:hanging="180"/>
      </w:pPr>
    </w:lvl>
    <w:lvl w:ilvl="3" w:tplc="E01067D2" w:tentative="1">
      <w:start w:val="1"/>
      <w:numFmt w:val="decimal"/>
      <w:lvlText w:val="%4."/>
      <w:lvlJc w:val="left"/>
      <w:pPr>
        <w:ind w:left="2520" w:hanging="360"/>
      </w:pPr>
    </w:lvl>
    <w:lvl w:ilvl="4" w:tplc="3FF03A62" w:tentative="1">
      <w:start w:val="1"/>
      <w:numFmt w:val="lowerLetter"/>
      <w:lvlText w:val="%5."/>
      <w:lvlJc w:val="left"/>
      <w:pPr>
        <w:ind w:left="3240" w:hanging="360"/>
      </w:pPr>
    </w:lvl>
    <w:lvl w:ilvl="5" w:tplc="12F0EDF0" w:tentative="1">
      <w:start w:val="1"/>
      <w:numFmt w:val="lowerRoman"/>
      <w:lvlText w:val="%6."/>
      <w:lvlJc w:val="right"/>
      <w:pPr>
        <w:ind w:left="3960" w:hanging="180"/>
      </w:pPr>
    </w:lvl>
    <w:lvl w:ilvl="6" w:tplc="97E4B3FA" w:tentative="1">
      <w:start w:val="1"/>
      <w:numFmt w:val="decimal"/>
      <w:lvlText w:val="%7."/>
      <w:lvlJc w:val="left"/>
      <w:pPr>
        <w:ind w:left="4680" w:hanging="360"/>
      </w:pPr>
    </w:lvl>
    <w:lvl w:ilvl="7" w:tplc="0B7E5052" w:tentative="1">
      <w:start w:val="1"/>
      <w:numFmt w:val="lowerLetter"/>
      <w:lvlText w:val="%8."/>
      <w:lvlJc w:val="left"/>
      <w:pPr>
        <w:ind w:left="5400" w:hanging="360"/>
      </w:pPr>
    </w:lvl>
    <w:lvl w:ilvl="8" w:tplc="DDAEE82E" w:tentative="1">
      <w:start w:val="1"/>
      <w:numFmt w:val="lowerRoman"/>
      <w:lvlText w:val="%9."/>
      <w:lvlJc w:val="right"/>
      <w:pPr>
        <w:ind w:left="6120" w:hanging="180"/>
      </w:pPr>
    </w:lvl>
  </w:abstractNum>
  <w:abstractNum w:abstractNumId="1" w15:restartNumberingAfterBreak="0">
    <w:nsid w:val="078D619E"/>
    <w:multiLevelType w:val="hybridMultilevel"/>
    <w:tmpl w:val="847886C8"/>
    <w:lvl w:ilvl="0" w:tplc="473A06E0">
      <w:start w:val="1"/>
      <w:numFmt w:val="lowerLetter"/>
      <w:lvlText w:val="%1)"/>
      <w:lvlJc w:val="left"/>
      <w:pPr>
        <w:ind w:left="360" w:hanging="360"/>
      </w:pPr>
      <w:rPr>
        <w:rFonts w:hint="default"/>
      </w:rPr>
    </w:lvl>
    <w:lvl w:ilvl="1" w:tplc="22568F26" w:tentative="1">
      <w:start w:val="1"/>
      <w:numFmt w:val="lowerLetter"/>
      <w:lvlText w:val="%2."/>
      <w:lvlJc w:val="left"/>
      <w:pPr>
        <w:ind w:left="1437" w:hanging="360"/>
      </w:pPr>
    </w:lvl>
    <w:lvl w:ilvl="2" w:tplc="23921404" w:tentative="1">
      <w:start w:val="1"/>
      <w:numFmt w:val="lowerRoman"/>
      <w:lvlText w:val="%3."/>
      <w:lvlJc w:val="right"/>
      <w:pPr>
        <w:ind w:left="2157" w:hanging="180"/>
      </w:pPr>
    </w:lvl>
    <w:lvl w:ilvl="3" w:tplc="5B2AEC66" w:tentative="1">
      <w:start w:val="1"/>
      <w:numFmt w:val="decimal"/>
      <w:lvlText w:val="%4."/>
      <w:lvlJc w:val="left"/>
      <w:pPr>
        <w:ind w:left="2877" w:hanging="360"/>
      </w:pPr>
    </w:lvl>
    <w:lvl w:ilvl="4" w:tplc="96C6A150" w:tentative="1">
      <w:start w:val="1"/>
      <w:numFmt w:val="lowerLetter"/>
      <w:lvlText w:val="%5."/>
      <w:lvlJc w:val="left"/>
      <w:pPr>
        <w:ind w:left="3597" w:hanging="360"/>
      </w:pPr>
    </w:lvl>
    <w:lvl w:ilvl="5" w:tplc="11C2C254" w:tentative="1">
      <w:start w:val="1"/>
      <w:numFmt w:val="lowerRoman"/>
      <w:lvlText w:val="%6."/>
      <w:lvlJc w:val="right"/>
      <w:pPr>
        <w:ind w:left="4317" w:hanging="180"/>
      </w:pPr>
    </w:lvl>
    <w:lvl w:ilvl="6" w:tplc="B0506116" w:tentative="1">
      <w:start w:val="1"/>
      <w:numFmt w:val="decimal"/>
      <w:lvlText w:val="%7."/>
      <w:lvlJc w:val="left"/>
      <w:pPr>
        <w:ind w:left="5037" w:hanging="360"/>
      </w:pPr>
    </w:lvl>
    <w:lvl w:ilvl="7" w:tplc="ED70A448" w:tentative="1">
      <w:start w:val="1"/>
      <w:numFmt w:val="lowerLetter"/>
      <w:lvlText w:val="%8."/>
      <w:lvlJc w:val="left"/>
      <w:pPr>
        <w:ind w:left="5757" w:hanging="360"/>
      </w:pPr>
    </w:lvl>
    <w:lvl w:ilvl="8" w:tplc="DEE81BE6" w:tentative="1">
      <w:start w:val="1"/>
      <w:numFmt w:val="lowerRoman"/>
      <w:lvlText w:val="%9."/>
      <w:lvlJc w:val="right"/>
      <w:pPr>
        <w:ind w:left="6477" w:hanging="180"/>
      </w:pPr>
    </w:lvl>
  </w:abstractNum>
  <w:abstractNum w:abstractNumId="2" w15:restartNumberingAfterBreak="0">
    <w:nsid w:val="0BA564D2"/>
    <w:multiLevelType w:val="hybridMultilevel"/>
    <w:tmpl w:val="20DABE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390692"/>
    <w:multiLevelType w:val="hybridMultilevel"/>
    <w:tmpl w:val="69B262D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D9281D"/>
    <w:multiLevelType w:val="hybridMultilevel"/>
    <w:tmpl w:val="04F6AD14"/>
    <w:lvl w:ilvl="0" w:tplc="5EF6570C">
      <w:start w:val="1"/>
      <w:numFmt w:val="lowerLetter"/>
      <w:lvlText w:val="%1)"/>
      <w:lvlJc w:val="left"/>
      <w:pPr>
        <w:ind w:left="1494" w:hanging="360"/>
      </w:pPr>
      <w:rPr>
        <w:rFonts w:hint="default"/>
      </w:rPr>
    </w:lvl>
    <w:lvl w:ilvl="1" w:tplc="FA0EA0A6" w:tentative="1">
      <w:start w:val="1"/>
      <w:numFmt w:val="lowerLetter"/>
      <w:lvlText w:val="%2."/>
      <w:lvlJc w:val="left"/>
      <w:pPr>
        <w:ind w:left="1440" w:hanging="360"/>
      </w:pPr>
    </w:lvl>
    <w:lvl w:ilvl="2" w:tplc="B2FC25D6" w:tentative="1">
      <w:start w:val="1"/>
      <w:numFmt w:val="lowerRoman"/>
      <w:lvlText w:val="%3."/>
      <w:lvlJc w:val="right"/>
      <w:pPr>
        <w:ind w:left="2160" w:hanging="180"/>
      </w:pPr>
    </w:lvl>
    <w:lvl w:ilvl="3" w:tplc="02B6637E" w:tentative="1">
      <w:start w:val="1"/>
      <w:numFmt w:val="decimal"/>
      <w:lvlText w:val="%4."/>
      <w:lvlJc w:val="left"/>
      <w:pPr>
        <w:ind w:left="2880" w:hanging="360"/>
      </w:pPr>
    </w:lvl>
    <w:lvl w:ilvl="4" w:tplc="6016B030" w:tentative="1">
      <w:start w:val="1"/>
      <w:numFmt w:val="lowerLetter"/>
      <w:lvlText w:val="%5."/>
      <w:lvlJc w:val="left"/>
      <w:pPr>
        <w:ind w:left="3600" w:hanging="360"/>
      </w:pPr>
    </w:lvl>
    <w:lvl w:ilvl="5" w:tplc="D864FF02" w:tentative="1">
      <w:start w:val="1"/>
      <w:numFmt w:val="lowerRoman"/>
      <w:lvlText w:val="%6."/>
      <w:lvlJc w:val="right"/>
      <w:pPr>
        <w:ind w:left="4320" w:hanging="180"/>
      </w:pPr>
    </w:lvl>
    <w:lvl w:ilvl="6" w:tplc="8082839C" w:tentative="1">
      <w:start w:val="1"/>
      <w:numFmt w:val="decimal"/>
      <w:lvlText w:val="%7."/>
      <w:lvlJc w:val="left"/>
      <w:pPr>
        <w:ind w:left="5040" w:hanging="360"/>
      </w:pPr>
    </w:lvl>
    <w:lvl w:ilvl="7" w:tplc="97FC1152" w:tentative="1">
      <w:start w:val="1"/>
      <w:numFmt w:val="lowerLetter"/>
      <w:lvlText w:val="%8."/>
      <w:lvlJc w:val="left"/>
      <w:pPr>
        <w:ind w:left="5760" w:hanging="360"/>
      </w:pPr>
    </w:lvl>
    <w:lvl w:ilvl="8" w:tplc="E3DC2EDA" w:tentative="1">
      <w:start w:val="1"/>
      <w:numFmt w:val="lowerRoman"/>
      <w:lvlText w:val="%9."/>
      <w:lvlJc w:val="right"/>
      <w:pPr>
        <w:ind w:left="6480" w:hanging="180"/>
      </w:pPr>
    </w:lvl>
  </w:abstractNum>
  <w:abstractNum w:abstractNumId="5" w15:restartNumberingAfterBreak="0">
    <w:nsid w:val="252A7628"/>
    <w:multiLevelType w:val="hybridMultilevel"/>
    <w:tmpl w:val="6F0699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236EB"/>
    <w:multiLevelType w:val="multilevel"/>
    <w:tmpl w:val="64546866"/>
    <w:lvl w:ilvl="0">
      <w:start w:val="12"/>
      <w:numFmt w:val="decimal"/>
      <w:lvlText w:val="%1."/>
      <w:lvlJc w:val="left"/>
      <w:pPr>
        <w:ind w:left="1134" w:firstLine="0"/>
      </w:pPr>
      <w:rPr>
        <w:rFonts w:ascii="Times New Roman" w:hAnsi="Times New Roman" w:cs="Times New Roman" w:hint="default"/>
        <w:b w:val="0"/>
        <w:bCs w:val="0"/>
        <w:i w:val="0"/>
        <w:iCs w:val="0"/>
        <w:color w:val="auto"/>
        <w:sz w:val="22"/>
      </w:rPr>
    </w:lvl>
    <w:lvl w:ilvl="1">
      <w:start w:val="1"/>
      <w:numFmt w:val="lowerLetter"/>
      <w:lvlText w:val="%2)"/>
      <w:lvlJc w:val="left"/>
      <w:pPr>
        <w:ind w:left="1702" w:firstLine="567"/>
      </w:pPr>
      <w:rPr>
        <w:rFonts w:ascii="Times New Roman" w:hAnsi="Times New Roman" w:hint="default"/>
        <w:b w:val="0"/>
        <w:i w:val="0"/>
        <w:sz w:val="22"/>
      </w:rPr>
    </w:lvl>
    <w:lvl w:ilvl="2">
      <w:start w:val="1"/>
      <w:numFmt w:val="lowerRoman"/>
      <w:lvlText w:val="(%3)"/>
      <w:lvlJc w:val="left"/>
      <w:pPr>
        <w:ind w:left="2835" w:hanging="567"/>
      </w:pPr>
      <w:rPr>
        <w:rFonts w:ascii="Times New Roman" w:hAnsi="Times New Roman" w:hint="default"/>
        <w:sz w:val="22"/>
      </w:rPr>
    </w:lvl>
    <w:lvl w:ilvl="3">
      <w:start w:val="1"/>
      <w:numFmt w:val="decimal"/>
      <w:lvlText w:val="(%4)"/>
      <w:lvlJc w:val="left"/>
      <w:pPr>
        <w:ind w:left="3402" w:hanging="567"/>
      </w:pPr>
      <w:rPr>
        <w:rFonts w:ascii="Times New Roman" w:hAnsi="Times New Roman" w:hint="default"/>
        <w:sz w:val="22"/>
      </w:rPr>
    </w:lvl>
    <w:lvl w:ilvl="4">
      <w:start w:val="1"/>
      <w:numFmt w:val="lowerLetter"/>
      <w:lvlText w:val="(%5)"/>
      <w:lvlJc w:val="left"/>
      <w:pPr>
        <w:ind w:left="3969" w:hanging="567"/>
      </w:pPr>
      <w:rPr>
        <w:rFonts w:hint="default"/>
      </w:rPr>
    </w:lvl>
    <w:lvl w:ilvl="5">
      <w:start w:val="1"/>
      <w:numFmt w:val="lowerRoman"/>
      <w:lvlText w:val="(%6)"/>
      <w:lvlJc w:val="left"/>
      <w:pPr>
        <w:ind w:left="3393" w:hanging="360"/>
      </w:pPr>
      <w:rPr>
        <w:rFonts w:hint="default"/>
      </w:rPr>
    </w:lvl>
    <w:lvl w:ilvl="6">
      <w:start w:val="1"/>
      <w:numFmt w:val="decimal"/>
      <w:lvlText w:val="%7."/>
      <w:lvlJc w:val="left"/>
      <w:pPr>
        <w:ind w:left="3753" w:hanging="360"/>
      </w:pPr>
      <w:rPr>
        <w:rFonts w:hint="default"/>
      </w:rPr>
    </w:lvl>
    <w:lvl w:ilvl="7">
      <w:start w:val="1"/>
      <w:numFmt w:val="lowerLetter"/>
      <w:lvlText w:val="%8."/>
      <w:lvlJc w:val="left"/>
      <w:pPr>
        <w:ind w:left="4113" w:hanging="360"/>
      </w:pPr>
      <w:rPr>
        <w:rFonts w:hint="default"/>
      </w:rPr>
    </w:lvl>
    <w:lvl w:ilvl="8">
      <w:start w:val="1"/>
      <w:numFmt w:val="lowerRoman"/>
      <w:lvlText w:val="%9."/>
      <w:lvlJc w:val="left"/>
      <w:pPr>
        <w:ind w:left="4473" w:hanging="360"/>
      </w:pPr>
      <w:rPr>
        <w:rFonts w:hint="default"/>
      </w:rPr>
    </w:lvl>
  </w:abstractNum>
  <w:abstractNum w:abstractNumId="7" w15:restartNumberingAfterBreak="0">
    <w:nsid w:val="48E4287B"/>
    <w:multiLevelType w:val="multilevel"/>
    <w:tmpl w:val="2E6A1D38"/>
    <w:lvl w:ilvl="0">
      <w:start w:val="1"/>
      <w:numFmt w:val="decimal"/>
      <w:lvlText w:val="%1."/>
      <w:lvlJc w:val="left"/>
      <w:pPr>
        <w:tabs>
          <w:tab w:val="num" w:pos="360"/>
        </w:tabs>
        <w:ind w:left="0" w:firstLine="0"/>
      </w:pPr>
    </w:lvl>
    <w:lvl w:ilvl="1">
      <w:start w:val="1"/>
      <w:numFmt w:val="lowerLetter"/>
      <w:lvlText w:val="(%2)"/>
      <w:lvlJc w:val="left"/>
      <w:pPr>
        <w:tabs>
          <w:tab w:val="num" w:pos="1440"/>
        </w:tabs>
        <w:ind w:left="0" w:firstLine="720"/>
      </w:pPr>
    </w:lvl>
    <w:lvl w:ilvl="2">
      <w:start w:val="1"/>
      <w:numFmt w:val="lowerRoman"/>
      <w:lvlText w:val="(%3)"/>
      <w:lvlJc w:val="right"/>
      <w:pPr>
        <w:tabs>
          <w:tab w:val="num" w:pos="1440"/>
        </w:tabs>
        <w:ind w:left="1440" w:hanging="360"/>
      </w:pPr>
    </w:lvl>
    <w:lvl w:ilvl="3">
      <w:start w:val="1"/>
      <w:numFmt w:val="bullet"/>
      <w:pStyle w:val="Para3"/>
      <w:lvlText w:val=""/>
      <w:lvlJc w:val="left"/>
      <w:pPr>
        <w:tabs>
          <w:tab w:val="num" w:pos="2160"/>
        </w:tabs>
        <w:ind w:left="2160" w:hanging="720"/>
      </w:pPr>
      <w:rPr>
        <w:rFonts w:ascii="Symbol" w:hAnsi="Symbol" w:hint="default"/>
        <w:sz w:val="28"/>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499D5F66"/>
    <w:multiLevelType w:val="multilevel"/>
    <w:tmpl w:val="222A08B4"/>
    <w:styleLink w:val="ListCBD"/>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9" w15:restartNumberingAfterBreak="0">
    <w:nsid w:val="4E0442B4"/>
    <w:multiLevelType w:val="multilevel"/>
    <w:tmpl w:val="1CC4E3A4"/>
    <w:lvl w:ilvl="0">
      <w:start w:val="1"/>
      <w:numFmt w:val="decimal"/>
      <w:pStyle w:val="Para1"/>
      <w:lvlText w:val="%1."/>
      <w:lvlJc w:val="left"/>
      <w:pPr>
        <w:tabs>
          <w:tab w:val="num" w:pos="360"/>
        </w:tabs>
        <w:ind w:left="0" w:firstLine="0"/>
      </w:pPr>
      <w:rPr>
        <w:rFonts w:ascii="Times New Roman" w:hAnsi="Times New Roman" w:hint="default"/>
        <w:b w:val="0"/>
        <w:i w:val="0"/>
        <w:sz w:val="22"/>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right"/>
      <w:pPr>
        <w:tabs>
          <w:tab w:val="num" w:pos="1440"/>
        </w:tabs>
        <w:ind w:left="1440" w:hanging="360"/>
      </w:pPr>
      <w:rPr>
        <w:rFonts w:hint="default"/>
      </w:rPr>
    </w:lvl>
    <w:lvl w:ilvl="3">
      <w:start w:val="1"/>
      <w:numFmt w:val="bullet"/>
      <w:lvlText w:val=""/>
      <w:lvlJc w:val="left"/>
      <w:pPr>
        <w:tabs>
          <w:tab w:val="num" w:pos="2160"/>
        </w:tabs>
        <w:ind w:left="2160" w:hanging="720"/>
      </w:pPr>
      <w:rPr>
        <w:rFonts w:ascii="Symbol" w:hAnsi="Symbol" w:hint="default"/>
        <w:color w:val="auto"/>
        <w:sz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5B296FF7"/>
    <w:multiLevelType w:val="hybridMultilevel"/>
    <w:tmpl w:val="5E02FA84"/>
    <w:lvl w:ilvl="0" w:tplc="0C0694CC">
      <w:start w:val="1"/>
      <w:numFmt w:val="lowerLetter"/>
      <w:lvlText w:val="%1)"/>
      <w:lvlJc w:val="left"/>
      <w:pPr>
        <w:ind w:left="360" w:hanging="360"/>
      </w:pPr>
      <w:rPr>
        <w:rFonts w:hint="default"/>
      </w:rPr>
    </w:lvl>
    <w:lvl w:ilvl="1" w:tplc="C97E9B2A" w:tentative="1">
      <w:start w:val="1"/>
      <w:numFmt w:val="lowerLetter"/>
      <w:lvlText w:val="%2."/>
      <w:lvlJc w:val="left"/>
      <w:pPr>
        <w:ind w:left="1437" w:hanging="360"/>
      </w:pPr>
    </w:lvl>
    <w:lvl w:ilvl="2" w:tplc="306E3446" w:tentative="1">
      <w:start w:val="1"/>
      <w:numFmt w:val="lowerRoman"/>
      <w:lvlText w:val="%3."/>
      <w:lvlJc w:val="right"/>
      <w:pPr>
        <w:ind w:left="2157" w:hanging="180"/>
      </w:pPr>
    </w:lvl>
    <w:lvl w:ilvl="3" w:tplc="D21E5EE0" w:tentative="1">
      <w:start w:val="1"/>
      <w:numFmt w:val="decimal"/>
      <w:lvlText w:val="%4."/>
      <w:lvlJc w:val="left"/>
      <w:pPr>
        <w:ind w:left="2877" w:hanging="360"/>
      </w:pPr>
    </w:lvl>
    <w:lvl w:ilvl="4" w:tplc="41441BDA" w:tentative="1">
      <w:start w:val="1"/>
      <w:numFmt w:val="lowerLetter"/>
      <w:lvlText w:val="%5."/>
      <w:lvlJc w:val="left"/>
      <w:pPr>
        <w:ind w:left="3597" w:hanging="360"/>
      </w:pPr>
    </w:lvl>
    <w:lvl w:ilvl="5" w:tplc="CEC27034" w:tentative="1">
      <w:start w:val="1"/>
      <w:numFmt w:val="lowerRoman"/>
      <w:lvlText w:val="%6."/>
      <w:lvlJc w:val="right"/>
      <w:pPr>
        <w:ind w:left="4317" w:hanging="180"/>
      </w:pPr>
    </w:lvl>
    <w:lvl w:ilvl="6" w:tplc="D708D52C" w:tentative="1">
      <w:start w:val="1"/>
      <w:numFmt w:val="decimal"/>
      <w:lvlText w:val="%7."/>
      <w:lvlJc w:val="left"/>
      <w:pPr>
        <w:ind w:left="5037" w:hanging="360"/>
      </w:pPr>
    </w:lvl>
    <w:lvl w:ilvl="7" w:tplc="7EEEDC62" w:tentative="1">
      <w:start w:val="1"/>
      <w:numFmt w:val="lowerLetter"/>
      <w:lvlText w:val="%8."/>
      <w:lvlJc w:val="left"/>
      <w:pPr>
        <w:ind w:left="5757" w:hanging="360"/>
      </w:pPr>
    </w:lvl>
    <w:lvl w:ilvl="8" w:tplc="433CDB9C" w:tentative="1">
      <w:start w:val="1"/>
      <w:numFmt w:val="lowerRoman"/>
      <w:lvlText w:val="%9."/>
      <w:lvlJc w:val="right"/>
      <w:pPr>
        <w:ind w:left="6477" w:hanging="180"/>
      </w:pPr>
    </w:lvl>
  </w:abstractNum>
  <w:abstractNum w:abstractNumId="11" w15:restartNumberingAfterBreak="0">
    <w:nsid w:val="5D943BEE"/>
    <w:multiLevelType w:val="multilevel"/>
    <w:tmpl w:val="222A08B4"/>
    <w:lvl w:ilvl="0">
      <w:start w:val="1"/>
      <w:numFmt w:val="decimal"/>
      <w:pStyle w:val="CBDNormalNumber"/>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567"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2" w15:restartNumberingAfterBreak="0">
    <w:nsid w:val="61525BF5"/>
    <w:multiLevelType w:val="multilevel"/>
    <w:tmpl w:val="168C760E"/>
    <w:lvl w:ilvl="0">
      <w:start w:val="1"/>
      <w:numFmt w:val="decimal"/>
      <w:lvlText w:val="%1."/>
      <w:lvlJc w:val="left"/>
      <w:pPr>
        <w:ind w:left="567" w:firstLine="0"/>
      </w:pPr>
      <w:rPr>
        <w:rFonts w:ascii="Times New Roman" w:hAnsi="Times New Roman" w:cs="Times New Roman" w:hint="default"/>
        <w:b w:val="0"/>
        <w:bCs w:val="0"/>
        <w:i w:val="0"/>
        <w:iCs w:val="0"/>
        <w:color w:val="auto"/>
        <w:sz w:val="22"/>
      </w:rPr>
    </w:lvl>
    <w:lvl w:ilvl="1">
      <w:start w:val="1"/>
      <w:numFmt w:val="lowerLetter"/>
      <w:lvlText w:val="%2)"/>
      <w:lvlJc w:val="left"/>
      <w:pPr>
        <w:ind w:left="1135" w:firstLine="567"/>
      </w:pPr>
      <w:rPr>
        <w:rFonts w:ascii="Times New Roman" w:hAnsi="Times New Roman" w:hint="default"/>
        <w:b w:val="0"/>
        <w:i w:val="0"/>
        <w:sz w:val="22"/>
      </w:rPr>
    </w:lvl>
    <w:lvl w:ilvl="2">
      <w:start w:val="1"/>
      <w:numFmt w:val="lowerRoman"/>
      <w:lvlText w:val="(%3)"/>
      <w:lvlJc w:val="left"/>
      <w:pPr>
        <w:ind w:left="2268" w:hanging="567"/>
      </w:pPr>
      <w:rPr>
        <w:rFonts w:ascii="Times New Roman" w:hAnsi="Times New Roman" w:hint="default"/>
        <w:sz w:val="22"/>
      </w:rPr>
    </w:lvl>
    <w:lvl w:ilvl="3">
      <w:start w:val="1"/>
      <w:numFmt w:val="decimal"/>
      <w:lvlText w:val="(%4)"/>
      <w:lvlJc w:val="left"/>
      <w:pPr>
        <w:ind w:left="2835" w:hanging="567"/>
      </w:pPr>
      <w:rPr>
        <w:rFonts w:ascii="Times New Roman" w:hAnsi="Times New Roman" w:hint="default"/>
        <w:sz w:val="22"/>
      </w:rPr>
    </w:lvl>
    <w:lvl w:ilvl="4">
      <w:start w:val="1"/>
      <w:numFmt w:val="lowerLetter"/>
      <w:lvlText w:val="(%5)"/>
      <w:lvlJc w:val="left"/>
      <w:pPr>
        <w:ind w:left="3402" w:hanging="567"/>
      </w:pPr>
      <w:rPr>
        <w:rFonts w:hint="default"/>
      </w:rPr>
    </w:lvl>
    <w:lvl w:ilvl="5">
      <w:start w:val="1"/>
      <w:numFmt w:val="lowerRoman"/>
      <w:lvlText w:val="(%6)"/>
      <w:lvlJc w:val="left"/>
      <w:pPr>
        <w:ind w:left="2826" w:hanging="360"/>
      </w:pPr>
      <w:rPr>
        <w:rFonts w:hint="default"/>
      </w:rPr>
    </w:lvl>
    <w:lvl w:ilvl="6">
      <w:start w:val="1"/>
      <w:numFmt w:val="decimal"/>
      <w:lvlText w:val="%7."/>
      <w:lvlJc w:val="left"/>
      <w:pPr>
        <w:ind w:left="3186" w:hanging="360"/>
      </w:pPr>
      <w:rPr>
        <w:rFonts w:hint="default"/>
      </w:rPr>
    </w:lvl>
    <w:lvl w:ilvl="7">
      <w:start w:val="1"/>
      <w:numFmt w:val="lowerLetter"/>
      <w:lvlText w:val="%8."/>
      <w:lvlJc w:val="left"/>
      <w:pPr>
        <w:ind w:left="3546" w:hanging="360"/>
      </w:pPr>
      <w:rPr>
        <w:rFonts w:hint="default"/>
      </w:rPr>
    </w:lvl>
    <w:lvl w:ilvl="8">
      <w:start w:val="1"/>
      <w:numFmt w:val="lowerRoman"/>
      <w:lvlText w:val="%9."/>
      <w:lvlJc w:val="left"/>
      <w:pPr>
        <w:ind w:left="3906" w:hanging="360"/>
      </w:pPr>
      <w:rPr>
        <w:rFonts w:hint="default"/>
      </w:rPr>
    </w:lvl>
  </w:abstractNum>
  <w:abstractNum w:abstractNumId="13" w15:restartNumberingAfterBreak="0">
    <w:nsid w:val="625C27B0"/>
    <w:multiLevelType w:val="hybridMultilevel"/>
    <w:tmpl w:val="824290B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322EBF"/>
    <w:multiLevelType w:val="hybridMultilevel"/>
    <w:tmpl w:val="094280EA"/>
    <w:lvl w:ilvl="0" w:tplc="A52C1CA2">
      <w:start w:val="1"/>
      <w:numFmt w:val="lowerLetter"/>
      <w:lvlText w:val="%1)"/>
      <w:lvlJc w:val="left"/>
      <w:pPr>
        <w:ind w:left="360" w:hanging="360"/>
      </w:pPr>
      <w:rPr>
        <w:rFonts w:hint="default"/>
      </w:rPr>
    </w:lvl>
    <w:lvl w:ilvl="1" w:tplc="DE5E7612" w:tentative="1">
      <w:start w:val="1"/>
      <w:numFmt w:val="lowerLetter"/>
      <w:lvlText w:val="%2."/>
      <w:lvlJc w:val="left"/>
      <w:pPr>
        <w:ind w:left="1437" w:hanging="360"/>
      </w:pPr>
    </w:lvl>
    <w:lvl w:ilvl="2" w:tplc="EE56E5B6" w:tentative="1">
      <w:start w:val="1"/>
      <w:numFmt w:val="lowerRoman"/>
      <w:lvlText w:val="%3."/>
      <w:lvlJc w:val="right"/>
      <w:pPr>
        <w:ind w:left="2157" w:hanging="180"/>
      </w:pPr>
    </w:lvl>
    <w:lvl w:ilvl="3" w:tplc="04800A2C" w:tentative="1">
      <w:start w:val="1"/>
      <w:numFmt w:val="decimal"/>
      <w:lvlText w:val="%4."/>
      <w:lvlJc w:val="left"/>
      <w:pPr>
        <w:ind w:left="2877" w:hanging="360"/>
      </w:pPr>
    </w:lvl>
    <w:lvl w:ilvl="4" w:tplc="A41EBC3A" w:tentative="1">
      <w:start w:val="1"/>
      <w:numFmt w:val="lowerLetter"/>
      <w:lvlText w:val="%5."/>
      <w:lvlJc w:val="left"/>
      <w:pPr>
        <w:ind w:left="3597" w:hanging="360"/>
      </w:pPr>
    </w:lvl>
    <w:lvl w:ilvl="5" w:tplc="8814D28A" w:tentative="1">
      <w:start w:val="1"/>
      <w:numFmt w:val="lowerRoman"/>
      <w:lvlText w:val="%6."/>
      <w:lvlJc w:val="right"/>
      <w:pPr>
        <w:ind w:left="4317" w:hanging="180"/>
      </w:pPr>
    </w:lvl>
    <w:lvl w:ilvl="6" w:tplc="7EC01298" w:tentative="1">
      <w:start w:val="1"/>
      <w:numFmt w:val="decimal"/>
      <w:lvlText w:val="%7."/>
      <w:lvlJc w:val="left"/>
      <w:pPr>
        <w:ind w:left="5037" w:hanging="360"/>
      </w:pPr>
    </w:lvl>
    <w:lvl w:ilvl="7" w:tplc="95CC4926" w:tentative="1">
      <w:start w:val="1"/>
      <w:numFmt w:val="lowerLetter"/>
      <w:lvlText w:val="%8."/>
      <w:lvlJc w:val="left"/>
      <w:pPr>
        <w:ind w:left="5757" w:hanging="360"/>
      </w:pPr>
    </w:lvl>
    <w:lvl w:ilvl="8" w:tplc="8E4CA3DE" w:tentative="1">
      <w:start w:val="1"/>
      <w:numFmt w:val="lowerRoman"/>
      <w:lvlText w:val="%9."/>
      <w:lvlJc w:val="right"/>
      <w:pPr>
        <w:ind w:left="6477" w:hanging="180"/>
      </w:pPr>
    </w:lvl>
  </w:abstractNum>
  <w:abstractNum w:abstractNumId="15" w15:restartNumberingAfterBreak="0">
    <w:nsid w:val="6D191DF4"/>
    <w:multiLevelType w:val="multilevel"/>
    <w:tmpl w:val="07D269C8"/>
    <w:styleLink w:val="CBDHeadings"/>
    <w:lvl w:ilvl="0">
      <w:start w:val="1"/>
      <w:numFmt w:val="upperRoman"/>
      <w:pStyle w:val="Heading1"/>
      <w:lvlText w:val="%1."/>
      <w:lvlJc w:val="left"/>
      <w:pPr>
        <w:tabs>
          <w:tab w:val="num" w:pos="567"/>
        </w:tabs>
        <w:ind w:left="567" w:hanging="567"/>
      </w:pPr>
      <w:rPr>
        <w:rFonts w:ascii="Times New Roman" w:hAnsi="Times New Roman" w:hint="default"/>
        <w:sz w:val="28"/>
      </w:rPr>
    </w:lvl>
    <w:lvl w:ilvl="1">
      <w:start w:val="1"/>
      <w:numFmt w:val="upperLetter"/>
      <w:pStyle w:val="Heading2"/>
      <w:lvlText w:val="%2."/>
      <w:lvlJc w:val="left"/>
      <w:pPr>
        <w:tabs>
          <w:tab w:val="num" w:pos="567"/>
        </w:tabs>
        <w:ind w:left="567" w:hanging="567"/>
      </w:pPr>
      <w:rPr>
        <w:rFonts w:ascii="Times New Roman Bold" w:hAnsi="Times New Roman Bold" w:hint="default"/>
        <w:b/>
        <w:bCs/>
        <w:i w:val="0"/>
        <w:iCs w:val="0"/>
        <w:sz w:val="24"/>
        <w:szCs w:val="24"/>
      </w:rPr>
    </w:lvl>
    <w:lvl w:ilvl="2">
      <w:start w:val="1"/>
      <w:numFmt w:val="decimal"/>
      <w:pStyle w:val="Heading3"/>
      <w:lvlText w:val="%3."/>
      <w:lvlJc w:val="left"/>
      <w:pPr>
        <w:tabs>
          <w:tab w:val="num" w:pos="567"/>
        </w:tabs>
        <w:ind w:left="567" w:hanging="567"/>
      </w:pPr>
      <w:rPr>
        <w:rFonts w:ascii="Times New Roman Bold" w:hAnsi="Times New Roman Bold" w:hint="default"/>
        <w:b/>
        <w:i w:val="0"/>
        <w:sz w:val="22"/>
      </w:rPr>
    </w:lvl>
    <w:lvl w:ilvl="3">
      <w:start w:val="1"/>
      <w:numFmt w:val="lowerLetter"/>
      <w:pStyle w:val="Heading4"/>
      <w:lvlText w:val="(%4)"/>
      <w:lvlJc w:val="left"/>
      <w:pPr>
        <w:tabs>
          <w:tab w:val="num" w:pos="567"/>
        </w:tabs>
        <w:ind w:left="567" w:hanging="567"/>
      </w:pPr>
      <w:rPr>
        <w:rFonts w:ascii="Times New Roman Bold" w:hAnsi="Times New Roman Bold" w:hint="default"/>
        <w:b/>
        <w:i w:val="0"/>
        <w:sz w:val="22"/>
      </w:rPr>
    </w:lvl>
    <w:lvl w:ilvl="4">
      <w:start w:val="1"/>
      <w:numFmt w:val="lowerRoman"/>
      <w:pStyle w:val="Heading5"/>
      <w:lvlText w:val="(%5)"/>
      <w:lvlJc w:val="left"/>
      <w:pPr>
        <w:tabs>
          <w:tab w:val="num" w:pos="567"/>
        </w:tabs>
        <w:ind w:left="567" w:hanging="567"/>
      </w:pPr>
      <w:rPr>
        <w:rFonts w:ascii="Times New Roman" w:hAnsi="Times New Roman" w:hint="default"/>
        <w:b w:val="0"/>
        <w:i/>
        <w:sz w:val="2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ED82968"/>
    <w:multiLevelType w:val="hybridMultilevel"/>
    <w:tmpl w:val="FE162F2C"/>
    <w:lvl w:ilvl="0" w:tplc="FCC485E0">
      <w:start w:val="1"/>
      <w:numFmt w:val="bullet"/>
      <w:pStyle w:val="CBD-Doc"/>
      <w:lvlText w:val=""/>
      <w:lvlJc w:val="left"/>
      <w:pPr>
        <w:tabs>
          <w:tab w:val="num" w:pos="567"/>
        </w:tabs>
        <w:ind w:left="567" w:hanging="567"/>
      </w:pPr>
      <w:rPr>
        <w:rFonts w:ascii="Symbol" w:hAnsi="Symbol" w:hint="default"/>
      </w:rPr>
    </w:lvl>
    <w:lvl w:ilvl="1" w:tplc="4C5AAB80" w:tentative="1">
      <w:start w:val="1"/>
      <w:numFmt w:val="bullet"/>
      <w:lvlText w:val="o"/>
      <w:lvlJc w:val="left"/>
      <w:pPr>
        <w:tabs>
          <w:tab w:val="num" w:pos="1440"/>
        </w:tabs>
        <w:ind w:left="1440" w:hanging="360"/>
      </w:pPr>
      <w:rPr>
        <w:rFonts w:ascii="Courier New" w:hAnsi="Courier New" w:cs="Courier New" w:hint="default"/>
      </w:rPr>
    </w:lvl>
    <w:lvl w:ilvl="2" w:tplc="CA104A0A" w:tentative="1">
      <w:start w:val="1"/>
      <w:numFmt w:val="bullet"/>
      <w:lvlText w:val=""/>
      <w:lvlJc w:val="left"/>
      <w:pPr>
        <w:tabs>
          <w:tab w:val="num" w:pos="2160"/>
        </w:tabs>
        <w:ind w:left="2160" w:hanging="360"/>
      </w:pPr>
      <w:rPr>
        <w:rFonts w:ascii="Wingdings" w:hAnsi="Wingdings" w:hint="default"/>
      </w:rPr>
    </w:lvl>
    <w:lvl w:ilvl="3" w:tplc="DCAA0292" w:tentative="1">
      <w:start w:val="1"/>
      <w:numFmt w:val="bullet"/>
      <w:lvlText w:val=""/>
      <w:lvlJc w:val="left"/>
      <w:pPr>
        <w:tabs>
          <w:tab w:val="num" w:pos="2880"/>
        </w:tabs>
        <w:ind w:left="2880" w:hanging="360"/>
      </w:pPr>
      <w:rPr>
        <w:rFonts w:ascii="Symbol" w:hAnsi="Symbol" w:hint="default"/>
      </w:rPr>
    </w:lvl>
    <w:lvl w:ilvl="4" w:tplc="EBA6E706" w:tentative="1">
      <w:start w:val="1"/>
      <w:numFmt w:val="bullet"/>
      <w:lvlText w:val="o"/>
      <w:lvlJc w:val="left"/>
      <w:pPr>
        <w:tabs>
          <w:tab w:val="num" w:pos="3600"/>
        </w:tabs>
        <w:ind w:left="3600" w:hanging="360"/>
      </w:pPr>
      <w:rPr>
        <w:rFonts w:ascii="Courier New" w:hAnsi="Courier New" w:cs="Courier New" w:hint="default"/>
      </w:rPr>
    </w:lvl>
    <w:lvl w:ilvl="5" w:tplc="545E0208" w:tentative="1">
      <w:start w:val="1"/>
      <w:numFmt w:val="bullet"/>
      <w:lvlText w:val=""/>
      <w:lvlJc w:val="left"/>
      <w:pPr>
        <w:tabs>
          <w:tab w:val="num" w:pos="4320"/>
        </w:tabs>
        <w:ind w:left="4320" w:hanging="360"/>
      </w:pPr>
      <w:rPr>
        <w:rFonts w:ascii="Wingdings" w:hAnsi="Wingdings" w:hint="default"/>
      </w:rPr>
    </w:lvl>
    <w:lvl w:ilvl="6" w:tplc="64048BC0" w:tentative="1">
      <w:start w:val="1"/>
      <w:numFmt w:val="bullet"/>
      <w:lvlText w:val=""/>
      <w:lvlJc w:val="left"/>
      <w:pPr>
        <w:tabs>
          <w:tab w:val="num" w:pos="5040"/>
        </w:tabs>
        <w:ind w:left="5040" w:hanging="360"/>
      </w:pPr>
      <w:rPr>
        <w:rFonts w:ascii="Symbol" w:hAnsi="Symbol" w:hint="default"/>
      </w:rPr>
    </w:lvl>
    <w:lvl w:ilvl="7" w:tplc="D2103A06" w:tentative="1">
      <w:start w:val="1"/>
      <w:numFmt w:val="bullet"/>
      <w:lvlText w:val="o"/>
      <w:lvlJc w:val="left"/>
      <w:pPr>
        <w:tabs>
          <w:tab w:val="num" w:pos="5760"/>
        </w:tabs>
        <w:ind w:left="5760" w:hanging="360"/>
      </w:pPr>
      <w:rPr>
        <w:rFonts w:ascii="Courier New" w:hAnsi="Courier New" w:cs="Courier New" w:hint="default"/>
      </w:rPr>
    </w:lvl>
    <w:lvl w:ilvl="8" w:tplc="4ADEB54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F7321D"/>
    <w:multiLevelType w:val="multilevel"/>
    <w:tmpl w:val="035AFA5E"/>
    <w:lvl w:ilvl="0">
      <w:start w:val="1"/>
      <w:numFmt w:val="upperRoman"/>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18" w15:restartNumberingAfterBreak="0">
    <w:nsid w:val="7F9C65DA"/>
    <w:multiLevelType w:val="hybridMultilevel"/>
    <w:tmpl w:val="397E01DA"/>
    <w:lvl w:ilvl="0" w:tplc="FB44E950">
      <w:start w:val="1"/>
      <w:numFmt w:val="lowerLetter"/>
      <w:lvlText w:val="%1)"/>
      <w:lvlJc w:val="left"/>
      <w:pPr>
        <w:ind w:left="360" w:hanging="360"/>
      </w:pPr>
      <w:rPr>
        <w:rFonts w:hint="default"/>
      </w:rPr>
    </w:lvl>
    <w:lvl w:ilvl="1" w:tplc="4088F276" w:tentative="1">
      <w:start w:val="1"/>
      <w:numFmt w:val="lowerLetter"/>
      <w:lvlText w:val="%2."/>
      <w:lvlJc w:val="left"/>
      <w:pPr>
        <w:ind w:left="1080" w:hanging="360"/>
      </w:pPr>
    </w:lvl>
    <w:lvl w:ilvl="2" w:tplc="29E6E99A" w:tentative="1">
      <w:start w:val="1"/>
      <w:numFmt w:val="lowerRoman"/>
      <w:lvlText w:val="%3."/>
      <w:lvlJc w:val="right"/>
      <w:pPr>
        <w:ind w:left="1800" w:hanging="180"/>
      </w:pPr>
    </w:lvl>
    <w:lvl w:ilvl="3" w:tplc="6F580F5C" w:tentative="1">
      <w:start w:val="1"/>
      <w:numFmt w:val="decimal"/>
      <w:lvlText w:val="%4."/>
      <w:lvlJc w:val="left"/>
      <w:pPr>
        <w:ind w:left="2520" w:hanging="360"/>
      </w:pPr>
    </w:lvl>
    <w:lvl w:ilvl="4" w:tplc="BF5CB078" w:tentative="1">
      <w:start w:val="1"/>
      <w:numFmt w:val="lowerLetter"/>
      <w:lvlText w:val="%5."/>
      <w:lvlJc w:val="left"/>
      <w:pPr>
        <w:ind w:left="3240" w:hanging="360"/>
      </w:pPr>
    </w:lvl>
    <w:lvl w:ilvl="5" w:tplc="73D0762A" w:tentative="1">
      <w:start w:val="1"/>
      <w:numFmt w:val="lowerRoman"/>
      <w:lvlText w:val="%6."/>
      <w:lvlJc w:val="right"/>
      <w:pPr>
        <w:ind w:left="3960" w:hanging="180"/>
      </w:pPr>
    </w:lvl>
    <w:lvl w:ilvl="6" w:tplc="B07E612E" w:tentative="1">
      <w:start w:val="1"/>
      <w:numFmt w:val="decimal"/>
      <w:lvlText w:val="%7."/>
      <w:lvlJc w:val="left"/>
      <w:pPr>
        <w:ind w:left="4680" w:hanging="360"/>
      </w:pPr>
    </w:lvl>
    <w:lvl w:ilvl="7" w:tplc="A5DEB8CE" w:tentative="1">
      <w:start w:val="1"/>
      <w:numFmt w:val="lowerLetter"/>
      <w:lvlText w:val="%8."/>
      <w:lvlJc w:val="left"/>
      <w:pPr>
        <w:ind w:left="5400" w:hanging="360"/>
      </w:pPr>
    </w:lvl>
    <w:lvl w:ilvl="8" w:tplc="4030F41E" w:tentative="1">
      <w:start w:val="1"/>
      <w:numFmt w:val="lowerRoman"/>
      <w:lvlText w:val="%9."/>
      <w:lvlJc w:val="right"/>
      <w:pPr>
        <w:ind w:left="6120" w:hanging="180"/>
      </w:pPr>
    </w:lvl>
  </w:abstractNum>
  <w:num w:numId="1" w16cid:durableId="1968780466">
    <w:abstractNumId w:val="9"/>
  </w:num>
  <w:num w:numId="2" w16cid:durableId="1677919157">
    <w:abstractNumId w:val="7"/>
  </w:num>
  <w:num w:numId="3" w16cid:durableId="686489942">
    <w:abstractNumId w:val="16"/>
  </w:num>
  <w:num w:numId="4" w16cid:durableId="1128667768">
    <w:abstractNumId w:val="17"/>
  </w:num>
  <w:num w:numId="5" w16cid:durableId="1932659339">
    <w:abstractNumId w:val="8"/>
  </w:num>
  <w:num w:numId="6" w16cid:durableId="1139811045">
    <w:abstractNumId w:val="15"/>
  </w:num>
  <w:num w:numId="7" w16cid:durableId="522977508">
    <w:abstractNumId w:val="11"/>
  </w:num>
  <w:num w:numId="8" w16cid:durableId="1635911241">
    <w:abstractNumId w:val="12"/>
  </w:num>
  <w:num w:numId="9" w16cid:durableId="1145320100">
    <w:abstractNumId w:val="4"/>
  </w:num>
  <w:num w:numId="10" w16cid:durableId="920793194">
    <w:abstractNumId w:val="18"/>
  </w:num>
  <w:num w:numId="11" w16cid:durableId="492373638">
    <w:abstractNumId w:val="0"/>
  </w:num>
  <w:num w:numId="12" w16cid:durableId="2028405081">
    <w:abstractNumId w:val="14"/>
  </w:num>
  <w:num w:numId="13" w16cid:durableId="799811741">
    <w:abstractNumId w:val="10"/>
  </w:num>
  <w:num w:numId="14" w16cid:durableId="2002997660">
    <w:abstractNumId w:val="1"/>
  </w:num>
  <w:num w:numId="15" w16cid:durableId="888609577">
    <w:abstractNumId w:val="6"/>
  </w:num>
  <w:num w:numId="16" w16cid:durableId="666248174">
    <w:abstractNumId w:val="5"/>
  </w:num>
  <w:num w:numId="17" w16cid:durableId="674965228">
    <w:abstractNumId w:val="13"/>
  </w:num>
  <w:num w:numId="18" w16cid:durableId="167332275">
    <w:abstractNumId w:val="2"/>
  </w:num>
  <w:num w:numId="19" w16cid:durableId="454063142">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49"/>
    <w:rsid w:val="00001025"/>
    <w:rsid w:val="000035E4"/>
    <w:rsid w:val="00003929"/>
    <w:rsid w:val="00003B54"/>
    <w:rsid w:val="0000477B"/>
    <w:rsid w:val="00004F58"/>
    <w:rsid w:val="00005CF9"/>
    <w:rsid w:val="0000692B"/>
    <w:rsid w:val="000071A4"/>
    <w:rsid w:val="000076A4"/>
    <w:rsid w:val="00007856"/>
    <w:rsid w:val="00010EBE"/>
    <w:rsid w:val="0001633C"/>
    <w:rsid w:val="00023CEE"/>
    <w:rsid w:val="00024BC2"/>
    <w:rsid w:val="00025DBC"/>
    <w:rsid w:val="00030117"/>
    <w:rsid w:val="000304BD"/>
    <w:rsid w:val="000306C9"/>
    <w:rsid w:val="00031614"/>
    <w:rsid w:val="00032F9B"/>
    <w:rsid w:val="00033C53"/>
    <w:rsid w:val="00034F10"/>
    <w:rsid w:val="00036E86"/>
    <w:rsid w:val="000371B8"/>
    <w:rsid w:val="000416FD"/>
    <w:rsid w:val="0004182C"/>
    <w:rsid w:val="00044919"/>
    <w:rsid w:val="000453EF"/>
    <w:rsid w:val="0004586E"/>
    <w:rsid w:val="000459EB"/>
    <w:rsid w:val="0004766B"/>
    <w:rsid w:val="00055AC9"/>
    <w:rsid w:val="00057539"/>
    <w:rsid w:val="00062144"/>
    <w:rsid w:val="00062D65"/>
    <w:rsid w:val="00064782"/>
    <w:rsid w:val="00064F6A"/>
    <w:rsid w:val="00071117"/>
    <w:rsid w:val="000712A8"/>
    <w:rsid w:val="0007171B"/>
    <w:rsid w:val="000729D6"/>
    <w:rsid w:val="00072F97"/>
    <w:rsid w:val="0007344C"/>
    <w:rsid w:val="00073AFB"/>
    <w:rsid w:val="00074975"/>
    <w:rsid w:val="00075186"/>
    <w:rsid w:val="00075ABD"/>
    <w:rsid w:val="00075B45"/>
    <w:rsid w:val="0007695E"/>
    <w:rsid w:val="00082140"/>
    <w:rsid w:val="0008286E"/>
    <w:rsid w:val="0008616D"/>
    <w:rsid w:val="00091028"/>
    <w:rsid w:val="000919A5"/>
    <w:rsid w:val="00092003"/>
    <w:rsid w:val="00092377"/>
    <w:rsid w:val="00092F35"/>
    <w:rsid w:val="000947DD"/>
    <w:rsid w:val="00094AA5"/>
    <w:rsid w:val="00096EF2"/>
    <w:rsid w:val="000A0A20"/>
    <w:rsid w:val="000A2E04"/>
    <w:rsid w:val="000A3F88"/>
    <w:rsid w:val="000A6374"/>
    <w:rsid w:val="000A7E05"/>
    <w:rsid w:val="000B0822"/>
    <w:rsid w:val="000B79BD"/>
    <w:rsid w:val="000B7AF0"/>
    <w:rsid w:val="000C199E"/>
    <w:rsid w:val="000C34D6"/>
    <w:rsid w:val="000C5304"/>
    <w:rsid w:val="000D0B53"/>
    <w:rsid w:val="000D0F68"/>
    <w:rsid w:val="000D2F87"/>
    <w:rsid w:val="000D4AD7"/>
    <w:rsid w:val="000D5FA5"/>
    <w:rsid w:val="000D653A"/>
    <w:rsid w:val="000E4150"/>
    <w:rsid w:val="000E673A"/>
    <w:rsid w:val="000F2CAB"/>
    <w:rsid w:val="000F3820"/>
    <w:rsid w:val="000F3A22"/>
    <w:rsid w:val="000F6945"/>
    <w:rsid w:val="000F74F5"/>
    <w:rsid w:val="000F78FC"/>
    <w:rsid w:val="0010190C"/>
    <w:rsid w:val="001029D3"/>
    <w:rsid w:val="00102CBF"/>
    <w:rsid w:val="001031DF"/>
    <w:rsid w:val="00104F21"/>
    <w:rsid w:val="00105372"/>
    <w:rsid w:val="001053B8"/>
    <w:rsid w:val="001054A6"/>
    <w:rsid w:val="00105ED7"/>
    <w:rsid w:val="00106B26"/>
    <w:rsid w:val="00106ED0"/>
    <w:rsid w:val="0010725C"/>
    <w:rsid w:val="001077E5"/>
    <w:rsid w:val="001078A1"/>
    <w:rsid w:val="001112C9"/>
    <w:rsid w:val="00113C4E"/>
    <w:rsid w:val="00113ED8"/>
    <w:rsid w:val="00116510"/>
    <w:rsid w:val="00125744"/>
    <w:rsid w:val="001264E7"/>
    <w:rsid w:val="001312AD"/>
    <w:rsid w:val="00131755"/>
    <w:rsid w:val="00131A3E"/>
    <w:rsid w:val="00131E7A"/>
    <w:rsid w:val="0013305D"/>
    <w:rsid w:val="00133F4B"/>
    <w:rsid w:val="00134846"/>
    <w:rsid w:val="00135093"/>
    <w:rsid w:val="00136151"/>
    <w:rsid w:val="001402BD"/>
    <w:rsid w:val="00140ED5"/>
    <w:rsid w:val="00143E47"/>
    <w:rsid w:val="00145AB4"/>
    <w:rsid w:val="00146424"/>
    <w:rsid w:val="00156A04"/>
    <w:rsid w:val="001579AB"/>
    <w:rsid w:val="00157D24"/>
    <w:rsid w:val="00157F92"/>
    <w:rsid w:val="00162B1B"/>
    <w:rsid w:val="00162BF4"/>
    <w:rsid w:val="0016339C"/>
    <w:rsid w:val="00164329"/>
    <w:rsid w:val="00167962"/>
    <w:rsid w:val="00167CD0"/>
    <w:rsid w:val="0017024B"/>
    <w:rsid w:val="001702A8"/>
    <w:rsid w:val="00170B13"/>
    <w:rsid w:val="00171825"/>
    <w:rsid w:val="00171B6E"/>
    <w:rsid w:val="00172A6F"/>
    <w:rsid w:val="00172AF6"/>
    <w:rsid w:val="0017387C"/>
    <w:rsid w:val="00176CEE"/>
    <w:rsid w:val="001775A4"/>
    <w:rsid w:val="00180B63"/>
    <w:rsid w:val="00180E0C"/>
    <w:rsid w:val="001826DD"/>
    <w:rsid w:val="00183856"/>
    <w:rsid w:val="0018560D"/>
    <w:rsid w:val="00186DD8"/>
    <w:rsid w:val="00190396"/>
    <w:rsid w:val="001916D7"/>
    <w:rsid w:val="00194607"/>
    <w:rsid w:val="001A0340"/>
    <w:rsid w:val="001A1C35"/>
    <w:rsid w:val="001A2715"/>
    <w:rsid w:val="001A32EE"/>
    <w:rsid w:val="001A35EC"/>
    <w:rsid w:val="001A4BD0"/>
    <w:rsid w:val="001B13FE"/>
    <w:rsid w:val="001B1EB2"/>
    <w:rsid w:val="001B4F77"/>
    <w:rsid w:val="001B7CEB"/>
    <w:rsid w:val="001C065A"/>
    <w:rsid w:val="001C124E"/>
    <w:rsid w:val="001C532F"/>
    <w:rsid w:val="001C6A88"/>
    <w:rsid w:val="001D0868"/>
    <w:rsid w:val="001D3AA0"/>
    <w:rsid w:val="001E24CF"/>
    <w:rsid w:val="001E2527"/>
    <w:rsid w:val="001E37DD"/>
    <w:rsid w:val="001E745E"/>
    <w:rsid w:val="001F276A"/>
    <w:rsid w:val="001F4AB4"/>
    <w:rsid w:val="001F5F72"/>
    <w:rsid w:val="00203141"/>
    <w:rsid w:val="00203206"/>
    <w:rsid w:val="002036CC"/>
    <w:rsid w:val="00203B0C"/>
    <w:rsid w:val="00203DB9"/>
    <w:rsid w:val="002059E6"/>
    <w:rsid w:val="00206488"/>
    <w:rsid w:val="00210E07"/>
    <w:rsid w:val="0021246C"/>
    <w:rsid w:val="00213132"/>
    <w:rsid w:val="00214D32"/>
    <w:rsid w:val="00217B35"/>
    <w:rsid w:val="002218D6"/>
    <w:rsid w:val="00222225"/>
    <w:rsid w:val="0022373B"/>
    <w:rsid w:val="00223A2A"/>
    <w:rsid w:val="002243CA"/>
    <w:rsid w:val="00227D0F"/>
    <w:rsid w:val="002313EF"/>
    <w:rsid w:val="002327C9"/>
    <w:rsid w:val="00233796"/>
    <w:rsid w:val="0023681F"/>
    <w:rsid w:val="0024292D"/>
    <w:rsid w:val="0024334F"/>
    <w:rsid w:val="002438B4"/>
    <w:rsid w:val="00243AAE"/>
    <w:rsid w:val="0024519F"/>
    <w:rsid w:val="0025052A"/>
    <w:rsid w:val="00250616"/>
    <w:rsid w:val="002536EF"/>
    <w:rsid w:val="00255217"/>
    <w:rsid w:val="00256042"/>
    <w:rsid w:val="00257789"/>
    <w:rsid w:val="0026196F"/>
    <w:rsid w:val="00262221"/>
    <w:rsid w:val="0026470E"/>
    <w:rsid w:val="00264CAA"/>
    <w:rsid w:val="00271357"/>
    <w:rsid w:val="0027223E"/>
    <w:rsid w:val="002724C6"/>
    <w:rsid w:val="002731B1"/>
    <w:rsid w:val="002768FE"/>
    <w:rsid w:val="00283F4B"/>
    <w:rsid w:val="0028532E"/>
    <w:rsid w:val="00285BD8"/>
    <w:rsid w:val="002924F2"/>
    <w:rsid w:val="00293A08"/>
    <w:rsid w:val="002959B8"/>
    <w:rsid w:val="00295D70"/>
    <w:rsid w:val="00296688"/>
    <w:rsid w:val="002A1433"/>
    <w:rsid w:val="002A150B"/>
    <w:rsid w:val="002A15C6"/>
    <w:rsid w:val="002B24E6"/>
    <w:rsid w:val="002B4C10"/>
    <w:rsid w:val="002B4E4C"/>
    <w:rsid w:val="002B55E3"/>
    <w:rsid w:val="002B5944"/>
    <w:rsid w:val="002B617B"/>
    <w:rsid w:val="002C212F"/>
    <w:rsid w:val="002C2C03"/>
    <w:rsid w:val="002C41C5"/>
    <w:rsid w:val="002C566A"/>
    <w:rsid w:val="002C777E"/>
    <w:rsid w:val="002D02A3"/>
    <w:rsid w:val="002D1402"/>
    <w:rsid w:val="002D1671"/>
    <w:rsid w:val="002D30B6"/>
    <w:rsid w:val="002D3B57"/>
    <w:rsid w:val="002D499A"/>
    <w:rsid w:val="002D58C6"/>
    <w:rsid w:val="002D5FFA"/>
    <w:rsid w:val="002D7373"/>
    <w:rsid w:val="002E3959"/>
    <w:rsid w:val="002E3C26"/>
    <w:rsid w:val="002E4F9D"/>
    <w:rsid w:val="002F0C3D"/>
    <w:rsid w:val="002F266F"/>
    <w:rsid w:val="002F380E"/>
    <w:rsid w:val="002F3922"/>
    <w:rsid w:val="002F3ABC"/>
    <w:rsid w:val="002F4DBA"/>
    <w:rsid w:val="002F7DB9"/>
    <w:rsid w:val="003008FE"/>
    <w:rsid w:val="00300A55"/>
    <w:rsid w:val="0030169D"/>
    <w:rsid w:val="00301733"/>
    <w:rsid w:val="003060EB"/>
    <w:rsid w:val="00306EDB"/>
    <w:rsid w:val="00310E30"/>
    <w:rsid w:val="00311C48"/>
    <w:rsid w:val="003138EF"/>
    <w:rsid w:val="00314893"/>
    <w:rsid w:val="003153EB"/>
    <w:rsid w:val="00315D6A"/>
    <w:rsid w:val="003166E6"/>
    <w:rsid w:val="00317DE0"/>
    <w:rsid w:val="00320BE9"/>
    <w:rsid w:val="0032136E"/>
    <w:rsid w:val="00321985"/>
    <w:rsid w:val="00322A82"/>
    <w:rsid w:val="003242F8"/>
    <w:rsid w:val="00324BB7"/>
    <w:rsid w:val="00325C27"/>
    <w:rsid w:val="00330DB1"/>
    <w:rsid w:val="0033273C"/>
    <w:rsid w:val="00332B60"/>
    <w:rsid w:val="00333E9B"/>
    <w:rsid w:val="00340106"/>
    <w:rsid w:val="00340EDB"/>
    <w:rsid w:val="00340FAC"/>
    <w:rsid w:val="00341806"/>
    <w:rsid w:val="00341C9F"/>
    <w:rsid w:val="003423DD"/>
    <w:rsid w:val="003438B6"/>
    <w:rsid w:val="00347A9D"/>
    <w:rsid w:val="00351205"/>
    <w:rsid w:val="0035309A"/>
    <w:rsid w:val="00353383"/>
    <w:rsid w:val="00353E01"/>
    <w:rsid w:val="00355FCD"/>
    <w:rsid w:val="00361501"/>
    <w:rsid w:val="003633F3"/>
    <w:rsid w:val="00363787"/>
    <w:rsid w:val="00364578"/>
    <w:rsid w:val="00367825"/>
    <w:rsid w:val="00370BD4"/>
    <w:rsid w:val="00372F74"/>
    <w:rsid w:val="003740AB"/>
    <w:rsid w:val="003767B2"/>
    <w:rsid w:val="003776D4"/>
    <w:rsid w:val="00377A24"/>
    <w:rsid w:val="0038054A"/>
    <w:rsid w:val="0038232D"/>
    <w:rsid w:val="0038269F"/>
    <w:rsid w:val="003826D1"/>
    <w:rsid w:val="003833F9"/>
    <w:rsid w:val="00383536"/>
    <w:rsid w:val="00385DB5"/>
    <w:rsid w:val="00386785"/>
    <w:rsid w:val="0038697E"/>
    <w:rsid w:val="00387495"/>
    <w:rsid w:val="00393AEF"/>
    <w:rsid w:val="00395997"/>
    <w:rsid w:val="00395B0C"/>
    <w:rsid w:val="00396221"/>
    <w:rsid w:val="003962E6"/>
    <w:rsid w:val="00396A83"/>
    <w:rsid w:val="003978E5"/>
    <w:rsid w:val="003A081A"/>
    <w:rsid w:val="003A5BE1"/>
    <w:rsid w:val="003A5D84"/>
    <w:rsid w:val="003A7DB2"/>
    <w:rsid w:val="003B3BB7"/>
    <w:rsid w:val="003B63C2"/>
    <w:rsid w:val="003B668E"/>
    <w:rsid w:val="003B6C9B"/>
    <w:rsid w:val="003C07D6"/>
    <w:rsid w:val="003C129A"/>
    <w:rsid w:val="003C2B1F"/>
    <w:rsid w:val="003C41B2"/>
    <w:rsid w:val="003C5A6C"/>
    <w:rsid w:val="003D2AA3"/>
    <w:rsid w:val="003D3288"/>
    <w:rsid w:val="003D5A52"/>
    <w:rsid w:val="003D5D95"/>
    <w:rsid w:val="003D6548"/>
    <w:rsid w:val="003D74FA"/>
    <w:rsid w:val="003E2963"/>
    <w:rsid w:val="003E68CD"/>
    <w:rsid w:val="003F0A45"/>
    <w:rsid w:val="003F11FA"/>
    <w:rsid w:val="003F199C"/>
    <w:rsid w:val="003F1A75"/>
    <w:rsid w:val="003F23AA"/>
    <w:rsid w:val="003F3194"/>
    <w:rsid w:val="003F49BF"/>
    <w:rsid w:val="003F49CE"/>
    <w:rsid w:val="003F70AD"/>
    <w:rsid w:val="003F7224"/>
    <w:rsid w:val="003F7C0A"/>
    <w:rsid w:val="00400137"/>
    <w:rsid w:val="00403BEA"/>
    <w:rsid w:val="004052DE"/>
    <w:rsid w:val="004106F3"/>
    <w:rsid w:val="00410A02"/>
    <w:rsid w:val="00411D63"/>
    <w:rsid w:val="00412A11"/>
    <w:rsid w:val="0041454A"/>
    <w:rsid w:val="00417C49"/>
    <w:rsid w:val="00422574"/>
    <w:rsid w:val="00424B7E"/>
    <w:rsid w:val="00425366"/>
    <w:rsid w:val="0042607A"/>
    <w:rsid w:val="004270D8"/>
    <w:rsid w:val="00427D21"/>
    <w:rsid w:val="004317F4"/>
    <w:rsid w:val="00431C67"/>
    <w:rsid w:val="004326A1"/>
    <w:rsid w:val="004334F0"/>
    <w:rsid w:val="004339A2"/>
    <w:rsid w:val="00434069"/>
    <w:rsid w:val="00434B4A"/>
    <w:rsid w:val="00435655"/>
    <w:rsid w:val="00437434"/>
    <w:rsid w:val="00437B18"/>
    <w:rsid w:val="00442408"/>
    <w:rsid w:val="0044282E"/>
    <w:rsid w:val="00443492"/>
    <w:rsid w:val="00443850"/>
    <w:rsid w:val="004466CE"/>
    <w:rsid w:val="00447F4A"/>
    <w:rsid w:val="00452F00"/>
    <w:rsid w:val="00454CA0"/>
    <w:rsid w:val="00456F67"/>
    <w:rsid w:val="0046367E"/>
    <w:rsid w:val="004644C2"/>
    <w:rsid w:val="0046565E"/>
    <w:rsid w:val="004663E9"/>
    <w:rsid w:val="00467F9C"/>
    <w:rsid w:val="0047093A"/>
    <w:rsid w:val="00470D82"/>
    <w:rsid w:val="0047231E"/>
    <w:rsid w:val="0047317F"/>
    <w:rsid w:val="00476548"/>
    <w:rsid w:val="00476C0C"/>
    <w:rsid w:val="00477697"/>
    <w:rsid w:val="00480012"/>
    <w:rsid w:val="004809DF"/>
    <w:rsid w:val="0048103E"/>
    <w:rsid w:val="004812D2"/>
    <w:rsid w:val="004815B8"/>
    <w:rsid w:val="00481879"/>
    <w:rsid w:val="00486562"/>
    <w:rsid w:val="00486C3E"/>
    <w:rsid w:val="00486F4C"/>
    <w:rsid w:val="00487048"/>
    <w:rsid w:val="0048720B"/>
    <w:rsid w:val="00492312"/>
    <w:rsid w:val="00493E99"/>
    <w:rsid w:val="00494665"/>
    <w:rsid w:val="00495F90"/>
    <w:rsid w:val="004A038E"/>
    <w:rsid w:val="004A1DF0"/>
    <w:rsid w:val="004A214E"/>
    <w:rsid w:val="004A3329"/>
    <w:rsid w:val="004A3384"/>
    <w:rsid w:val="004A4AA4"/>
    <w:rsid w:val="004A51AF"/>
    <w:rsid w:val="004B1E6E"/>
    <w:rsid w:val="004B20D1"/>
    <w:rsid w:val="004B2D38"/>
    <w:rsid w:val="004B3FB3"/>
    <w:rsid w:val="004B5EB3"/>
    <w:rsid w:val="004B7BDF"/>
    <w:rsid w:val="004B7FCF"/>
    <w:rsid w:val="004C0895"/>
    <w:rsid w:val="004D3125"/>
    <w:rsid w:val="004D37E8"/>
    <w:rsid w:val="004D5487"/>
    <w:rsid w:val="004D56F9"/>
    <w:rsid w:val="004D6FCF"/>
    <w:rsid w:val="004D72EB"/>
    <w:rsid w:val="004D7A23"/>
    <w:rsid w:val="004E0A49"/>
    <w:rsid w:val="004E1E60"/>
    <w:rsid w:val="004E3A91"/>
    <w:rsid w:val="004E7B4E"/>
    <w:rsid w:val="004E7E8A"/>
    <w:rsid w:val="004F158A"/>
    <w:rsid w:val="004F1685"/>
    <w:rsid w:val="004F177B"/>
    <w:rsid w:val="004F34DC"/>
    <w:rsid w:val="004F3D05"/>
    <w:rsid w:val="004F4C45"/>
    <w:rsid w:val="004F509D"/>
    <w:rsid w:val="004F71AF"/>
    <w:rsid w:val="0050284B"/>
    <w:rsid w:val="00505D25"/>
    <w:rsid w:val="00505E3D"/>
    <w:rsid w:val="0051006C"/>
    <w:rsid w:val="005107A3"/>
    <w:rsid w:val="0051131F"/>
    <w:rsid w:val="0051252D"/>
    <w:rsid w:val="005136E0"/>
    <w:rsid w:val="0051695B"/>
    <w:rsid w:val="005233B9"/>
    <w:rsid w:val="00523F4E"/>
    <w:rsid w:val="005254F6"/>
    <w:rsid w:val="00525987"/>
    <w:rsid w:val="0053065A"/>
    <w:rsid w:val="00531EA9"/>
    <w:rsid w:val="00532E7A"/>
    <w:rsid w:val="0053439C"/>
    <w:rsid w:val="00534681"/>
    <w:rsid w:val="00535493"/>
    <w:rsid w:val="00535CBD"/>
    <w:rsid w:val="00536345"/>
    <w:rsid w:val="00536872"/>
    <w:rsid w:val="005402C5"/>
    <w:rsid w:val="00541C7D"/>
    <w:rsid w:val="00541DF2"/>
    <w:rsid w:val="00543A33"/>
    <w:rsid w:val="00543AA7"/>
    <w:rsid w:val="005444D4"/>
    <w:rsid w:val="00544DF2"/>
    <w:rsid w:val="005455FA"/>
    <w:rsid w:val="00550017"/>
    <w:rsid w:val="00551135"/>
    <w:rsid w:val="00556F94"/>
    <w:rsid w:val="00557204"/>
    <w:rsid w:val="0056038C"/>
    <w:rsid w:val="0056068E"/>
    <w:rsid w:val="00563442"/>
    <w:rsid w:val="0056348E"/>
    <w:rsid w:val="00565660"/>
    <w:rsid w:val="00565B42"/>
    <w:rsid w:val="00565BEF"/>
    <w:rsid w:val="00567F21"/>
    <w:rsid w:val="0057055D"/>
    <w:rsid w:val="00575AA2"/>
    <w:rsid w:val="00576AFA"/>
    <w:rsid w:val="005800B1"/>
    <w:rsid w:val="00580299"/>
    <w:rsid w:val="00581592"/>
    <w:rsid w:val="00582AB2"/>
    <w:rsid w:val="0058708F"/>
    <w:rsid w:val="00591C14"/>
    <w:rsid w:val="0059212B"/>
    <w:rsid w:val="00596F8A"/>
    <w:rsid w:val="00597A31"/>
    <w:rsid w:val="005A22CD"/>
    <w:rsid w:val="005A303D"/>
    <w:rsid w:val="005A30D1"/>
    <w:rsid w:val="005A3ED4"/>
    <w:rsid w:val="005A4B6D"/>
    <w:rsid w:val="005A627E"/>
    <w:rsid w:val="005A640F"/>
    <w:rsid w:val="005B2493"/>
    <w:rsid w:val="005B35E2"/>
    <w:rsid w:val="005B3888"/>
    <w:rsid w:val="005B4C7A"/>
    <w:rsid w:val="005C4CE6"/>
    <w:rsid w:val="005C4FB1"/>
    <w:rsid w:val="005C6AC2"/>
    <w:rsid w:val="005C77E1"/>
    <w:rsid w:val="005C797B"/>
    <w:rsid w:val="005C7B33"/>
    <w:rsid w:val="005D04E1"/>
    <w:rsid w:val="005D13BC"/>
    <w:rsid w:val="005D3BC4"/>
    <w:rsid w:val="005D4A87"/>
    <w:rsid w:val="005E1119"/>
    <w:rsid w:val="005E1A28"/>
    <w:rsid w:val="005E1FBF"/>
    <w:rsid w:val="005E4BBE"/>
    <w:rsid w:val="005E522A"/>
    <w:rsid w:val="005E763F"/>
    <w:rsid w:val="005E7ABB"/>
    <w:rsid w:val="005E7C33"/>
    <w:rsid w:val="005F3E16"/>
    <w:rsid w:val="005F41D9"/>
    <w:rsid w:val="005F4509"/>
    <w:rsid w:val="005F4561"/>
    <w:rsid w:val="005F5615"/>
    <w:rsid w:val="00600533"/>
    <w:rsid w:val="00600FCE"/>
    <w:rsid w:val="00603D5E"/>
    <w:rsid w:val="006078F8"/>
    <w:rsid w:val="00607D18"/>
    <w:rsid w:val="00611561"/>
    <w:rsid w:val="006122BA"/>
    <w:rsid w:val="006126C6"/>
    <w:rsid w:val="00613B8F"/>
    <w:rsid w:val="00616877"/>
    <w:rsid w:val="0062360C"/>
    <w:rsid w:val="00624E10"/>
    <w:rsid w:val="006252A7"/>
    <w:rsid w:val="006258B3"/>
    <w:rsid w:val="00626605"/>
    <w:rsid w:val="00626DC1"/>
    <w:rsid w:val="00630B11"/>
    <w:rsid w:val="00632651"/>
    <w:rsid w:val="00632E26"/>
    <w:rsid w:val="00632F2D"/>
    <w:rsid w:val="00635F3E"/>
    <w:rsid w:val="006405B3"/>
    <w:rsid w:val="0064060D"/>
    <w:rsid w:val="006413BF"/>
    <w:rsid w:val="00642B64"/>
    <w:rsid w:val="0064443D"/>
    <w:rsid w:val="00647293"/>
    <w:rsid w:val="006478BF"/>
    <w:rsid w:val="00650B7E"/>
    <w:rsid w:val="00651B3A"/>
    <w:rsid w:val="00651D3C"/>
    <w:rsid w:val="00653049"/>
    <w:rsid w:val="006534D9"/>
    <w:rsid w:val="0065437D"/>
    <w:rsid w:val="00654CE4"/>
    <w:rsid w:val="00657677"/>
    <w:rsid w:val="006647AC"/>
    <w:rsid w:val="006648AA"/>
    <w:rsid w:val="00666395"/>
    <w:rsid w:val="00666479"/>
    <w:rsid w:val="0067078B"/>
    <w:rsid w:val="00671749"/>
    <w:rsid w:val="00677446"/>
    <w:rsid w:val="0068294D"/>
    <w:rsid w:val="00682DA6"/>
    <w:rsid w:val="006839B0"/>
    <w:rsid w:val="00690C2B"/>
    <w:rsid w:val="00696C2B"/>
    <w:rsid w:val="006A0405"/>
    <w:rsid w:val="006A060A"/>
    <w:rsid w:val="006A0AEB"/>
    <w:rsid w:val="006A2EA6"/>
    <w:rsid w:val="006A49DD"/>
    <w:rsid w:val="006A73C1"/>
    <w:rsid w:val="006A7ED5"/>
    <w:rsid w:val="006B2290"/>
    <w:rsid w:val="006B2D93"/>
    <w:rsid w:val="006B3C93"/>
    <w:rsid w:val="006B4947"/>
    <w:rsid w:val="006B6FE5"/>
    <w:rsid w:val="006C2B9F"/>
    <w:rsid w:val="006C5530"/>
    <w:rsid w:val="006C667B"/>
    <w:rsid w:val="006C66EB"/>
    <w:rsid w:val="006C752C"/>
    <w:rsid w:val="006C7F57"/>
    <w:rsid w:val="006D3BDD"/>
    <w:rsid w:val="006D3CF1"/>
    <w:rsid w:val="006D742E"/>
    <w:rsid w:val="006D75B8"/>
    <w:rsid w:val="006E0AD5"/>
    <w:rsid w:val="006E4D23"/>
    <w:rsid w:val="006E4F8E"/>
    <w:rsid w:val="006F1737"/>
    <w:rsid w:val="006F44B7"/>
    <w:rsid w:val="006F588B"/>
    <w:rsid w:val="006F69D2"/>
    <w:rsid w:val="006F6FC5"/>
    <w:rsid w:val="00701FAC"/>
    <w:rsid w:val="00707186"/>
    <w:rsid w:val="00712968"/>
    <w:rsid w:val="007137CF"/>
    <w:rsid w:val="00714FA3"/>
    <w:rsid w:val="00717D88"/>
    <w:rsid w:val="007201CA"/>
    <w:rsid w:val="00720763"/>
    <w:rsid w:val="00721C8E"/>
    <w:rsid w:val="00722E09"/>
    <w:rsid w:val="00724F9F"/>
    <w:rsid w:val="00726A43"/>
    <w:rsid w:val="00731C49"/>
    <w:rsid w:val="00732EA0"/>
    <w:rsid w:val="007332BE"/>
    <w:rsid w:val="0073744A"/>
    <w:rsid w:val="007376AB"/>
    <w:rsid w:val="00742ADE"/>
    <w:rsid w:val="00742C43"/>
    <w:rsid w:val="00746456"/>
    <w:rsid w:val="0074684C"/>
    <w:rsid w:val="00747E2A"/>
    <w:rsid w:val="00750262"/>
    <w:rsid w:val="00751419"/>
    <w:rsid w:val="00760A01"/>
    <w:rsid w:val="00763A88"/>
    <w:rsid w:val="00763E43"/>
    <w:rsid w:val="00764DC8"/>
    <w:rsid w:val="0076643F"/>
    <w:rsid w:val="0076698A"/>
    <w:rsid w:val="00766FAB"/>
    <w:rsid w:val="00767609"/>
    <w:rsid w:val="00773BAD"/>
    <w:rsid w:val="00773C4C"/>
    <w:rsid w:val="00773F22"/>
    <w:rsid w:val="00777129"/>
    <w:rsid w:val="0077733B"/>
    <w:rsid w:val="0077767A"/>
    <w:rsid w:val="0077794B"/>
    <w:rsid w:val="00777983"/>
    <w:rsid w:val="00781004"/>
    <w:rsid w:val="00783B61"/>
    <w:rsid w:val="00783F73"/>
    <w:rsid w:val="00785CE5"/>
    <w:rsid w:val="00786056"/>
    <w:rsid w:val="00786F25"/>
    <w:rsid w:val="007871C9"/>
    <w:rsid w:val="007926D3"/>
    <w:rsid w:val="0079350D"/>
    <w:rsid w:val="00794097"/>
    <w:rsid w:val="007942D3"/>
    <w:rsid w:val="0079641A"/>
    <w:rsid w:val="0079717E"/>
    <w:rsid w:val="007975BF"/>
    <w:rsid w:val="007A2945"/>
    <w:rsid w:val="007A2F85"/>
    <w:rsid w:val="007A7ED4"/>
    <w:rsid w:val="007B2099"/>
    <w:rsid w:val="007B254D"/>
    <w:rsid w:val="007B402D"/>
    <w:rsid w:val="007B5530"/>
    <w:rsid w:val="007B64DC"/>
    <w:rsid w:val="007B6C09"/>
    <w:rsid w:val="007B7741"/>
    <w:rsid w:val="007C0D4A"/>
    <w:rsid w:val="007C4951"/>
    <w:rsid w:val="007C7A99"/>
    <w:rsid w:val="007D03FB"/>
    <w:rsid w:val="007D08DA"/>
    <w:rsid w:val="007D14EE"/>
    <w:rsid w:val="007D2A3E"/>
    <w:rsid w:val="007D3BCC"/>
    <w:rsid w:val="007D5E51"/>
    <w:rsid w:val="007D6E0D"/>
    <w:rsid w:val="007D76E1"/>
    <w:rsid w:val="007E02EB"/>
    <w:rsid w:val="007E09DA"/>
    <w:rsid w:val="007E0F8A"/>
    <w:rsid w:val="007E2E6B"/>
    <w:rsid w:val="007E3612"/>
    <w:rsid w:val="007E507A"/>
    <w:rsid w:val="007E6EF4"/>
    <w:rsid w:val="007E758F"/>
    <w:rsid w:val="007F0E03"/>
    <w:rsid w:val="007F2FE5"/>
    <w:rsid w:val="007F5310"/>
    <w:rsid w:val="007F5869"/>
    <w:rsid w:val="007F609F"/>
    <w:rsid w:val="007F646A"/>
    <w:rsid w:val="007F718D"/>
    <w:rsid w:val="008001A6"/>
    <w:rsid w:val="00801FAD"/>
    <w:rsid w:val="00802434"/>
    <w:rsid w:val="008029D9"/>
    <w:rsid w:val="00802D10"/>
    <w:rsid w:val="00805460"/>
    <w:rsid w:val="00806B7E"/>
    <w:rsid w:val="00806DF7"/>
    <w:rsid w:val="008112F2"/>
    <w:rsid w:val="008117AA"/>
    <w:rsid w:val="00812CE0"/>
    <w:rsid w:val="00812FE2"/>
    <w:rsid w:val="00814FCE"/>
    <w:rsid w:val="0081503B"/>
    <w:rsid w:val="008178B6"/>
    <w:rsid w:val="00820C23"/>
    <w:rsid w:val="00821E29"/>
    <w:rsid w:val="0082274E"/>
    <w:rsid w:val="00823025"/>
    <w:rsid w:val="00824806"/>
    <w:rsid w:val="00833904"/>
    <w:rsid w:val="00840266"/>
    <w:rsid w:val="008409F3"/>
    <w:rsid w:val="008467BB"/>
    <w:rsid w:val="0085192E"/>
    <w:rsid w:val="00851F3A"/>
    <w:rsid w:val="00854CBF"/>
    <w:rsid w:val="00854D8A"/>
    <w:rsid w:val="008555DC"/>
    <w:rsid w:val="00856932"/>
    <w:rsid w:val="00857109"/>
    <w:rsid w:val="00860442"/>
    <w:rsid w:val="0086053F"/>
    <w:rsid w:val="0086138A"/>
    <w:rsid w:val="00862C72"/>
    <w:rsid w:val="008630B5"/>
    <w:rsid w:val="00863E3B"/>
    <w:rsid w:val="00865B74"/>
    <w:rsid w:val="00866063"/>
    <w:rsid w:val="0087017B"/>
    <w:rsid w:val="00871D07"/>
    <w:rsid w:val="00873178"/>
    <w:rsid w:val="00873678"/>
    <w:rsid w:val="0087392C"/>
    <w:rsid w:val="008744E9"/>
    <w:rsid w:val="0087564A"/>
    <w:rsid w:val="00876487"/>
    <w:rsid w:val="00876BE1"/>
    <w:rsid w:val="00877DDB"/>
    <w:rsid w:val="008816A3"/>
    <w:rsid w:val="00882DE7"/>
    <w:rsid w:val="00887751"/>
    <w:rsid w:val="00892777"/>
    <w:rsid w:val="00892E9C"/>
    <w:rsid w:val="00894A7B"/>
    <w:rsid w:val="00894B72"/>
    <w:rsid w:val="008974F0"/>
    <w:rsid w:val="008978FE"/>
    <w:rsid w:val="008A1499"/>
    <w:rsid w:val="008A1706"/>
    <w:rsid w:val="008A1D03"/>
    <w:rsid w:val="008A35B3"/>
    <w:rsid w:val="008A6B4A"/>
    <w:rsid w:val="008B012A"/>
    <w:rsid w:val="008B0D6A"/>
    <w:rsid w:val="008B3981"/>
    <w:rsid w:val="008B5EB3"/>
    <w:rsid w:val="008B5FD7"/>
    <w:rsid w:val="008B64BE"/>
    <w:rsid w:val="008B793D"/>
    <w:rsid w:val="008C16B9"/>
    <w:rsid w:val="008C4223"/>
    <w:rsid w:val="008C4523"/>
    <w:rsid w:val="008C61EB"/>
    <w:rsid w:val="008D2AA7"/>
    <w:rsid w:val="008D568E"/>
    <w:rsid w:val="008D7373"/>
    <w:rsid w:val="008D738A"/>
    <w:rsid w:val="008E29C7"/>
    <w:rsid w:val="008F3E1B"/>
    <w:rsid w:val="008F673F"/>
    <w:rsid w:val="00903B21"/>
    <w:rsid w:val="00905D79"/>
    <w:rsid w:val="00906E17"/>
    <w:rsid w:val="00907BBE"/>
    <w:rsid w:val="0091012B"/>
    <w:rsid w:val="0091122B"/>
    <w:rsid w:val="009125FB"/>
    <w:rsid w:val="00920DA7"/>
    <w:rsid w:val="009210CF"/>
    <w:rsid w:val="009214F9"/>
    <w:rsid w:val="00922EF6"/>
    <w:rsid w:val="00926FE5"/>
    <w:rsid w:val="009301DD"/>
    <w:rsid w:val="0093068C"/>
    <w:rsid w:val="00930A44"/>
    <w:rsid w:val="00930BA1"/>
    <w:rsid w:val="0093169E"/>
    <w:rsid w:val="00931705"/>
    <w:rsid w:val="00932712"/>
    <w:rsid w:val="00933C2D"/>
    <w:rsid w:val="009346B3"/>
    <w:rsid w:val="00936D7A"/>
    <w:rsid w:val="0094023F"/>
    <w:rsid w:val="00941E3F"/>
    <w:rsid w:val="00942897"/>
    <w:rsid w:val="00943821"/>
    <w:rsid w:val="00944A7C"/>
    <w:rsid w:val="009505C9"/>
    <w:rsid w:val="00950752"/>
    <w:rsid w:val="009526BD"/>
    <w:rsid w:val="00955183"/>
    <w:rsid w:val="00963368"/>
    <w:rsid w:val="00963A46"/>
    <w:rsid w:val="00966424"/>
    <w:rsid w:val="009668AF"/>
    <w:rsid w:val="00972F05"/>
    <w:rsid w:val="0097573D"/>
    <w:rsid w:val="00976321"/>
    <w:rsid w:val="0098174D"/>
    <w:rsid w:val="0098379C"/>
    <w:rsid w:val="009849C3"/>
    <w:rsid w:val="009868CE"/>
    <w:rsid w:val="009871F6"/>
    <w:rsid w:val="00990CB4"/>
    <w:rsid w:val="00995BBB"/>
    <w:rsid w:val="009A297A"/>
    <w:rsid w:val="009A2D4D"/>
    <w:rsid w:val="009A3950"/>
    <w:rsid w:val="009A5D95"/>
    <w:rsid w:val="009A61B8"/>
    <w:rsid w:val="009A6D65"/>
    <w:rsid w:val="009A7664"/>
    <w:rsid w:val="009B0811"/>
    <w:rsid w:val="009B3123"/>
    <w:rsid w:val="009B41C5"/>
    <w:rsid w:val="009B4B14"/>
    <w:rsid w:val="009B5634"/>
    <w:rsid w:val="009B6027"/>
    <w:rsid w:val="009B68F2"/>
    <w:rsid w:val="009B704F"/>
    <w:rsid w:val="009C218A"/>
    <w:rsid w:val="009C2DE6"/>
    <w:rsid w:val="009C4FC4"/>
    <w:rsid w:val="009C5651"/>
    <w:rsid w:val="009C6AEE"/>
    <w:rsid w:val="009D0879"/>
    <w:rsid w:val="009D0E17"/>
    <w:rsid w:val="009D28EA"/>
    <w:rsid w:val="009D60AF"/>
    <w:rsid w:val="009D6C90"/>
    <w:rsid w:val="009E37BE"/>
    <w:rsid w:val="009E5738"/>
    <w:rsid w:val="009E5F3B"/>
    <w:rsid w:val="009F0A0C"/>
    <w:rsid w:val="009F1F7B"/>
    <w:rsid w:val="009F21BB"/>
    <w:rsid w:val="009F2D6A"/>
    <w:rsid w:val="009F395C"/>
    <w:rsid w:val="009F4C4B"/>
    <w:rsid w:val="009F58A2"/>
    <w:rsid w:val="009F5C04"/>
    <w:rsid w:val="009F62FA"/>
    <w:rsid w:val="00A006CB"/>
    <w:rsid w:val="00A04E03"/>
    <w:rsid w:val="00A0618C"/>
    <w:rsid w:val="00A10B4C"/>
    <w:rsid w:val="00A111D1"/>
    <w:rsid w:val="00A12D89"/>
    <w:rsid w:val="00A150D4"/>
    <w:rsid w:val="00A15274"/>
    <w:rsid w:val="00A158D0"/>
    <w:rsid w:val="00A20762"/>
    <w:rsid w:val="00A21486"/>
    <w:rsid w:val="00A2250C"/>
    <w:rsid w:val="00A2281C"/>
    <w:rsid w:val="00A25CBE"/>
    <w:rsid w:val="00A30D33"/>
    <w:rsid w:val="00A3283B"/>
    <w:rsid w:val="00A32CE0"/>
    <w:rsid w:val="00A33434"/>
    <w:rsid w:val="00A33F35"/>
    <w:rsid w:val="00A34E7E"/>
    <w:rsid w:val="00A35345"/>
    <w:rsid w:val="00A36450"/>
    <w:rsid w:val="00A42B42"/>
    <w:rsid w:val="00A434CA"/>
    <w:rsid w:val="00A459B7"/>
    <w:rsid w:val="00A47069"/>
    <w:rsid w:val="00A475B9"/>
    <w:rsid w:val="00A47AD5"/>
    <w:rsid w:val="00A5202E"/>
    <w:rsid w:val="00A54C86"/>
    <w:rsid w:val="00A55338"/>
    <w:rsid w:val="00A5536D"/>
    <w:rsid w:val="00A553BE"/>
    <w:rsid w:val="00A5561C"/>
    <w:rsid w:val="00A558A7"/>
    <w:rsid w:val="00A56515"/>
    <w:rsid w:val="00A57D45"/>
    <w:rsid w:val="00A62BB7"/>
    <w:rsid w:val="00A63004"/>
    <w:rsid w:val="00A70317"/>
    <w:rsid w:val="00A72436"/>
    <w:rsid w:val="00A74A22"/>
    <w:rsid w:val="00A75677"/>
    <w:rsid w:val="00A76AF7"/>
    <w:rsid w:val="00A77786"/>
    <w:rsid w:val="00A81C58"/>
    <w:rsid w:val="00A8264D"/>
    <w:rsid w:val="00A827D6"/>
    <w:rsid w:val="00A828FC"/>
    <w:rsid w:val="00A83673"/>
    <w:rsid w:val="00A83902"/>
    <w:rsid w:val="00A83B78"/>
    <w:rsid w:val="00A84FFB"/>
    <w:rsid w:val="00A85048"/>
    <w:rsid w:val="00A85517"/>
    <w:rsid w:val="00A86086"/>
    <w:rsid w:val="00A93BF6"/>
    <w:rsid w:val="00A976E1"/>
    <w:rsid w:val="00AA05C8"/>
    <w:rsid w:val="00AA14C7"/>
    <w:rsid w:val="00AA3F94"/>
    <w:rsid w:val="00AA403E"/>
    <w:rsid w:val="00AA63CE"/>
    <w:rsid w:val="00AA6F92"/>
    <w:rsid w:val="00AB09A2"/>
    <w:rsid w:val="00AB1025"/>
    <w:rsid w:val="00AB1FD0"/>
    <w:rsid w:val="00AB2664"/>
    <w:rsid w:val="00AB4C07"/>
    <w:rsid w:val="00AB4F3A"/>
    <w:rsid w:val="00AB51D5"/>
    <w:rsid w:val="00AB609E"/>
    <w:rsid w:val="00AB6934"/>
    <w:rsid w:val="00AB7C58"/>
    <w:rsid w:val="00AC2D14"/>
    <w:rsid w:val="00AC31B4"/>
    <w:rsid w:val="00AC5A88"/>
    <w:rsid w:val="00AC605D"/>
    <w:rsid w:val="00AC6163"/>
    <w:rsid w:val="00AD0C84"/>
    <w:rsid w:val="00AD52F1"/>
    <w:rsid w:val="00AD5929"/>
    <w:rsid w:val="00AD7C32"/>
    <w:rsid w:val="00AE0122"/>
    <w:rsid w:val="00AE25C9"/>
    <w:rsid w:val="00AE331B"/>
    <w:rsid w:val="00AE37AB"/>
    <w:rsid w:val="00AE6722"/>
    <w:rsid w:val="00AE6BC2"/>
    <w:rsid w:val="00AE75DD"/>
    <w:rsid w:val="00AE7754"/>
    <w:rsid w:val="00AF37E0"/>
    <w:rsid w:val="00AF42DE"/>
    <w:rsid w:val="00AF6A4D"/>
    <w:rsid w:val="00AF6F8D"/>
    <w:rsid w:val="00B0130F"/>
    <w:rsid w:val="00B01BD1"/>
    <w:rsid w:val="00B02B1D"/>
    <w:rsid w:val="00B05F1D"/>
    <w:rsid w:val="00B06C2A"/>
    <w:rsid w:val="00B07DB3"/>
    <w:rsid w:val="00B11D3C"/>
    <w:rsid w:val="00B1293B"/>
    <w:rsid w:val="00B12B42"/>
    <w:rsid w:val="00B136EE"/>
    <w:rsid w:val="00B13CC0"/>
    <w:rsid w:val="00B14BB4"/>
    <w:rsid w:val="00B14FE3"/>
    <w:rsid w:val="00B151B8"/>
    <w:rsid w:val="00B15CAA"/>
    <w:rsid w:val="00B172D0"/>
    <w:rsid w:val="00B17967"/>
    <w:rsid w:val="00B20463"/>
    <w:rsid w:val="00B24623"/>
    <w:rsid w:val="00B27901"/>
    <w:rsid w:val="00B3369F"/>
    <w:rsid w:val="00B33B94"/>
    <w:rsid w:val="00B37151"/>
    <w:rsid w:val="00B3742E"/>
    <w:rsid w:val="00B41771"/>
    <w:rsid w:val="00B423C2"/>
    <w:rsid w:val="00B429F3"/>
    <w:rsid w:val="00B43ED7"/>
    <w:rsid w:val="00B45284"/>
    <w:rsid w:val="00B46AA9"/>
    <w:rsid w:val="00B477A5"/>
    <w:rsid w:val="00B47F72"/>
    <w:rsid w:val="00B510D3"/>
    <w:rsid w:val="00B51FC6"/>
    <w:rsid w:val="00B52F66"/>
    <w:rsid w:val="00B55D5A"/>
    <w:rsid w:val="00B6012B"/>
    <w:rsid w:val="00B6258A"/>
    <w:rsid w:val="00B665C9"/>
    <w:rsid w:val="00B70140"/>
    <w:rsid w:val="00B70D88"/>
    <w:rsid w:val="00B71207"/>
    <w:rsid w:val="00B727BE"/>
    <w:rsid w:val="00B73BFD"/>
    <w:rsid w:val="00B742C8"/>
    <w:rsid w:val="00B74D33"/>
    <w:rsid w:val="00B76D38"/>
    <w:rsid w:val="00B77F5E"/>
    <w:rsid w:val="00B80278"/>
    <w:rsid w:val="00B8084C"/>
    <w:rsid w:val="00B80CE4"/>
    <w:rsid w:val="00B81CB4"/>
    <w:rsid w:val="00B81FC6"/>
    <w:rsid w:val="00B84BFC"/>
    <w:rsid w:val="00B85591"/>
    <w:rsid w:val="00B86D82"/>
    <w:rsid w:val="00B8729D"/>
    <w:rsid w:val="00B87416"/>
    <w:rsid w:val="00B91C5C"/>
    <w:rsid w:val="00B91D50"/>
    <w:rsid w:val="00B92023"/>
    <w:rsid w:val="00B92FED"/>
    <w:rsid w:val="00B94851"/>
    <w:rsid w:val="00B94C0A"/>
    <w:rsid w:val="00B94E6C"/>
    <w:rsid w:val="00B96219"/>
    <w:rsid w:val="00B9721B"/>
    <w:rsid w:val="00BA06A1"/>
    <w:rsid w:val="00BA1887"/>
    <w:rsid w:val="00BA3460"/>
    <w:rsid w:val="00BA3928"/>
    <w:rsid w:val="00BA3AAB"/>
    <w:rsid w:val="00BA4F33"/>
    <w:rsid w:val="00BA5AF1"/>
    <w:rsid w:val="00BA5F12"/>
    <w:rsid w:val="00BA7743"/>
    <w:rsid w:val="00BB3B53"/>
    <w:rsid w:val="00BB3C82"/>
    <w:rsid w:val="00BB4606"/>
    <w:rsid w:val="00BB4CBD"/>
    <w:rsid w:val="00BB5824"/>
    <w:rsid w:val="00BC3CA1"/>
    <w:rsid w:val="00BC5EFA"/>
    <w:rsid w:val="00BC6A94"/>
    <w:rsid w:val="00BC701B"/>
    <w:rsid w:val="00BD0B3B"/>
    <w:rsid w:val="00BD0D22"/>
    <w:rsid w:val="00BD15A3"/>
    <w:rsid w:val="00BD429A"/>
    <w:rsid w:val="00BE1310"/>
    <w:rsid w:val="00BE5DA5"/>
    <w:rsid w:val="00BE616C"/>
    <w:rsid w:val="00BE76A3"/>
    <w:rsid w:val="00BF1720"/>
    <w:rsid w:val="00BF4968"/>
    <w:rsid w:val="00BF75D3"/>
    <w:rsid w:val="00C01D3C"/>
    <w:rsid w:val="00C022C8"/>
    <w:rsid w:val="00C026FD"/>
    <w:rsid w:val="00C02908"/>
    <w:rsid w:val="00C03A73"/>
    <w:rsid w:val="00C118FB"/>
    <w:rsid w:val="00C145DD"/>
    <w:rsid w:val="00C14B15"/>
    <w:rsid w:val="00C14D0B"/>
    <w:rsid w:val="00C20811"/>
    <w:rsid w:val="00C227C4"/>
    <w:rsid w:val="00C23012"/>
    <w:rsid w:val="00C236BD"/>
    <w:rsid w:val="00C23D2F"/>
    <w:rsid w:val="00C250E3"/>
    <w:rsid w:val="00C255C7"/>
    <w:rsid w:val="00C2588F"/>
    <w:rsid w:val="00C2631D"/>
    <w:rsid w:val="00C26934"/>
    <w:rsid w:val="00C30E18"/>
    <w:rsid w:val="00C32BE3"/>
    <w:rsid w:val="00C333F1"/>
    <w:rsid w:val="00C34C65"/>
    <w:rsid w:val="00C35540"/>
    <w:rsid w:val="00C443BD"/>
    <w:rsid w:val="00C44CF6"/>
    <w:rsid w:val="00C451C5"/>
    <w:rsid w:val="00C452EE"/>
    <w:rsid w:val="00C46A30"/>
    <w:rsid w:val="00C470A6"/>
    <w:rsid w:val="00C475BC"/>
    <w:rsid w:val="00C51532"/>
    <w:rsid w:val="00C516C7"/>
    <w:rsid w:val="00C53A10"/>
    <w:rsid w:val="00C54B38"/>
    <w:rsid w:val="00C56410"/>
    <w:rsid w:val="00C56A42"/>
    <w:rsid w:val="00C57D56"/>
    <w:rsid w:val="00C60E8F"/>
    <w:rsid w:val="00C63C61"/>
    <w:rsid w:val="00C642B7"/>
    <w:rsid w:val="00C651E4"/>
    <w:rsid w:val="00C6699E"/>
    <w:rsid w:val="00C66C67"/>
    <w:rsid w:val="00C700DF"/>
    <w:rsid w:val="00C71641"/>
    <w:rsid w:val="00C719E1"/>
    <w:rsid w:val="00C731E7"/>
    <w:rsid w:val="00C7442D"/>
    <w:rsid w:val="00C747A8"/>
    <w:rsid w:val="00C74A93"/>
    <w:rsid w:val="00C76237"/>
    <w:rsid w:val="00C76755"/>
    <w:rsid w:val="00C8121F"/>
    <w:rsid w:val="00C82CB2"/>
    <w:rsid w:val="00C86B6A"/>
    <w:rsid w:val="00C9161D"/>
    <w:rsid w:val="00C91742"/>
    <w:rsid w:val="00C92850"/>
    <w:rsid w:val="00C92E44"/>
    <w:rsid w:val="00C92FB5"/>
    <w:rsid w:val="00C94CFC"/>
    <w:rsid w:val="00C95FCE"/>
    <w:rsid w:val="00C96D46"/>
    <w:rsid w:val="00CA0C1D"/>
    <w:rsid w:val="00CA38D7"/>
    <w:rsid w:val="00CA7AC0"/>
    <w:rsid w:val="00CB3541"/>
    <w:rsid w:val="00CB401F"/>
    <w:rsid w:val="00CB4C17"/>
    <w:rsid w:val="00CB62DF"/>
    <w:rsid w:val="00CB711B"/>
    <w:rsid w:val="00CB758F"/>
    <w:rsid w:val="00CC269D"/>
    <w:rsid w:val="00CC2F4E"/>
    <w:rsid w:val="00CC3575"/>
    <w:rsid w:val="00CC403B"/>
    <w:rsid w:val="00CC4075"/>
    <w:rsid w:val="00CC6DA1"/>
    <w:rsid w:val="00CD2793"/>
    <w:rsid w:val="00CD3A16"/>
    <w:rsid w:val="00CD6953"/>
    <w:rsid w:val="00CE0298"/>
    <w:rsid w:val="00CE075E"/>
    <w:rsid w:val="00CE0B29"/>
    <w:rsid w:val="00CE280A"/>
    <w:rsid w:val="00CE3A0B"/>
    <w:rsid w:val="00CE7D50"/>
    <w:rsid w:val="00CF0195"/>
    <w:rsid w:val="00CF1848"/>
    <w:rsid w:val="00CF229C"/>
    <w:rsid w:val="00CF3378"/>
    <w:rsid w:val="00CF4152"/>
    <w:rsid w:val="00CF7FA2"/>
    <w:rsid w:val="00D02996"/>
    <w:rsid w:val="00D0415D"/>
    <w:rsid w:val="00D11504"/>
    <w:rsid w:val="00D12044"/>
    <w:rsid w:val="00D122D1"/>
    <w:rsid w:val="00D13FD9"/>
    <w:rsid w:val="00D143B9"/>
    <w:rsid w:val="00D1504D"/>
    <w:rsid w:val="00D1554E"/>
    <w:rsid w:val="00D15E00"/>
    <w:rsid w:val="00D17019"/>
    <w:rsid w:val="00D170D9"/>
    <w:rsid w:val="00D176A8"/>
    <w:rsid w:val="00D20111"/>
    <w:rsid w:val="00D20F69"/>
    <w:rsid w:val="00D236E9"/>
    <w:rsid w:val="00D23F85"/>
    <w:rsid w:val="00D24C90"/>
    <w:rsid w:val="00D24E1F"/>
    <w:rsid w:val="00D2529F"/>
    <w:rsid w:val="00D27DF1"/>
    <w:rsid w:val="00D31A56"/>
    <w:rsid w:val="00D32AC1"/>
    <w:rsid w:val="00D33EFC"/>
    <w:rsid w:val="00D3436B"/>
    <w:rsid w:val="00D351ED"/>
    <w:rsid w:val="00D36CC0"/>
    <w:rsid w:val="00D4049B"/>
    <w:rsid w:val="00D4075A"/>
    <w:rsid w:val="00D40DBC"/>
    <w:rsid w:val="00D4201B"/>
    <w:rsid w:val="00D447C5"/>
    <w:rsid w:val="00D4523F"/>
    <w:rsid w:val="00D51495"/>
    <w:rsid w:val="00D51D7F"/>
    <w:rsid w:val="00D550B4"/>
    <w:rsid w:val="00D5554B"/>
    <w:rsid w:val="00D567C7"/>
    <w:rsid w:val="00D613AA"/>
    <w:rsid w:val="00D616D8"/>
    <w:rsid w:val="00D61C85"/>
    <w:rsid w:val="00D625B9"/>
    <w:rsid w:val="00D630E9"/>
    <w:rsid w:val="00D63D80"/>
    <w:rsid w:val="00D63FBB"/>
    <w:rsid w:val="00D66010"/>
    <w:rsid w:val="00D6671D"/>
    <w:rsid w:val="00D67BE4"/>
    <w:rsid w:val="00D67C19"/>
    <w:rsid w:val="00D706AC"/>
    <w:rsid w:val="00D73531"/>
    <w:rsid w:val="00D75CA6"/>
    <w:rsid w:val="00D76A18"/>
    <w:rsid w:val="00D76A71"/>
    <w:rsid w:val="00D77594"/>
    <w:rsid w:val="00D80772"/>
    <w:rsid w:val="00D80849"/>
    <w:rsid w:val="00D82E8F"/>
    <w:rsid w:val="00D86597"/>
    <w:rsid w:val="00D875A1"/>
    <w:rsid w:val="00D911D1"/>
    <w:rsid w:val="00D92341"/>
    <w:rsid w:val="00D940C0"/>
    <w:rsid w:val="00D94A36"/>
    <w:rsid w:val="00D95F8D"/>
    <w:rsid w:val="00D96DB0"/>
    <w:rsid w:val="00D96E66"/>
    <w:rsid w:val="00DA6C25"/>
    <w:rsid w:val="00DA7619"/>
    <w:rsid w:val="00DB1193"/>
    <w:rsid w:val="00DB1F68"/>
    <w:rsid w:val="00DB3247"/>
    <w:rsid w:val="00DB58B8"/>
    <w:rsid w:val="00DB5E0F"/>
    <w:rsid w:val="00DB6AAB"/>
    <w:rsid w:val="00DC1EF3"/>
    <w:rsid w:val="00DC2F7D"/>
    <w:rsid w:val="00DC4338"/>
    <w:rsid w:val="00DC5492"/>
    <w:rsid w:val="00DC6905"/>
    <w:rsid w:val="00DC715A"/>
    <w:rsid w:val="00DD091F"/>
    <w:rsid w:val="00DD118C"/>
    <w:rsid w:val="00DD4E04"/>
    <w:rsid w:val="00DD6760"/>
    <w:rsid w:val="00DD7CEF"/>
    <w:rsid w:val="00DE0FC5"/>
    <w:rsid w:val="00DE3B91"/>
    <w:rsid w:val="00DE765C"/>
    <w:rsid w:val="00DF05F9"/>
    <w:rsid w:val="00DF0D66"/>
    <w:rsid w:val="00DF45E9"/>
    <w:rsid w:val="00DF6901"/>
    <w:rsid w:val="00DF7D24"/>
    <w:rsid w:val="00E00E8B"/>
    <w:rsid w:val="00E010E6"/>
    <w:rsid w:val="00E01E45"/>
    <w:rsid w:val="00E02B69"/>
    <w:rsid w:val="00E0317F"/>
    <w:rsid w:val="00E057C7"/>
    <w:rsid w:val="00E05A41"/>
    <w:rsid w:val="00E0715B"/>
    <w:rsid w:val="00E07E3C"/>
    <w:rsid w:val="00E11853"/>
    <w:rsid w:val="00E11DFC"/>
    <w:rsid w:val="00E12590"/>
    <w:rsid w:val="00E1299C"/>
    <w:rsid w:val="00E14E47"/>
    <w:rsid w:val="00E21D3F"/>
    <w:rsid w:val="00E2269F"/>
    <w:rsid w:val="00E2617A"/>
    <w:rsid w:val="00E27922"/>
    <w:rsid w:val="00E30C18"/>
    <w:rsid w:val="00E32C8A"/>
    <w:rsid w:val="00E34A53"/>
    <w:rsid w:val="00E3558D"/>
    <w:rsid w:val="00E369A8"/>
    <w:rsid w:val="00E37E7E"/>
    <w:rsid w:val="00E45CC2"/>
    <w:rsid w:val="00E503B2"/>
    <w:rsid w:val="00E50A74"/>
    <w:rsid w:val="00E5149B"/>
    <w:rsid w:val="00E51E74"/>
    <w:rsid w:val="00E5330C"/>
    <w:rsid w:val="00E54EB7"/>
    <w:rsid w:val="00E5524C"/>
    <w:rsid w:val="00E563D7"/>
    <w:rsid w:val="00E56E5F"/>
    <w:rsid w:val="00E57179"/>
    <w:rsid w:val="00E61164"/>
    <w:rsid w:val="00E61AA0"/>
    <w:rsid w:val="00E6313E"/>
    <w:rsid w:val="00E636CF"/>
    <w:rsid w:val="00E65BD4"/>
    <w:rsid w:val="00E66235"/>
    <w:rsid w:val="00E70AA9"/>
    <w:rsid w:val="00E716A8"/>
    <w:rsid w:val="00E72D1F"/>
    <w:rsid w:val="00E7567B"/>
    <w:rsid w:val="00E77B45"/>
    <w:rsid w:val="00E830B5"/>
    <w:rsid w:val="00E83C24"/>
    <w:rsid w:val="00E8772D"/>
    <w:rsid w:val="00E900E7"/>
    <w:rsid w:val="00E9318D"/>
    <w:rsid w:val="00E93A6A"/>
    <w:rsid w:val="00E93F3E"/>
    <w:rsid w:val="00E9464A"/>
    <w:rsid w:val="00E9503D"/>
    <w:rsid w:val="00E958E2"/>
    <w:rsid w:val="00E967B8"/>
    <w:rsid w:val="00E96874"/>
    <w:rsid w:val="00EA09CC"/>
    <w:rsid w:val="00EA14DB"/>
    <w:rsid w:val="00EA2509"/>
    <w:rsid w:val="00EA4875"/>
    <w:rsid w:val="00EA4AD9"/>
    <w:rsid w:val="00EA5AC6"/>
    <w:rsid w:val="00EA7394"/>
    <w:rsid w:val="00EA7410"/>
    <w:rsid w:val="00EB0E4E"/>
    <w:rsid w:val="00EB165B"/>
    <w:rsid w:val="00EB2A27"/>
    <w:rsid w:val="00EB2B5A"/>
    <w:rsid w:val="00EB360A"/>
    <w:rsid w:val="00EB5CC8"/>
    <w:rsid w:val="00EB615E"/>
    <w:rsid w:val="00EB72AA"/>
    <w:rsid w:val="00EB7E79"/>
    <w:rsid w:val="00EC02D6"/>
    <w:rsid w:val="00EC18D9"/>
    <w:rsid w:val="00EC2763"/>
    <w:rsid w:val="00EC4B00"/>
    <w:rsid w:val="00EC6823"/>
    <w:rsid w:val="00EC71BE"/>
    <w:rsid w:val="00ED088A"/>
    <w:rsid w:val="00ED25F2"/>
    <w:rsid w:val="00ED31ED"/>
    <w:rsid w:val="00ED3D46"/>
    <w:rsid w:val="00ED525B"/>
    <w:rsid w:val="00ED5586"/>
    <w:rsid w:val="00ED5623"/>
    <w:rsid w:val="00EE0117"/>
    <w:rsid w:val="00EE086D"/>
    <w:rsid w:val="00EE14F2"/>
    <w:rsid w:val="00EE168A"/>
    <w:rsid w:val="00EE16F0"/>
    <w:rsid w:val="00EE199D"/>
    <w:rsid w:val="00EE61E6"/>
    <w:rsid w:val="00EF150F"/>
    <w:rsid w:val="00EF1ADB"/>
    <w:rsid w:val="00EF1BA6"/>
    <w:rsid w:val="00EF27DA"/>
    <w:rsid w:val="00F00A5E"/>
    <w:rsid w:val="00F01485"/>
    <w:rsid w:val="00F01815"/>
    <w:rsid w:val="00F01BB7"/>
    <w:rsid w:val="00F01BBD"/>
    <w:rsid w:val="00F03760"/>
    <w:rsid w:val="00F03E66"/>
    <w:rsid w:val="00F048CC"/>
    <w:rsid w:val="00F063C2"/>
    <w:rsid w:val="00F07061"/>
    <w:rsid w:val="00F10BA2"/>
    <w:rsid w:val="00F10E30"/>
    <w:rsid w:val="00F11090"/>
    <w:rsid w:val="00F12BFA"/>
    <w:rsid w:val="00F13C48"/>
    <w:rsid w:val="00F22684"/>
    <w:rsid w:val="00F23765"/>
    <w:rsid w:val="00F275A1"/>
    <w:rsid w:val="00F27A0A"/>
    <w:rsid w:val="00F30CFE"/>
    <w:rsid w:val="00F324E8"/>
    <w:rsid w:val="00F325ED"/>
    <w:rsid w:val="00F33475"/>
    <w:rsid w:val="00F36847"/>
    <w:rsid w:val="00F36FAC"/>
    <w:rsid w:val="00F42453"/>
    <w:rsid w:val="00F47A08"/>
    <w:rsid w:val="00F47BBA"/>
    <w:rsid w:val="00F521C3"/>
    <w:rsid w:val="00F52F5D"/>
    <w:rsid w:val="00F53193"/>
    <w:rsid w:val="00F5357E"/>
    <w:rsid w:val="00F54754"/>
    <w:rsid w:val="00F547EB"/>
    <w:rsid w:val="00F57227"/>
    <w:rsid w:val="00F57CA7"/>
    <w:rsid w:val="00F63BE7"/>
    <w:rsid w:val="00F6586C"/>
    <w:rsid w:val="00F7106D"/>
    <w:rsid w:val="00F71BEF"/>
    <w:rsid w:val="00F73AA0"/>
    <w:rsid w:val="00F7641F"/>
    <w:rsid w:val="00F76C26"/>
    <w:rsid w:val="00F9038B"/>
    <w:rsid w:val="00F90655"/>
    <w:rsid w:val="00F91A89"/>
    <w:rsid w:val="00F94047"/>
    <w:rsid w:val="00F94774"/>
    <w:rsid w:val="00F95977"/>
    <w:rsid w:val="00F95A91"/>
    <w:rsid w:val="00F966F1"/>
    <w:rsid w:val="00F96BDF"/>
    <w:rsid w:val="00FA0923"/>
    <w:rsid w:val="00FA11D9"/>
    <w:rsid w:val="00FA13D3"/>
    <w:rsid w:val="00FA2FA1"/>
    <w:rsid w:val="00FA3404"/>
    <w:rsid w:val="00FA4DD6"/>
    <w:rsid w:val="00FA663B"/>
    <w:rsid w:val="00FA6E87"/>
    <w:rsid w:val="00FA78C0"/>
    <w:rsid w:val="00FB048E"/>
    <w:rsid w:val="00FB2879"/>
    <w:rsid w:val="00FB75BA"/>
    <w:rsid w:val="00FB7EEC"/>
    <w:rsid w:val="00FC0F56"/>
    <w:rsid w:val="00FC3F95"/>
    <w:rsid w:val="00FC4673"/>
    <w:rsid w:val="00FC53DB"/>
    <w:rsid w:val="00FC74C4"/>
    <w:rsid w:val="00FC74D3"/>
    <w:rsid w:val="00FD0CDF"/>
    <w:rsid w:val="00FD10E1"/>
    <w:rsid w:val="00FD1CC5"/>
    <w:rsid w:val="00FD2922"/>
    <w:rsid w:val="00FD29A8"/>
    <w:rsid w:val="00FD2AF3"/>
    <w:rsid w:val="00FD3F60"/>
    <w:rsid w:val="00FD40A4"/>
    <w:rsid w:val="00FD75DC"/>
    <w:rsid w:val="00FD7F72"/>
    <w:rsid w:val="00FD7F99"/>
    <w:rsid w:val="00FE14B6"/>
    <w:rsid w:val="00FE203E"/>
    <w:rsid w:val="00FE40EC"/>
    <w:rsid w:val="00FE5EE5"/>
    <w:rsid w:val="00FE63A8"/>
    <w:rsid w:val="00FE7794"/>
    <w:rsid w:val="00FE7AEC"/>
    <w:rsid w:val="00FF2687"/>
    <w:rsid w:val="00FF353A"/>
    <w:rsid w:val="00FF4C45"/>
    <w:rsid w:val="00FF4EB0"/>
    <w:rsid w:val="00FF63BE"/>
    <w:rsid w:val="00FF7A9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AAFEB7"/>
  <w15:docId w15:val="{1EBB033C-4578-4BDA-89EE-D30E8D835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B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Heading1">
    <w:name w:val="heading 1"/>
    <w:basedOn w:val="Normal"/>
    <w:next w:val="Heading2"/>
    <w:link w:val="Heading1Char"/>
    <w:uiPriority w:val="9"/>
    <w:qFormat/>
    <w:rsid w:val="00B01BD1"/>
    <w:pPr>
      <w:keepNext/>
      <w:keepLines/>
      <w:numPr>
        <w:numId w:val="6"/>
      </w:numPr>
      <w:spacing w:before="240" w:after="120"/>
      <w:jc w:val="left"/>
      <w:outlineLvl w:val="0"/>
    </w:pPr>
    <w:rPr>
      <w:rFonts w:eastAsiaTheme="majorEastAsia" w:cstheme="majorBidi"/>
      <w:b/>
      <w:bCs/>
      <w:kern w:val="2"/>
      <w:sz w:val="28"/>
      <w:szCs w:val="32"/>
      <w14:ligatures w14:val="standardContextual"/>
    </w:rPr>
  </w:style>
  <w:style w:type="paragraph" w:styleId="Heading2">
    <w:name w:val="heading 2"/>
    <w:basedOn w:val="Normal"/>
    <w:next w:val="CBDNormalNumber"/>
    <w:link w:val="Heading2Char"/>
    <w:uiPriority w:val="9"/>
    <w:qFormat/>
    <w:rsid w:val="00B01BD1"/>
    <w:pPr>
      <w:keepNext/>
      <w:keepLines/>
      <w:numPr>
        <w:ilvl w:val="1"/>
        <w:numId w:val="6"/>
      </w:numPr>
      <w:spacing w:before="120" w:after="120"/>
      <w:jc w:val="left"/>
      <w:outlineLvl w:val="1"/>
    </w:pPr>
    <w:rPr>
      <w:rFonts w:ascii="Times New Roman Bold" w:eastAsiaTheme="majorEastAsia" w:hAnsi="Times New Roman Bold" w:cstheme="majorBidi"/>
      <w:b/>
      <w:sz w:val="24"/>
      <w:szCs w:val="26"/>
    </w:rPr>
  </w:style>
  <w:style w:type="paragraph" w:styleId="Heading3">
    <w:name w:val="heading 3"/>
    <w:basedOn w:val="Normal"/>
    <w:next w:val="CBDNormalNumber"/>
    <w:link w:val="Heading3Char"/>
    <w:uiPriority w:val="9"/>
    <w:qFormat/>
    <w:rsid w:val="00B01BD1"/>
    <w:pPr>
      <w:keepNext/>
      <w:keepLines/>
      <w:numPr>
        <w:ilvl w:val="2"/>
        <w:numId w:val="6"/>
      </w:numPr>
      <w:spacing w:before="120" w:after="120"/>
      <w:jc w:val="left"/>
      <w:outlineLvl w:val="2"/>
    </w:pPr>
    <w:rPr>
      <w:rFonts w:eastAsiaTheme="majorEastAsia"/>
      <w:b/>
      <w:bCs/>
    </w:rPr>
  </w:style>
  <w:style w:type="paragraph" w:styleId="Heading4">
    <w:name w:val="heading 4"/>
    <w:basedOn w:val="Normal"/>
    <w:next w:val="CBDNormalNumber"/>
    <w:link w:val="Heading4Char"/>
    <w:uiPriority w:val="9"/>
    <w:qFormat/>
    <w:rsid w:val="00B01BD1"/>
    <w:pPr>
      <w:keepNext/>
      <w:numPr>
        <w:ilvl w:val="3"/>
        <w:numId w:val="6"/>
      </w:numPr>
      <w:spacing w:before="120" w:after="120"/>
      <w:jc w:val="left"/>
      <w:outlineLvl w:val="3"/>
    </w:pPr>
    <w:rPr>
      <w:rFonts w:eastAsiaTheme="majorEastAsia"/>
      <w:b/>
      <w:bCs/>
    </w:rPr>
  </w:style>
  <w:style w:type="paragraph" w:styleId="Heading5">
    <w:name w:val="heading 5"/>
    <w:basedOn w:val="Normal"/>
    <w:next w:val="Normal"/>
    <w:link w:val="Heading5Char"/>
    <w:uiPriority w:val="9"/>
    <w:qFormat/>
    <w:rsid w:val="00B01BD1"/>
    <w:pPr>
      <w:keepNext/>
      <w:numPr>
        <w:ilvl w:val="4"/>
        <w:numId w:val="6"/>
      </w:numPr>
      <w:spacing w:before="120" w:after="120"/>
      <w:jc w:val="left"/>
      <w:outlineLvl w:val="4"/>
    </w:pPr>
    <w:rPr>
      <w:rFonts w:eastAsiaTheme="majorEastAsia"/>
      <w:i/>
      <w:iCs/>
    </w:rPr>
  </w:style>
  <w:style w:type="paragraph" w:styleId="Heading6">
    <w:name w:val="heading 6"/>
    <w:basedOn w:val="Normal"/>
    <w:next w:val="Normal"/>
    <w:link w:val="Heading6Char"/>
    <w:rsid w:val="00B01BD1"/>
    <w:pPr>
      <w:keepNext/>
      <w:keepLines/>
      <w:numPr>
        <w:ilvl w:val="5"/>
        <w:numId w:val="4"/>
      </w:numPr>
      <w:tabs>
        <w:tab w:val="right" w:pos="851"/>
        <w:tab w:val="left" w:pos="1871"/>
        <w:tab w:val="left" w:pos="2495"/>
        <w:tab w:val="left" w:pos="3119"/>
        <w:tab w:val="left" w:pos="3742"/>
        <w:tab w:val="left" w:pos="4082"/>
        <w:tab w:val="left" w:pos="4366"/>
      </w:tabs>
      <w:suppressAutoHyphens/>
      <w:spacing w:after="120"/>
      <w:ind w:right="624"/>
      <w:jc w:val="left"/>
      <w:outlineLvl w:val="5"/>
    </w:pPr>
    <w:rPr>
      <w:bCs/>
      <w:sz w:val="24"/>
    </w:rPr>
  </w:style>
  <w:style w:type="paragraph" w:styleId="Heading7">
    <w:name w:val="heading 7"/>
    <w:basedOn w:val="Normal"/>
    <w:next w:val="Normal"/>
    <w:link w:val="Heading7Char"/>
    <w:rsid w:val="00B01BD1"/>
    <w:pPr>
      <w:keepNext/>
      <w:keepLines/>
      <w:widowControl w:val="0"/>
      <w:numPr>
        <w:ilvl w:val="6"/>
        <w:numId w:val="4"/>
      </w:numPr>
      <w:tabs>
        <w:tab w:val="right" w:pos="851"/>
        <w:tab w:val="left" w:pos="1871"/>
        <w:tab w:val="left" w:pos="2495"/>
        <w:tab w:val="left" w:pos="3119"/>
        <w:tab w:val="left" w:pos="3742"/>
        <w:tab w:val="left" w:pos="4082"/>
        <w:tab w:val="left" w:pos="4366"/>
      </w:tabs>
      <w:suppressAutoHyphens/>
      <w:spacing w:after="120"/>
      <w:ind w:right="624"/>
      <w:jc w:val="left"/>
      <w:outlineLvl w:val="6"/>
    </w:pPr>
    <w:rPr>
      <w:b/>
      <w:snapToGrid w:val="0"/>
      <w:u w:val="single"/>
    </w:rPr>
  </w:style>
  <w:style w:type="paragraph" w:styleId="Heading8">
    <w:name w:val="heading 8"/>
    <w:basedOn w:val="Normal"/>
    <w:next w:val="Normal"/>
    <w:link w:val="Heading8Char"/>
    <w:rsid w:val="00B01BD1"/>
    <w:pPr>
      <w:keepNext/>
      <w:keepLines/>
      <w:widowControl w:val="0"/>
      <w:numPr>
        <w:ilvl w:val="7"/>
        <w:numId w:val="4"/>
      </w:numPr>
      <w:tabs>
        <w:tab w:val="left" w:pos="-1440"/>
        <w:tab w:val="left" w:pos="-720"/>
        <w:tab w:val="right" w:pos="851"/>
        <w:tab w:val="left" w:pos="1871"/>
        <w:tab w:val="left" w:pos="2495"/>
        <w:tab w:val="left" w:pos="3119"/>
        <w:tab w:val="left" w:pos="3742"/>
        <w:tab w:val="left" w:pos="4082"/>
        <w:tab w:val="left" w:pos="4366"/>
      </w:tabs>
      <w:suppressAutoHyphens/>
      <w:spacing w:after="120"/>
      <w:ind w:right="624"/>
      <w:jc w:val="left"/>
      <w:outlineLvl w:val="7"/>
    </w:pPr>
    <w:rPr>
      <w:b/>
      <w:snapToGrid w:val="0"/>
      <w:u w:val="single"/>
    </w:rPr>
  </w:style>
  <w:style w:type="paragraph" w:styleId="Heading9">
    <w:name w:val="heading 9"/>
    <w:basedOn w:val="Normal"/>
    <w:next w:val="Normal"/>
    <w:link w:val="Heading9Char"/>
    <w:rsid w:val="00B01BD1"/>
    <w:pPr>
      <w:keepNext/>
      <w:widowControl w:val="0"/>
      <w:numPr>
        <w:ilvl w:val="8"/>
        <w:numId w:val="4"/>
      </w:numPr>
      <w:suppressAutoHyphens/>
      <w:jc w:val="left"/>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1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91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9161D"/>
    <w:rPr>
      <w:rFonts w:ascii="Lucida Grande" w:eastAsia="SimSun" w:hAnsi="Lucida Grande" w:cs="Lucida Grande"/>
      <w:sz w:val="18"/>
      <w:szCs w:val="18"/>
      <w:lang w:val="en-GB"/>
    </w:rPr>
  </w:style>
  <w:style w:type="character" w:styleId="PlaceholderText">
    <w:name w:val="Placeholder Text"/>
    <w:basedOn w:val="DefaultParagraphFont"/>
    <w:uiPriority w:val="99"/>
    <w:semiHidden/>
    <w:rsid w:val="00105372"/>
    <w:rPr>
      <w:color w:val="808080"/>
    </w:rPr>
  </w:style>
  <w:style w:type="paragraph" w:styleId="Header">
    <w:name w:val="header"/>
    <w:basedOn w:val="Normal"/>
    <w:link w:val="HeaderChar"/>
    <w:uiPriority w:val="99"/>
    <w:rsid w:val="00B01BD1"/>
    <w:pPr>
      <w:pBdr>
        <w:bottom w:val="single" w:sz="4" w:space="1" w:color="auto"/>
      </w:pBdr>
      <w:tabs>
        <w:tab w:val="center" w:pos="4680"/>
        <w:tab w:val="right" w:pos="9360"/>
      </w:tabs>
      <w:jc w:val="left"/>
    </w:pPr>
    <w:rPr>
      <w:sz w:val="20"/>
    </w:rPr>
  </w:style>
  <w:style w:type="character" w:customStyle="1" w:styleId="HeaderChar">
    <w:name w:val="Header Char"/>
    <w:basedOn w:val="DefaultParagraphFont"/>
    <w:link w:val="Header"/>
    <w:uiPriority w:val="99"/>
    <w:rsid w:val="00B01BD1"/>
    <w:rPr>
      <w:rFonts w:ascii="Times New Roman" w:eastAsia="SimSun" w:hAnsi="Times New Roman" w:cs="Times New Roman"/>
      <w:sz w:val="20"/>
      <w:szCs w:val="22"/>
    </w:rPr>
  </w:style>
  <w:style w:type="paragraph" w:styleId="Footer">
    <w:name w:val="footer"/>
    <w:basedOn w:val="Normal"/>
    <w:link w:val="FooterChar"/>
    <w:uiPriority w:val="99"/>
    <w:rsid w:val="00B01BD1"/>
    <w:pPr>
      <w:tabs>
        <w:tab w:val="center" w:pos="4680"/>
        <w:tab w:val="right" w:pos="9360"/>
      </w:tabs>
    </w:pPr>
    <w:rPr>
      <w:sz w:val="20"/>
    </w:rPr>
  </w:style>
  <w:style w:type="character" w:customStyle="1" w:styleId="FooterChar">
    <w:name w:val="Footer Char"/>
    <w:basedOn w:val="DefaultParagraphFont"/>
    <w:link w:val="Footer"/>
    <w:uiPriority w:val="99"/>
    <w:rsid w:val="00B01BD1"/>
    <w:rPr>
      <w:rFonts w:ascii="Times New Roman" w:eastAsia="SimSun" w:hAnsi="Times New Roman" w:cs="Times New Roman"/>
      <w:sz w:val="20"/>
      <w:szCs w:val="22"/>
    </w:rPr>
  </w:style>
  <w:style w:type="paragraph" w:customStyle="1" w:styleId="meetingname">
    <w:name w:val="meeting name"/>
    <w:basedOn w:val="Normal"/>
    <w:qFormat/>
    <w:rsid w:val="00534681"/>
    <w:pPr>
      <w:ind w:left="142" w:right="4218" w:hanging="142"/>
    </w:pPr>
    <w:rPr>
      <w:caps/>
    </w:rPr>
  </w:style>
  <w:style w:type="paragraph" w:styleId="Title">
    <w:name w:val="Title"/>
    <w:basedOn w:val="Normal"/>
    <w:next w:val="Normal"/>
    <w:link w:val="TitleChar"/>
    <w:uiPriority w:val="10"/>
    <w:qFormat/>
    <w:rsid w:val="007E09D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09D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E09DA"/>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11"/>
    <w:rsid w:val="007E09DA"/>
    <w:rPr>
      <w:rFonts w:asciiTheme="majorHAnsi" w:eastAsiaTheme="majorEastAsia" w:hAnsiTheme="majorHAnsi" w:cstheme="majorBidi"/>
      <w:i/>
      <w:iCs/>
      <w:color w:val="4F81BD" w:themeColor="accent1"/>
      <w:spacing w:val="15"/>
      <w:szCs w:val="22"/>
    </w:rPr>
  </w:style>
  <w:style w:type="character" w:customStyle="1" w:styleId="Heading1Char">
    <w:name w:val="Heading 1 Char"/>
    <w:basedOn w:val="DefaultParagraphFont"/>
    <w:link w:val="Heading1"/>
    <w:uiPriority w:val="9"/>
    <w:rsid w:val="00B01BD1"/>
    <w:rPr>
      <w:rFonts w:ascii="Times New Roman" w:eastAsiaTheme="majorEastAsia" w:hAnsi="Times New Roman" w:cstheme="majorBidi"/>
      <w:b/>
      <w:bCs/>
      <w:kern w:val="2"/>
      <w:sz w:val="28"/>
      <w:szCs w:val="32"/>
      <w:lang w:val="en-GB"/>
      <w14:ligatures w14:val="standardContextual"/>
    </w:rPr>
  </w:style>
  <w:style w:type="paragraph" w:styleId="BodyText">
    <w:name w:val="Body Text"/>
    <w:basedOn w:val="Normal"/>
    <w:link w:val="BodyTextChar"/>
    <w:uiPriority w:val="99"/>
    <w:unhideWhenUsed/>
    <w:rsid w:val="00B01BD1"/>
    <w:pPr>
      <w:spacing w:after="120" w:line="259" w:lineRule="auto"/>
      <w:jc w:val="left"/>
    </w:pPr>
    <w:rPr>
      <w:rFonts w:asciiTheme="minorHAnsi" w:eastAsiaTheme="minorHAnsi" w:hAnsiTheme="minorHAnsi" w:cstheme="minorBidi"/>
      <w:kern w:val="2"/>
      <w14:ligatures w14:val="standardContextual"/>
    </w:rPr>
  </w:style>
  <w:style w:type="character" w:customStyle="1" w:styleId="BodyTextChar">
    <w:name w:val="Body Text Char"/>
    <w:basedOn w:val="DefaultParagraphFont"/>
    <w:link w:val="BodyText"/>
    <w:uiPriority w:val="99"/>
    <w:rsid w:val="00B01BD1"/>
    <w:rPr>
      <w:rFonts w:eastAsiaTheme="minorHAnsi"/>
      <w:kern w:val="2"/>
      <w:sz w:val="22"/>
      <w:szCs w:val="22"/>
      <w:lang w:val="en-GB"/>
      <w14:ligatures w14:val="standardContextual"/>
    </w:rPr>
  </w:style>
  <w:style w:type="paragraph" w:styleId="BodyTextIndent">
    <w:name w:val="Body Text Indent"/>
    <w:basedOn w:val="Normal"/>
    <w:link w:val="BodyTextIndentChar"/>
    <w:rsid w:val="007E09DA"/>
    <w:pPr>
      <w:spacing w:before="120" w:after="120"/>
      <w:ind w:left="1440" w:hanging="720"/>
      <w:jc w:val="left"/>
    </w:pPr>
  </w:style>
  <w:style w:type="character" w:customStyle="1" w:styleId="BodyTextIndentChar">
    <w:name w:val="Body Text Indent Char"/>
    <w:basedOn w:val="DefaultParagraphFont"/>
    <w:link w:val="BodyTextIndent"/>
    <w:rsid w:val="007E09DA"/>
    <w:rPr>
      <w:rFonts w:ascii="Times New Roman" w:eastAsia="SimSun" w:hAnsi="Times New Roman" w:cs="Times New Roman"/>
      <w:sz w:val="22"/>
      <w:szCs w:val="22"/>
      <w:lang w:val="en-GB"/>
    </w:rPr>
  </w:style>
  <w:style w:type="character" w:styleId="CommentReference">
    <w:name w:val="annotation reference"/>
    <w:basedOn w:val="DefaultParagraphFont"/>
    <w:uiPriority w:val="99"/>
    <w:semiHidden/>
    <w:unhideWhenUsed/>
    <w:rsid w:val="00B01BD1"/>
    <w:rPr>
      <w:sz w:val="16"/>
      <w:szCs w:val="16"/>
      <w:lang w:val="en-GB"/>
    </w:rPr>
  </w:style>
  <w:style w:type="paragraph" w:styleId="CommentText">
    <w:name w:val="annotation text"/>
    <w:basedOn w:val="Normal"/>
    <w:link w:val="CommentTextChar"/>
    <w:uiPriority w:val="99"/>
    <w:semiHidden/>
    <w:rsid w:val="00B01BD1"/>
    <w:rPr>
      <w:sz w:val="20"/>
      <w:szCs w:val="20"/>
    </w:rPr>
  </w:style>
  <w:style w:type="character" w:customStyle="1" w:styleId="CommentTextChar">
    <w:name w:val="Comment Text Char"/>
    <w:basedOn w:val="DefaultParagraphFont"/>
    <w:link w:val="CommentText"/>
    <w:uiPriority w:val="99"/>
    <w:semiHidden/>
    <w:rsid w:val="00B01BD1"/>
    <w:rPr>
      <w:rFonts w:ascii="Times New Roman" w:eastAsia="SimSun" w:hAnsi="Times New Roman" w:cs="Times New Roman"/>
      <w:sz w:val="20"/>
      <w:szCs w:val="20"/>
      <w:lang w:val="en-GB"/>
    </w:rPr>
  </w:style>
  <w:style w:type="paragraph" w:customStyle="1" w:styleId="Cornernotation">
    <w:name w:val="Corner notation"/>
    <w:basedOn w:val="Normal"/>
    <w:rsid w:val="007E09DA"/>
    <w:pPr>
      <w:ind w:left="170" w:right="3119" w:hanging="170"/>
      <w:jc w:val="left"/>
    </w:pPr>
  </w:style>
  <w:style w:type="character" w:styleId="EndnoteReference">
    <w:name w:val="endnote reference"/>
    <w:semiHidden/>
    <w:rsid w:val="007E09DA"/>
    <w:rPr>
      <w:vertAlign w:val="superscript"/>
      <w:lang w:val="en-GB"/>
    </w:rPr>
  </w:style>
  <w:style w:type="paragraph" w:styleId="EndnoteText">
    <w:name w:val="endnote text"/>
    <w:basedOn w:val="Normal"/>
    <w:link w:val="EndnoteTextChar"/>
    <w:semiHidden/>
    <w:rsid w:val="007E09DA"/>
    <w:pPr>
      <w:widowControl w:val="0"/>
      <w:tabs>
        <w:tab w:val="left" w:pos="-720"/>
      </w:tabs>
      <w:suppressAutoHyphens/>
    </w:pPr>
    <w:rPr>
      <w:rFonts w:ascii="Courier New" w:hAnsi="Courier New"/>
    </w:rPr>
  </w:style>
  <w:style w:type="character" w:customStyle="1" w:styleId="EndnoteTextChar">
    <w:name w:val="Endnote Text Char"/>
    <w:basedOn w:val="DefaultParagraphFont"/>
    <w:link w:val="EndnoteText"/>
    <w:semiHidden/>
    <w:rsid w:val="007E09DA"/>
    <w:rPr>
      <w:rFonts w:ascii="Courier New" w:eastAsia="SimSun" w:hAnsi="Courier New" w:cs="Times New Roman"/>
      <w:sz w:val="22"/>
      <w:szCs w:val="22"/>
    </w:rPr>
  </w:style>
  <w:style w:type="character" w:styleId="FollowedHyperlink">
    <w:name w:val="FollowedHyperlink"/>
    <w:rsid w:val="007E09DA"/>
    <w:rPr>
      <w:color w:val="800080"/>
      <w:u w:val="single"/>
      <w:lang w:val="en-GB"/>
    </w:rPr>
  </w:style>
  <w:style w:type="character" w:styleId="FootnoteReference">
    <w:name w:val="footnote reference"/>
    <w:aliases w:val="(Diplomarbeit FZ),(Diplomarbeit FZ)1,(Diplomarbeit FZ)2,(Diplomarbeit FZ)3,(Diplomarbeit FZ)4,(Diplomarbeit FZ)5,(Diplomarbeit FZ)6,(Diplomarbeit FZ)7,(Diplomarbeit FZ)8,-E Fußnotenzeichen,Footnote Reference Superscript,number"/>
    <w:basedOn w:val="DefaultParagraphFont"/>
    <w:link w:val="BVIfnrChar"/>
    <w:uiPriority w:val="99"/>
    <w:unhideWhenUsed/>
    <w:rsid w:val="00B01BD1"/>
    <w:rPr>
      <w:vertAlign w:val="superscript"/>
    </w:rPr>
  </w:style>
  <w:style w:type="paragraph" w:styleId="FootnoteText">
    <w:name w:val="footnote text"/>
    <w:basedOn w:val="Normal"/>
    <w:link w:val="FootnoteTextChar"/>
    <w:uiPriority w:val="99"/>
    <w:unhideWhenUsed/>
    <w:rsid w:val="00B01BD1"/>
    <w:pPr>
      <w:jc w:val="left"/>
    </w:pPr>
    <w:rPr>
      <w:sz w:val="18"/>
      <w:szCs w:val="20"/>
    </w:rPr>
  </w:style>
  <w:style w:type="character" w:customStyle="1" w:styleId="FootnoteTextChar">
    <w:name w:val="Footnote Text Char"/>
    <w:basedOn w:val="DefaultParagraphFont"/>
    <w:link w:val="FootnoteText"/>
    <w:uiPriority w:val="99"/>
    <w:rsid w:val="00B01BD1"/>
    <w:rPr>
      <w:rFonts w:ascii="Times New Roman" w:eastAsia="SimSun" w:hAnsi="Times New Roman" w:cs="Times New Roman"/>
      <w:sz w:val="18"/>
      <w:szCs w:val="20"/>
    </w:rPr>
  </w:style>
  <w:style w:type="paragraph" w:customStyle="1" w:styleId="HEADING">
    <w:name w:val="HEADING"/>
    <w:basedOn w:val="Normal"/>
    <w:rsid w:val="007E09DA"/>
    <w:pPr>
      <w:keepNext/>
      <w:spacing w:before="240" w:after="120"/>
      <w:jc w:val="center"/>
    </w:pPr>
    <w:rPr>
      <w:b/>
      <w:bCs/>
      <w:caps/>
    </w:rPr>
  </w:style>
  <w:style w:type="character" w:customStyle="1" w:styleId="Heading2Char">
    <w:name w:val="Heading 2 Char"/>
    <w:basedOn w:val="DefaultParagraphFont"/>
    <w:link w:val="Heading2"/>
    <w:uiPriority w:val="9"/>
    <w:rsid w:val="00B01BD1"/>
    <w:rPr>
      <w:rFonts w:ascii="Times New Roman Bold" w:eastAsiaTheme="majorEastAsia" w:hAnsi="Times New Roman Bold" w:cstheme="majorBidi"/>
      <w:b/>
      <w:szCs w:val="26"/>
      <w:lang w:val="en-GB"/>
    </w:rPr>
  </w:style>
  <w:style w:type="paragraph" w:customStyle="1" w:styleId="HEADINGNOTFORTOC">
    <w:name w:val="HEADING (NOT FOR TOC)"/>
    <w:basedOn w:val="Heading1"/>
    <w:next w:val="Heading2"/>
    <w:rsid w:val="007E09DA"/>
  </w:style>
  <w:style w:type="paragraph" w:customStyle="1" w:styleId="Heading1longmultiline">
    <w:name w:val="Heading 1 (long multiline)"/>
    <w:basedOn w:val="Heading1"/>
    <w:rsid w:val="007E09DA"/>
    <w:pPr>
      <w:ind w:left="1843" w:hanging="1134"/>
    </w:pPr>
  </w:style>
  <w:style w:type="paragraph" w:customStyle="1" w:styleId="Heading1multiline">
    <w:name w:val="Heading 1 (multiline)"/>
    <w:basedOn w:val="Heading1"/>
    <w:rsid w:val="007E09DA"/>
    <w:pPr>
      <w:ind w:left="1843" w:right="996"/>
    </w:pPr>
  </w:style>
  <w:style w:type="paragraph" w:customStyle="1" w:styleId="Heading2multiline">
    <w:name w:val="Heading 2 (multiline)"/>
    <w:basedOn w:val="Heading1"/>
    <w:next w:val="Normal"/>
    <w:rsid w:val="007E09DA"/>
    <w:pPr>
      <w:spacing w:before="120"/>
      <w:ind w:left="1843" w:right="998"/>
    </w:pPr>
    <w:rPr>
      <w:i/>
      <w:iCs/>
      <w:caps/>
    </w:rPr>
  </w:style>
  <w:style w:type="paragraph" w:customStyle="1" w:styleId="Heading2longmultiline">
    <w:name w:val="Heading 2 (long multiline)"/>
    <w:basedOn w:val="Heading2multiline"/>
    <w:rsid w:val="007E09DA"/>
    <w:pPr>
      <w:ind w:left="2127" w:hanging="1276"/>
    </w:pPr>
  </w:style>
  <w:style w:type="character" w:customStyle="1" w:styleId="Heading3Char">
    <w:name w:val="Heading 3 Char"/>
    <w:basedOn w:val="DefaultParagraphFont"/>
    <w:link w:val="Heading3"/>
    <w:uiPriority w:val="9"/>
    <w:rsid w:val="00B01BD1"/>
    <w:rPr>
      <w:rFonts w:ascii="Times New Roman" w:eastAsiaTheme="majorEastAsia" w:hAnsi="Times New Roman" w:cs="Times New Roman"/>
      <w:b/>
      <w:bCs/>
      <w:sz w:val="22"/>
      <w:szCs w:val="22"/>
      <w:lang w:val="en-GB"/>
    </w:rPr>
  </w:style>
  <w:style w:type="paragraph" w:customStyle="1" w:styleId="heading2notforTOC">
    <w:name w:val="heading 2 not for TOC"/>
    <w:basedOn w:val="Heading3"/>
    <w:rsid w:val="007E09DA"/>
  </w:style>
  <w:style w:type="paragraph" w:customStyle="1" w:styleId="Heading3multiline">
    <w:name w:val="Heading 3 (multiline)"/>
    <w:basedOn w:val="Heading3"/>
    <w:next w:val="Normal"/>
    <w:rsid w:val="007E09DA"/>
    <w:pPr>
      <w:ind w:left="1418" w:hanging="425"/>
    </w:pPr>
  </w:style>
  <w:style w:type="character" w:customStyle="1" w:styleId="Heading4Char">
    <w:name w:val="Heading 4 Char"/>
    <w:basedOn w:val="DefaultParagraphFont"/>
    <w:link w:val="Heading4"/>
    <w:uiPriority w:val="9"/>
    <w:rsid w:val="00B01BD1"/>
    <w:rPr>
      <w:rFonts w:ascii="Times New Roman" w:eastAsiaTheme="majorEastAsia" w:hAnsi="Times New Roman" w:cs="Times New Roman"/>
      <w:b/>
      <w:bCs/>
      <w:sz w:val="22"/>
      <w:szCs w:val="22"/>
      <w:lang w:val="en-GB"/>
    </w:rPr>
  </w:style>
  <w:style w:type="paragraph" w:customStyle="1" w:styleId="Heading4indent">
    <w:name w:val="Heading 4 indent"/>
    <w:basedOn w:val="Heading4"/>
    <w:rsid w:val="007E09DA"/>
    <w:pPr>
      <w:ind w:left="720"/>
      <w:outlineLvl w:val="9"/>
    </w:pPr>
  </w:style>
  <w:style w:type="character" w:customStyle="1" w:styleId="Heading5Char">
    <w:name w:val="Heading 5 Char"/>
    <w:basedOn w:val="DefaultParagraphFont"/>
    <w:link w:val="Heading5"/>
    <w:uiPriority w:val="9"/>
    <w:rsid w:val="00B01BD1"/>
    <w:rPr>
      <w:rFonts w:ascii="Times New Roman" w:eastAsiaTheme="majorEastAsia" w:hAnsi="Times New Roman" w:cs="Times New Roman"/>
      <w:i/>
      <w:iCs/>
      <w:sz w:val="22"/>
      <w:szCs w:val="22"/>
      <w:lang w:val="en-GB"/>
    </w:rPr>
  </w:style>
  <w:style w:type="character" w:customStyle="1" w:styleId="Heading6Char">
    <w:name w:val="Heading 6 Char"/>
    <w:basedOn w:val="DefaultParagraphFont"/>
    <w:link w:val="Heading6"/>
    <w:rsid w:val="00B01BD1"/>
    <w:rPr>
      <w:rFonts w:ascii="Times New Roman" w:eastAsia="SimSun" w:hAnsi="Times New Roman" w:cs="Times New Roman"/>
      <w:bCs/>
      <w:szCs w:val="22"/>
      <w:lang w:val="en-GB"/>
    </w:rPr>
  </w:style>
  <w:style w:type="character" w:customStyle="1" w:styleId="Heading7Char">
    <w:name w:val="Heading 7 Char"/>
    <w:basedOn w:val="DefaultParagraphFont"/>
    <w:link w:val="Heading7"/>
    <w:rsid w:val="00B01BD1"/>
    <w:rPr>
      <w:rFonts w:ascii="Times New Roman" w:eastAsia="SimSun" w:hAnsi="Times New Roman" w:cs="Times New Roman"/>
      <w:b/>
      <w:snapToGrid w:val="0"/>
      <w:sz w:val="22"/>
      <w:szCs w:val="22"/>
      <w:u w:val="single"/>
      <w:lang w:val="en-GB"/>
    </w:rPr>
  </w:style>
  <w:style w:type="character" w:customStyle="1" w:styleId="Heading8Char">
    <w:name w:val="Heading 8 Char"/>
    <w:basedOn w:val="DefaultParagraphFont"/>
    <w:link w:val="Heading8"/>
    <w:rsid w:val="00B01BD1"/>
    <w:rPr>
      <w:rFonts w:ascii="Times New Roman" w:eastAsia="SimSun" w:hAnsi="Times New Roman" w:cs="Times New Roman"/>
      <w:b/>
      <w:snapToGrid w:val="0"/>
      <w:sz w:val="22"/>
      <w:szCs w:val="22"/>
      <w:u w:val="single"/>
      <w:lang w:val="en-GB"/>
    </w:rPr>
  </w:style>
  <w:style w:type="character" w:customStyle="1" w:styleId="Heading9Char">
    <w:name w:val="Heading 9 Char"/>
    <w:basedOn w:val="DefaultParagraphFont"/>
    <w:link w:val="Heading9"/>
    <w:rsid w:val="00B01BD1"/>
    <w:rPr>
      <w:rFonts w:ascii="Times New Roman" w:eastAsia="SimSun" w:hAnsi="Times New Roman" w:cs="Times New Roman"/>
      <w:snapToGrid w:val="0"/>
      <w:sz w:val="22"/>
      <w:szCs w:val="22"/>
      <w:u w:val="single"/>
      <w:lang w:val="en-GB"/>
    </w:rPr>
  </w:style>
  <w:style w:type="character" w:styleId="PageNumber">
    <w:name w:val="page number"/>
    <w:rsid w:val="007E09DA"/>
    <w:rPr>
      <w:rFonts w:ascii="Times New Roman" w:hAnsi="Times New Roman"/>
      <w:sz w:val="22"/>
      <w:lang w:val="en-GB"/>
    </w:rPr>
  </w:style>
  <w:style w:type="paragraph" w:customStyle="1" w:styleId="Para1">
    <w:name w:val="Para1"/>
    <w:basedOn w:val="Normal"/>
    <w:link w:val="Para1Char"/>
    <w:rsid w:val="005B35E2"/>
    <w:pPr>
      <w:numPr>
        <w:numId w:val="1"/>
      </w:numPr>
      <w:tabs>
        <w:tab w:val="clear" w:pos="360"/>
      </w:tabs>
      <w:spacing w:before="120" w:after="120"/>
      <w:ind w:left="567"/>
    </w:pPr>
    <w:rPr>
      <w:snapToGrid w:val="0"/>
      <w:szCs w:val="18"/>
    </w:rPr>
  </w:style>
  <w:style w:type="paragraph" w:customStyle="1" w:styleId="Para2">
    <w:name w:val="Para2"/>
    <w:basedOn w:val="Para1"/>
    <w:rsid w:val="007E09DA"/>
    <w:pPr>
      <w:numPr>
        <w:numId w:val="0"/>
      </w:numPr>
      <w:autoSpaceDE w:val="0"/>
      <w:autoSpaceDN w:val="0"/>
    </w:pPr>
  </w:style>
  <w:style w:type="paragraph" w:customStyle="1" w:styleId="Para3">
    <w:name w:val="Para3"/>
    <w:basedOn w:val="Normal"/>
    <w:rsid w:val="007E09DA"/>
    <w:pPr>
      <w:numPr>
        <w:ilvl w:val="3"/>
        <w:numId w:val="2"/>
      </w:numPr>
      <w:tabs>
        <w:tab w:val="left" w:pos="1980"/>
      </w:tabs>
      <w:spacing w:before="80" w:after="80"/>
    </w:pPr>
    <w:rPr>
      <w:szCs w:val="20"/>
    </w:rPr>
  </w:style>
  <w:style w:type="paragraph" w:customStyle="1" w:styleId="para4">
    <w:name w:val="para4"/>
    <w:basedOn w:val="Normal"/>
    <w:rsid w:val="007E09DA"/>
    <w:pPr>
      <w:overflowPunct w:val="0"/>
      <w:autoSpaceDE w:val="0"/>
      <w:autoSpaceDN w:val="0"/>
      <w:adjustRightInd w:val="0"/>
      <w:spacing w:after="120" w:line="240" w:lineRule="atLeast"/>
      <w:textAlignment w:val="baseline"/>
    </w:pPr>
    <w:rPr>
      <w:rFonts w:ascii="Courier" w:hAnsi="Courier"/>
      <w:color w:val="000000"/>
      <w:sz w:val="20"/>
      <w:szCs w:val="20"/>
    </w:rPr>
  </w:style>
  <w:style w:type="paragraph" w:customStyle="1" w:styleId="Para-decision">
    <w:name w:val="Para-decision"/>
    <w:basedOn w:val="Normal"/>
    <w:rsid w:val="007E09DA"/>
    <w:pPr>
      <w:tabs>
        <w:tab w:val="left" w:pos="-1440"/>
        <w:tab w:val="left" w:pos="-720"/>
        <w:tab w:val="left" w:pos="0"/>
        <w:tab w:val="left" w:pos="720"/>
        <w:tab w:val="left" w:pos="1440"/>
      </w:tabs>
      <w:suppressAutoHyphens/>
      <w:overflowPunct w:val="0"/>
      <w:autoSpaceDE w:val="0"/>
      <w:autoSpaceDN w:val="0"/>
      <w:adjustRightInd w:val="0"/>
      <w:spacing w:before="120" w:after="120"/>
      <w:ind w:firstLine="720"/>
      <w:jc w:val="left"/>
      <w:textAlignment w:val="baseline"/>
    </w:pPr>
    <w:rPr>
      <w:color w:val="000000"/>
    </w:rPr>
  </w:style>
  <w:style w:type="paragraph" w:customStyle="1" w:styleId="Quotationtextindented">
    <w:name w:val="Quotation text (indented)"/>
    <w:basedOn w:val="Normal"/>
    <w:qFormat/>
    <w:rsid w:val="007E09DA"/>
    <w:pPr>
      <w:spacing w:before="120" w:after="120"/>
      <w:ind w:left="720" w:right="720"/>
    </w:pPr>
    <w:rPr>
      <w:bCs/>
    </w:rPr>
  </w:style>
  <w:style w:type="paragraph" w:customStyle="1" w:styleId="recommendationheader">
    <w:name w:val="recommendation header"/>
    <w:basedOn w:val="Heading2"/>
    <w:qFormat/>
    <w:rsid w:val="007E09DA"/>
  </w:style>
  <w:style w:type="paragraph" w:customStyle="1" w:styleId="recommendationheaderlong">
    <w:name w:val="recommendation header long"/>
    <w:basedOn w:val="Heading2longmultiline"/>
    <w:qFormat/>
    <w:rsid w:val="007E09DA"/>
  </w:style>
  <w:style w:type="paragraph" w:customStyle="1" w:styleId="reference">
    <w:name w:val="reference"/>
    <w:basedOn w:val="Heading9"/>
    <w:qFormat/>
    <w:rsid w:val="007E09DA"/>
    <w:rPr>
      <w:i/>
      <w:sz w:val="18"/>
    </w:rPr>
  </w:style>
  <w:style w:type="character" w:customStyle="1" w:styleId="StyleFootnoteReferenceNounderline">
    <w:name w:val="Style Footnote Reference + No underline"/>
    <w:rsid w:val="007E09DA"/>
    <w:rPr>
      <w:sz w:val="18"/>
      <w:u w:val="none"/>
      <w:vertAlign w:val="baseline"/>
      <w:lang w:val="en-GB"/>
    </w:rPr>
  </w:style>
  <w:style w:type="paragraph" w:customStyle="1" w:styleId="tabletitle">
    <w:name w:val="table title"/>
    <w:basedOn w:val="Heading2"/>
    <w:qFormat/>
    <w:rsid w:val="0093169E"/>
    <w:pPr>
      <w:outlineLvl w:val="9"/>
    </w:pPr>
    <w:rPr>
      <w:i/>
    </w:rPr>
  </w:style>
  <w:style w:type="paragraph" w:styleId="TOAHeading">
    <w:name w:val="toa heading"/>
    <w:basedOn w:val="Normal"/>
    <w:next w:val="Normal"/>
    <w:semiHidden/>
    <w:rsid w:val="007E09DA"/>
    <w:pPr>
      <w:spacing w:before="120"/>
    </w:pPr>
    <w:rPr>
      <w:rFonts w:cs="Arial"/>
      <w:b/>
      <w:bCs/>
      <w:sz w:val="24"/>
    </w:rPr>
  </w:style>
  <w:style w:type="paragraph" w:styleId="TOC1">
    <w:name w:val="toc 1"/>
    <w:basedOn w:val="CBDNormal"/>
    <w:next w:val="Normal"/>
    <w:autoRedefine/>
    <w:uiPriority w:val="39"/>
    <w:unhideWhenUsed/>
    <w:rsid w:val="00B01BD1"/>
    <w:pPr>
      <w:tabs>
        <w:tab w:val="clear" w:pos="567"/>
        <w:tab w:val="clear" w:pos="1134"/>
        <w:tab w:val="clear" w:pos="1701"/>
        <w:tab w:val="clear" w:pos="2268"/>
        <w:tab w:val="left" w:pos="624"/>
        <w:tab w:val="left" w:pos="1247"/>
        <w:tab w:val="left" w:pos="1871"/>
        <w:tab w:val="right" w:leader="dot" w:pos="9486"/>
      </w:tabs>
      <w:adjustRightInd w:val="0"/>
      <w:snapToGrid w:val="0"/>
      <w:spacing w:before="240"/>
      <w:ind w:left="1984" w:hanging="737"/>
      <w:jc w:val="left"/>
    </w:pPr>
    <w:rPr>
      <w:rFonts w:eastAsia="Times New Roman"/>
      <w:bCs/>
      <w:szCs w:val="20"/>
    </w:rPr>
  </w:style>
  <w:style w:type="paragraph" w:styleId="TOC2">
    <w:name w:val="toc 2"/>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right" w:leader="dot" w:pos="9486"/>
      </w:tabs>
      <w:adjustRightInd w:val="0"/>
      <w:snapToGrid w:val="0"/>
      <w:spacing w:before="60"/>
      <w:ind w:left="2608" w:hanging="737"/>
      <w:jc w:val="left"/>
    </w:pPr>
    <w:rPr>
      <w:rFonts w:eastAsia="Times New Roman"/>
      <w:szCs w:val="20"/>
    </w:rPr>
  </w:style>
  <w:style w:type="paragraph" w:styleId="TOC3">
    <w:name w:val="toc 3"/>
    <w:basedOn w:val="CBDNormal"/>
    <w:next w:val="Normal"/>
    <w:uiPriority w:val="39"/>
    <w:unhideWhenUsed/>
    <w:rsid w:val="00B01BD1"/>
    <w:pPr>
      <w:tabs>
        <w:tab w:val="clear" w:pos="567"/>
        <w:tab w:val="clear" w:pos="1134"/>
        <w:tab w:val="clear" w:pos="1701"/>
        <w:tab w:val="clear" w:pos="2268"/>
        <w:tab w:val="left" w:pos="624"/>
        <w:tab w:val="left" w:pos="1247"/>
        <w:tab w:val="left" w:pos="1871"/>
        <w:tab w:val="left" w:pos="2495"/>
        <w:tab w:val="left" w:pos="3119"/>
        <w:tab w:val="right" w:leader="dot" w:pos="9486"/>
      </w:tabs>
      <w:adjustRightInd w:val="0"/>
      <w:snapToGrid w:val="0"/>
      <w:ind w:left="3232" w:hanging="737"/>
      <w:jc w:val="left"/>
    </w:pPr>
    <w:rPr>
      <w:rFonts w:eastAsia="Times New Roman"/>
      <w:iCs/>
      <w:szCs w:val="20"/>
    </w:rPr>
  </w:style>
  <w:style w:type="paragraph" w:styleId="TOC4">
    <w:name w:val="toc 4"/>
    <w:basedOn w:val="CBDNormal"/>
    <w:next w:val="Normal"/>
    <w:uiPriority w:val="39"/>
    <w:unhideWhenUsed/>
    <w:rsid w:val="00B01BD1"/>
    <w:pPr>
      <w:tabs>
        <w:tab w:val="clear" w:pos="567"/>
        <w:tab w:val="clear" w:pos="1134"/>
        <w:tab w:val="clear" w:pos="1701"/>
        <w:tab w:val="clear" w:pos="2268"/>
        <w:tab w:val="left" w:pos="624"/>
        <w:tab w:val="left" w:pos="1000"/>
        <w:tab w:val="left" w:pos="1247"/>
        <w:tab w:val="left" w:pos="1871"/>
        <w:tab w:val="left" w:pos="2495"/>
        <w:tab w:val="left" w:pos="3119"/>
        <w:tab w:val="left" w:pos="3742"/>
        <w:tab w:val="right" w:leader="dot" w:pos="9486"/>
      </w:tabs>
      <w:adjustRightInd w:val="0"/>
      <w:snapToGrid w:val="0"/>
      <w:ind w:left="3856" w:hanging="737"/>
      <w:jc w:val="left"/>
    </w:pPr>
    <w:rPr>
      <w:rFonts w:eastAsia="Times New Roman"/>
      <w:szCs w:val="18"/>
    </w:rPr>
  </w:style>
  <w:style w:type="paragraph" w:styleId="TOC5">
    <w:name w:val="toc 5"/>
    <w:basedOn w:val="CBDNormal"/>
    <w:next w:val="Normal"/>
    <w:uiPriority w:val="39"/>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 w:val="right" w:leader="dot" w:pos="9486"/>
      </w:tabs>
      <w:adjustRightInd w:val="0"/>
      <w:snapToGrid w:val="0"/>
      <w:ind w:left="4479" w:hanging="737"/>
      <w:jc w:val="left"/>
    </w:pPr>
    <w:rPr>
      <w:rFonts w:eastAsia="Times New Roman"/>
      <w:szCs w:val="18"/>
    </w:rPr>
  </w:style>
  <w:style w:type="paragraph" w:styleId="TOC6">
    <w:name w:val="toc 6"/>
    <w:basedOn w:val="Normal"/>
    <w:next w:val="Normal"/>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000"/>
      <w:jc w:val="left"/>
    </w:pPr>
    <w:rPr>
      <w:rFonts w:eastAsia="Times New Roman"/>
      <w:sz w:val="18"/>
      <w:szCs w:val="18"/>
    </w:rPr>
  </w:style>
  <w:style w:type="paragraph" w:styleId="TOC7">
    <w:name w:val="toc 7"/>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200"/>
      <w:jc w:val="left"/>
    </w:pPr>
    <w:rPr>
      <w:rFonts w:eastAsia="Times New Roman"/>
      <w:sz w:val="18"/>
      <w:szCs w:val="18"/>
    </w:rPr>
  </w:style>
  <w:style w:type="paragraph" w:styleId="TOC8">
    <w:name w:val="toc 8"/>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400"/>
      <w:jc w:val="left"/>
    </w:pPr>
    <w:rPr>
      <w:rFonts w:eastAsia="Times New Roman"/>
      <w:sz w:val="18"/>
      <w:szCs w:val="18"/>
    </w:rPr>
  </w:style>
  <w:style w:type="paragraph" w:styleId="TOC9">
    <w:name w:val="toc 9"/>
    <w:basedOn w:val="Normal"/>
    <w:next w:val="Normal"/>
    <w:autoRedefine/>
    <w:semiHidden/>
    <w:rsid w:val="00B01BD1"/>
    <w:pPr>
      <w:tabs>
        <w:tab w:val="clear" w:pos="567"/>
        <w:tab w:val="clear" w:pos="1134"/>
        <w:tab w:val="clear" w:pos="1701"/>
        <w:tab w:val="clear" w:pos="2268"/>
        <w:tab w:val="left" w:pos="624"/>
        <w:tab w:val="left" w:pos="1247"/>
        <w:tab w:val="left" w:pos="1871"/>
        <w:tab w:val="left" w:pos="2495"/>
        <w:tab w:val="left" w:pos="3119"/>
        <w:tab w:val="left" w:pos="3742"/>
        <w:tab w:val="left" w:pos="4366"/>
      </w:tabs>
      <w:adjustRightInd w:val="0"/>
      <w:snapToGrid w:val="0"/>
      <w:ind w:left="1600"/>
      <w:jc w:val="left"/>
    </w:pPr>
    <w:rPr>
      <w:rFonts w:eastAsia="Times New Roman"/>
      <w:sz w:val="18"/>
      <w:szCs w:val="18"/>
    </w:rPr>
  </w:style>
  <w:style w:type="character" w:styleId="Hyperlink">
    <w:name w:val="Hyperlink"/>
    <w:basedOn w:val="DefaultParagraphFont"/>
    <w:uiPriority w:val="99"/>
    <w:unhideWhenUsed/>
    <w:rsid w:val="00B01BD1"/>
    <w:rPr>
      <w:rFonts w:ascii="Times New Roman" w:hAnsi="Times New Roman"/>
      <w:color w:val="0000FF" w:themeColor="hyperlink"/>
      <w:u w:val="single"/>
    </w:rPr>
  </w:style>
  <w:style w:type="character" w:customStyle="1" w:styleId="Para1Char">
    <w:name w:val="Para1 Char"/>
    <w:link w:val="Para1"/>
    <w:locked/>
    <w:rsid w:val="005B35E2"/>
    <w:rPr>
      <w:rFonts w:ascii="Times New Roman" w:eastAsia="SimSun" w:hAnsi="Times New Roman" w:cs="Times New Roman"/>
      <w:snapToGrid w:val="0"/>
      <w:sz w:val="22"/>
      <w:szCs w:val="18"/>
      <w:lang w:val="en-GB"/>
    </w:rPr>
  </w:style>
  <w:style w:type="paragraph" w:customStyle="1" w:styleId="CBD-Doc-Type">
    <w:name w:val="CBD-Doc-Type"/>
    <w:basedOn w:val="Normal"/>
    <w:rsid w:val="00172AF6"/>
    <w:pPr>
      <w:keepLines/>
      <w:spacing w:before="240" w:after="120"/>
    </w:pPr>
    <w:rPr>
      <w:rFonts w:cs="Angsana New"/>
      <w:b/>
      <w:i/>
      <w:sz w:val="24"/>
    </w:rPr>
  </w:style>
  <w:style w:type="paragraph" w:customStyle="1" w:styleId="CBD-Doc">
    <w:name w:val="CBD-Doc"/>
    <w:basedOn w:val="Normal"/>
    <w:rsid w:val="00172AF6"/>
    <w:pPr>
      <w:keepLines/>
      <w:numPr>
        <w:numId w:val="3"/>
      </w:numPr>
      <w:spacing w:after="120"/>
    </w:pPr>
    <w:rPr>
      <w:rFonts w:cs="Angsana New"/>
    </w:rPr>
  </w:style>
  <w:style w:type="paragraph" w:styleId="ListParagraph">
    <w:name w:val="List Paragraph"/>
    <w:basedOn w:val="Normal"/>
    <w:link w:val="ListParagraphChar"/>
    <w:uiPriority w:val="34"/>
    <w:qFormat/>
    <w:rsid w:val="00B01BD1"/>
    <w:pPr>
      <w:ind w:left="720"/>
      <w:contextualSpacing/>
    </w:pPr>
  </w:style>
  <w:style w:type="paragraph" w:styleId="Caption">
    <w:name w:val="caption"/>
    <w:basedOn w:val="Normal"/>
    <w:next w:val="Normal"/>
    <w:uiPriority w:val="35"/>
    <w:unhideWhenUsed/>
    <w:qFormat/>
    <w:rsid w:val="00D12044"/>
    <w:pPr>
      <w:keepNext/>
      <w:keepLines/>
      <w:spacing w:after="200"/>
    </w:pPr>
    <w:rPr>
      <w:b/>
      <w:iCs/>
      <w:szCs w:val="18"/>
    </w:rPr>
  </w:style>
  <w:style w:type="paragraph" w:customStyle="1" w:styleId="Style1">
    <w:name w:val="Style1"/>
    <w:basedOn w:val="Heading2"/>
    <w:qFormat/>
    <w:rsid w:val="00F6586C"/>
    <w:rPr>
      <w:i/>
    </w:rPr>
  </w:style>
  <w:style w:type="table" w:customStyle="1" w:styleId="TableGrid1">
    <w:name w:val="Table Grid1"/>
    <w:basedOn w:val="TableNormal"/>
    <w:next w:val="TableGrid"/>
    <w:uiPriority w:val="59"/>
    <w:rsid w:val="00726A4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01BD1"/>
    <w:rPr>
      <w:rFonts w:ascii="Simplified Arabic" w:eastAsia="Times New Roman" w:hAnsi="Simplified Arabic" w:cs="Simplified Arabic"/>
      <w:noProof/>
      <w:lang w:val="en-US"/>
    </w:rPr>
  </w:style>
  <w:style w:type="paragraph" w:customStyle="1" w:styleId="DarkList-Accent31">
    <w:name w:val="Dark List - Accent 31"/>
    <w:hidden/>
    <w:uiPriority w:val="99"/>
    <w:semiHidden/>
    <w:rsid w:val="00B01BD1"/>
    <w:rPr>
      <w:rFonts w:ascii="Times New Roman" w:eastAsia="SimSun" w:hAnsi="Times New Roman" w:cs="Times New Roman"/>
      <w:sz w:val="22"/>
      <w:szCs w:val="22"/>
      <w:lang w:val="en-GB" w:eastAsia="en-GB"/>
    </w:rPr>
  </w:style>
  <w:style w:type="paragraph" w:customStyle="1" w:styleId="CBDNormalNoNumber">
    <w:name w:val="CBD_Normal_NoNumber"/>
    <w:basedOn w:val="CBDNormal"/>
    <w:qFormat/>
    <w:rsid w:val="00B01BD1"/>
    <w:pPr>
      <w:spacing w:after="120"/>
      <w:ind w:left="567"/>
    </w:pPr>
  </w:style>
  <w:style w:type="paragraph" w:customStyle="1" w:styleId="Footnote">
    <w:name w:val="Footnote"/>
    <w:basedOn w:val="FootnoteText"/>
    <w:qFormat/>
    <w:rsid w:val="00B01BD1"/>
    <w:rPr>
      <w:szCs w:val="18"/>
    </w:rPr>
  </w:style>
  <w:style w:type="paragraph" w:customStyle="1" w:styleId="Annex">
    <w:name w:val="Annex"/>
    <w:basedOn w:val="Normal"/>
    <w:semiHidden/>
    <w:qFormat/>
    <w:rsid w:val="00B01BD1"/>
    <w:pPr>
      <w:spacing w:after="240"/>
    </w:pPr>
    <w:rPr>
      <w:b/>
      <w:sz w:val="28"/>
    </w:rPr>
  </w:style>
  <w:style w:type="paragraph" w:customStyle="1" w:styleId="ABSymbol">
    <w:name w:val="AB_Symbol"/>
    <w:basedOn w:val="Normal"/>
    <w:qFormat/>
    <w:rsid w:val="00B01BD1"/>
    <w:pPr>
      <w:tabs>
        <w:tab w:val="left" w:pos="1871"/>
        <w:tab w:val="left" w:pos="2495"/>
        <w:tab w:val="right" w:pos="2920"/>
        <w:tab w:val="left" w:pos="3119"/>
        <w:tab w:val="left" w:pos="3742"/>
        <w:tab w:val="left" w:pos="4366"/>
        <w:tab w:val="left" w:pos="4990"/>
      </w:tabs>
      <w:spacing w:after="120"/>
      <w:ind w:left="2019"/>
      <w:jc w:val="right"/>
    </w:pPr>
    <w:rPr>
      <w:sz w:val="20"/>
      <w:szCs w:val="20"/>
    </w:rPr>
  </w:style>
  <w:style w:type="paragraph" w:customStyle="1" w:styleId="CBDNormalNumber">
    <w:name w:val="CBD_Normal_Number"/>
    <w:basedOn w:val="CBDNormal"/>
    <w:qFormat/>
    <w:rsid w:val="00B01BD1"/>
    <w:pPr>
      <w:numPr>
        <w:numId w:val="7"/>
      </w:numPr>
      <w:tabs>
        <w:tab w:val="left" w:pos="3969"/>
      </w:tabs>
      <w:spacing w:before="120" w:after="120"/>
    </w:pPr>
  </w:style>
  <w:style w:type="paragraph" w:customStyle="1" w:styleId="AFCorNNormal">
    <w:name w:val="AF_CorNNormal"/>
    <w:basedOn w:val="Normal"/>
    <w:unhideWhenUsed/>
    <w:rsid w:val="00B01BD1"/>
    <w:pPr>
      <w:jc w:val="left"/>
    </w:pPr>
  </w:style>
  <w:style w:type="paragraph" w:customStyle="1" w:styleId="AEDistrNormal">
    <w:name w:val="AE_DistrNormal"/>
    <w:basedOn w:val="Normal"/>
    <w:unhideWhenUsed/>
    <w:rsid w:val="00B01BD1"/>
    <w:pPr>
      <w:jc w:val="left"/>
    </w:pPr>
  </w:style>
  <w:style w:type="paragraph" w:customStyle="1" w:styleId="AASmallLogo">
    <w:name w:val="AA_SmallLogo"/>
    <w:basedOn w:val="AEDistrNormal"/>
    <w:unhideWhenUsed/>
    <w:rsid w:val="00B01BD1"/>
    <w:pPr>
      <w:spacing w:before="40"/>
    </w:pPr>
    <w:rPr>
      <w:sz w:val="4"/>
    </w:rPr>
  </w:style>
  <w:style w:type="paragraph" w:customStyle="1" w:styleId="ACLargeLogo">
    <w:name w:val="AC_LargeLogo"/>
    <w:basedOn w:val="AFCorNNormal"/>
    <w:next w:val="AISpacer"/>
    <w:unhideWhenUsed/>
    <w:rsid w:val="00B01BD1"/>
    <w:pPr>
      <w:spacing w:before="120"/>
      <w:contextualSpacing/>
    </w:pPr>
    <w:rPr>
      <w:sz w:val="8"/>
    </w:rPr>
  </w:style>
  <w:style w:type="paragraph" w:styleId="CommentSubject">
    <w:name w:val="annotation subject"/>
    <w:basedOn w:val="CommentText"/>
    <w:next w:val="CommentText"/>
    <w:link w:val="CommentSubjectChar"/>
    <w:uiPriority w:val="99"/>
    <w:semiHidden/>
    <w:unhideWhenUsed/>
    <w:rsid w:val="00B01BD1"/>
    <w:rPr>
      <w:b/>
      <w:bCs/>
    </w:rPr>
  </w:style>
  <w:style w:type="character" w:customStyle="1" w:styleId="CommentSubjectChar">
    <w:name w:val="Comment Subject Char"/>
    <w:basedOn w:val="CommentTextChar"/>
    <w:link w:val="CommentSubject"/>
    <w:uiPriority w:val="99"/>
    <w:semiHidden/>
    <w:rsid w:val="00B01BD1"/>
    <w:rPr>
      <w:rFonts w:ascii="Times New Roman" w:eastAsia="SimSun" w:hAnsi="Times New Roman" w:cs="Times New Roman"/>
      <w:b/>
      <w:bCs/>
      <w:sz w:val="20"/>
      <w:szCs w:val="20"/>
      <w:lang w:val="en-GB"/>
    </w:rPr>
  </w:style>
  <w:style w:type="paragraph" w:customStyle="1" w:styleId="Item">
    <w:name w:val="Item"/>
    <w:basedOn w:val="Normal"/>
    <w:semiHidden/>
    <w:qFormat/>
    <w:rsid w:val="00B01BD1"/>
    <w:pPr>
      <w:suppressLineNumbers/>
      <w:suppressAutoHyphens/>
      <w:spacing w:before="240" w:after="120"/>
      <w:jc w:val="left"/>
    </w:pPr>
    <w:rPr>
      <w:rFonts w:eastAsia="Times New Roman"/>
      <w:b/>
      <w:iCs/>
      <w:snapToGrid w:val="0"/>
      <w:kern w:val="22"/>
      <w:sz w:val="24"/>
    </w:rPr>
  </w:style>
  <w:style w:type="paragraph" w:customStyle="1" w:styleId="CBDNormal">
    <w:name w:val="CBD_Normal"/>
    <w:unhideWhenUsed/>
    <w:qFormat/>
    <w:rsid w:val="00B01BD1"/>
    <w:pPr>
      <w:tabs>
        <w:tab w:val="left" w:pos="567"/>
        <w:tab w:val="left" w:pos="1134"/>
        <w:tab w:val="left" w:pos="1701"/>
        <w:tab w:val="left" w:pos="2268"/>
        <w:tab w:val="left" w:pos="2835"/>
        <w:tab w:val="left" w:pos="3402"/>
      </w:tabs>
      <w:jc w:val="both"/>
    </w:pPr>
    <w:rPr>
      <w:rFonts w:ascii="Times New Roman" w:eastAsia="SimSun" w:hAnsi="Times New Roman" w:cs="Times New Roman"/>
      <w:sz w:val="22"/>
      <w:szCs w:val="22"/>
      <w:lang w:val="en-GB"/>
    </w:rPr>
  </w:style>
  <w:style w:type="paragraph" w:styleId="List">
    <w:name w:val="List"/>
    <w:basedOn w:val="Normal"/>
    <w:semiHidden/>
    <w:rsid w:val="00B01BD1"/>
    <w:pPr>
      <w:contextualSpacing/>
    </w:pPr>
  </w:style>
  <w:style w:type="numbering" w:customStyle="1" w:styleId="ListCBD">
    <w:name w:val="ListCBD"/>
    <w:basedOn w:val="NoList"/>
    <w:uiPriority w:val="99"/>
    <w:rsid w:val="00B01BD1"/>
    <w:pPr>
      <w:numPr>
        <w:numId w:val="5"/>
      </w:numPr>
    </w:pPr>
  </w:style>
  <w:style w:type="numbering" w:customStyle="1" w:styleId="CBDHeadings">
    <w:name w:val="CBD_Headings"/>
    <w:basedOn w:val="ListCBD"/>
    <w:uiPriority w:val="99"/>
    <w:rsid w:val="00B01BD1"/>
    <w:pPr>
      <w:numPr>
        <w:numId w:val="6"/>
      </w:numPr>
    </w:pPr>
  </w:style>
  <w:style w:type="paragraph" w:customStyle="1" w:styleId="AISpacer">
    <w:name w:val="AI_Spacer"/>
    <w:next w:val="Normal"/>
    <w:unhideWhenUsed/>
    <w:qFormat/>
    <w:rsid w:val="00B01BD1"/>
    <w:rPr>
      <w:rFonts w:ascii="Times New Roman" w:eastAsia="SimSun" w:hAnsi="Times New Roman" w:cs="Times New Roman"/>
      <w:sz w:val="2"/>
      <w:szCs w:val="22"/>
      <w:lang w:val="en-GB"/>
    </w:rPr>
  </w:style>
  <w:style w:type="paragraph" w:customStyle="1" w:styleId="AEDistrNormal6pt">
    <w:name w:val="AE_DistrNormal6pt"/>
    <w:basedOn w:val="AEDistrNormal"/>
    <w:next w:val="AFCorNNormal"/>
    <w:unhideWhenUsed/>
    <w:qFormat/>
    <w:rsid w:val="00B01BD1"/>
    <w:pPr>
      <w:spacing w:before="120"/>
    </w:pPr>
  </w:style>
  <w:style w:type="paragraph" w:customStyle="1" w:styleId="AFCorNBold">
    <w:name w:val="AF_CorNBold"/>
    <w:basedOn w:val="AFCorNNormal"/>
    <w:next w:val="AFCorNNormal"/>
    <w:unhideWhenUsed/>
    <w:qFormat/>
    <w:rsid w:val="00B01BD1"/>
    <w:rPr>
      <w:b/>
    </w:rPr>
  </w:style>
  <w:style w:type="paragraph" w:customStyle="1" w:styleId="AFCorN12Bold">
    <w:name w:val="AF_CorN12Bold"/>
    <w:basedOn w:val="AFCorNNormal"/>
    <w:next w:val="AFCorNNormal"/>
    <w:unhideWhenUsed/>
    <w:qFormat/>
    <w:rsid w:val="00B01BD1"/>
    <w:rPr>
      <w:b/>
      <w:sz w:val="24"/>
    </w:rPr>
  </w:style>
  <w:style w:type="paragraph" w:customStyle="1" w:styleId="CBDAgendaItem">
    <w:name w:val="CBD_AgendaItem"/>
    <w:basedOn w:val="Normal"/>
    <w:qFormat/>
    <w:rsid w:val="003F1A75"/>
    <w:pPr>
      <w:keepNext/>
      <w:spacing w:before="240" w:after="120"/>
      <w:jc w:val="left"/>
    </w:pPr>
    <w:rPr>
      <w:rFonts w:ascii="Times New Roman Bold" w:hAnsi="Times New Roman Bold" w:cs="Times New Roman Bold"/>
      <w:b/>
      <w:sz w:val="24"/>
      <w:szCs w:val="24"/>
    </w:rPr>
  </w:style>
  <w:style w:type="paragraph" w:customStyle="1" w:styleId="CBDDesicionText">
    <w:name w:val="CBD_DesicionText"/>
    <w:basedOn w:val="CBDNormal"/>
    <w:qFormat/>
    <w:rsid w:val="00B01BD1"/>
    <w:pPr>
      <w:spacing w:after="120"/>
      <w:ind w:left="1134" w:firstLine="567"/>
    </w:pPr>
  </w:style>
  <w:style w:type="paragraph" w:customStyle="1" w:styleId="CBDDesicionAnnex">
    <w:name w:val="CBD_DesicionAnnex"/>
    <w:basedOn w:val="CBDNormal"/>
    <w:next w:val="CBDDesicionText"/>
    <w:qFormat/>
    <w:rsid w:val="00B01BD1"/>
    <w:pPr>
      <w:keepNext/>
      <w:keepLines/>
      <w:tabs>
        <w:tab w:val="clear" w:pos="567"/>
        <w:tab w:val="clear" w:pos="1134"/>
        <w:tab w:val="clear" w:pos="1701"/>
        <w:tab w:val="clear" w:pos="2268"/>
      </w:tabs>
      <w:spacing w:before="240" w:after="120"/>
      <w:ind w:left="567"/>
      <w:jc w:val="left"/>
    </w:pPr>
    <w:rPr>
      <w:rFonts w:cs="Times New Roman Bold"/>
      <w:b/>
      <w:bCs/>
      <w:sz w:val="24"/>
    </w:rPr>
  </w:style>
  <w:style w:type="paragraph" w:customStyle="1" w:styleId="CBDAnnex">
    <w:name w:val="CBD_Annex"/>
    <w:basedOn w:val="CBDNormal"/>
    <w:next w:val="CBDTitle"/>
    <w:qFormat/>
    <w:rsid w:val="00B01BD1"/>
    <w:pPr>
      <w:keepNext/>
      <w:keepLines/>
      <w:spacing w:after="240"/>
      <w:jc w:val="left"/>
    </w:pPr>
    <w:rPr>
      <w:b/>
      <w:sz w:val="28"/>
      <w:lang w:bidi="ar-SY"/>
    </w:rPr>
  </w:style>
  <w:style w:type="paragraph" w:customStyle="1" w:styleId="CBDSubTitle">
    <w:name w:val="CBD_SubTitle"/>
    <w:basedOn w:val="CBDNormal"/>
    <w:qFormat/>
    <w:rsid w:val="00B01BD1"/>
    <w:pPr>
      <w:keepNext/>
      <w:keepLines/>
      <w:spacing w:before="240" w:after="240"/>
      <w:ind w:left="567"/>
      <w:jc w:val="left"/>
    </w:pPr>
    <w:rPr>
      <w:b/>
    </w:rPr>
  </w:style>
  <w:style w:type="paragraph" w:customStyle="1" w:styleId="CBDTitle">
    <w:name w:val="CBD_Title"/>
    <w:basedOn w:val="CBDNormal"/>
    <w:next w:val="CBDSubTitle"/>
    <w:qFormat/>
    <w:rsid w:val="00B01BD1"/>
    <w:pPr>
      <w:keepNext/>
      <w:keepLines/>
      <w:spacing w:before="240" w:after="240"/>
      <w:ind w:left="567"/>
      <w:jc w:val="left"/>
    </w:pPr>
    <w:rPr>
      <w:b/>
      <w:sz w:val="28"/>
    </w:rPr>
  </w:style>
  <w:style w:type="paragraph" w:customStyle="1" w:styleId="AENormal">
    <w:name w:val="AE_Normal"/>
    <w:basedOn w:val="Normal"/>
    <w:rsid w:val="00B01BD1"/>
  </w:style>
  <w:style w:type="paragraph" w:customStyle="1" w:styleId="CBDH1">
    <w:name w:val="CBD_H1"/>
    <w:basedOn w:val="CBDNormal"/>
    <w:qFormat/>
    <w:rsid w:val="00B01BD1"/>
    <w:pPr>
      <w:keepNext/>
      <w:keepLines/>
      <w:spacing w:before="240" w:after="120"/>
      <w:ind w:left="567" w:hanging="567"/>
      <w:jc w:val="left"/>
      <w:outlineLvl w:val="0"/>
    </w:pPr>
    <w:rPr>
      <w:b/>
      <w:sz w:val="28"/>
    </w:rPr>
  </w:style>
  <w:style w:type="paragraph" w:customStyle="1" w:styleId="CBDH2">
    <w:name w:val="CBD_H2"/>
    <w:basedOn w:val="CBDNormal"/>
    <w:qFormat/>
    <w:rsid w:val="00B01BD1"/>
    <w:pPr>
      <w:keepNext/>
      <w:keepLines/>
      <w:ind w:left="567" w:hanging="567"/>
    </w:pPr>
    <w:rPr>
      <w:b/>
      <w:sz w:val="24"/>
    </w:rPr>
  </w:style>
  <w:style w:type="paragraph" w:customStyle="1" w:styleId="CBDFootnoteText">
    <w:name w:val="CBD_Footnote_Text"/>
    <w:basedOn w:val="CBDNormal"/>
    <w:qFormat/>
    <w:rsid w:val="00B01BD1"/>
    <w:pPr>
      <w:jc w:val="left"/>
    </w:pPr>
    <w:rPr>
      <w:sz w:val="18"/>
    </w:rPr>
  </w:style>
  <w:style w:type="paragraph" w:customStyle="1" w:styleId="CBDFooter">
    <w:name w:val="CBD_Footer"/>
    <w:basedOn w:val="CBDNormal"/>
    <w:qFormat/>
    <w:rsid w:val="00B01BD1"/>
    <w:rPr>
      <w:sz w:val="20"/>
    </w:rPr>
  </w:style>
  <w:style w:type="paragraph" w:customStyle="1" w:styleId="CBDHeader">
    <w:name w:val="CBD_Header"/>
    <w:basedOn w:val="CBDNormal"/>
    <w:next w:val="CBDFooter"/>
    <w:qFormat/>
    <w:rsid w:val="00B01BD1"/>
    <w:pPr>
      <w:pBdr>
        <w:bottom w:val="single" w:sz="4" w:space="1" w:color="auto"/>
      </w:pBdr>
      <w:tabs>
        <w:tab w:val="center" w:pos="4678"/>
        <w:tab w:val="right" w:pos="9361"/>
      </w:tabs>
      <w:jc w:val="left"/>
    </w:pPr>
    <w:rPr>
      <w:sz w:val="20"/>
      <w:szCs w:val="20"/>
    </w:rPr>
  </w:style>
  <w:style w:type="paragraph" w:customStyle="1" w:styleId="CBDH3">
    <w:name w:val="CBD_H3"/>
    <w:basedOn w:val="CBDNormal"/>
    <w:qFormat/>
    <w:rsid w:val="00B01BD1"/>
    <w:pPr>
      <w:keepNext/>
      <w:keepLines/>
      <w:spacing w:before="120" w:after="120"/>
      <w:ind w:left="567" w:hanging="567"/>
      <w:jc w:val="left"/>
    </w:pPr>
    <w:rPr>
      <w:b/>
    </w:rPr>
  </w:style>
  <w:style w:type="paragraph" w:customStyle="1" w:styleId="CBDH4">
    <w:name w:val="CBD_H4"/>
    <w:basedOn w:val="CBDNormal"/>
    <w:rsid w:val="00B01BD1"/>
    <w:pPr>
      <w:keepNext/>
      <w:keepLines/>
      <w:spacing w:before="120" w:after="120"/>
      <w:ind w:left="567" w:hanging="567"/>
      <w:jc w:val="left"/>
    </w:pPr>
    <w:rPr>
      <w:b/>
    </w:rPr>
  </w:style>
  <w:style w:type="paragraph" w:customStyle="1" w:styleId="CBDH5">
    <w:name w:val="CBD_H5"/>
    <w:basedOn w:val="CBDNormal"/>
    <w:qFormat/>
    <w:rsid w:val="00B01BD1"/>
    <w:pPr>
      <w:keepNext/>
      <w:keepLines/>
      <w:spacing w:before="120" w:after="120"/>
      <w:ind w:left="567" w:hanging="567"/>
      <w:jc w:val="left"/>
    </w:pPr>
    <w:rPr>
      <w:i/>
    </w:rPr>
  </w:style>
  <w:style w:type="paragraph" w:customStyle="1" w:styleId="CBDTableNormal">
    <w:name w:val="CBD_TableNormal"/>
    <w:basedOn w:val="CBDNormal"/>
    <w:qFormat/>
    <w:rsid w:val="00B01BD1"/>
    <w:pPr>
      <w:spacing w:before="40" w:after="80"/>
      <w:jc w:val="left"/>
    </w:pPr>
    <w:rPr>
      <w:sz w:val="20"/>
    </w:rPr>
  </w:style>
  <w:style w:type="paragraph" w:customStyle="1" w:styleId="CBDTableTitle">
    <w:name w:val="CBD_TableTitle"/>
    <w:basedOn w:val="CBDNormal"/>
    <w:qFormat/>
    <w:rsid w:val="00B01BD1"/>
    <w:pPr>
      <w:keepNext/>
      <w:keepLines/>
      <w:spacing w:before="120" w:after="60"/>
      <w:ind w:left="567"/>
      <w:jc w:val="left"/>
    </w:pPr>
    <w:rPr>
      <w:b/>
    </w:rPr>
  </w:style>
  <w:style w:type="paragraph" w:customStyle="1" w:styleId="CBDFigureTitle">
    <w:name w:val="CBD_FigureTitle"/>
    <w:basedOn w:val="CBDNormal"/>
    <w:next w:val="CBDNormalNoNumber"/>
    <w:qFormat/>
    <w:rsid w:val="00B01BD1"/>
    <w:pPr>
      <w:keepNext/>
      <w:keepLines/>
      <w:spacing w:before="120" w:after="60"/>
      <w:ind w:left="567"/>
      <w:jc w:val="left"/>
    </w:pPr>
    <w:rPr>
      <w:b/>
    </w:rPr>
  </w:style>
  <w:style w:type="paragraph" w:styleId="Bibliography">
    <w:name w:val="Bibliography"/>
    <w:basedOn w:val="Normal"/>
    <w:next w:val="Normal"/>
    <w:uiPriority w:val="37"/>
    <w:semiHidden/>
    <w:unhideWhenUsed/>
    <w:rsid w:val="00A111D1"/>
  </w:style>
  <w:style w:type="paragraph" w:styleId="BlockText">
    <w:name w:val="Block Text"/>
    <w:basedOn w:val="Normal"/>
    <w:uiPriority w:val="99"/>
    <w:semiHidden/>
    <w:unhideWhenUsed/>
    <w:rsid w:val="00A111D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A111D1"/>
    <w:pPr>
      <w:spacing w:after="120" w:line="480" w:lineRule="auto"/>
    </w:pPr>
  </w:style>
  <w:style w:type="character" w:customStyle="1" w:styleId="BodyText2Char">
    <w:name w:val="Body Text 2 Char"/>
    <w:basedOn w:val="DefaultParagraphFont"/>
    <w:link w:val="BodyText2"/>
    <w:uiPriority w:val="99"/>
    <w:semiHidden/>
    <w:rsid w:val="00A111D1"/>
    <w:rPr>
      <w:rFonts w:ascii="Times New Roman" w:eastAsia="SimSun" w:hAnsi="Times New Roman" w:cs="Times New Roman"/>
      <w:sz w:val="22"/>
      <w:szCs w:val="22"/>
      <w:lang w:val="en-GB"/>
    </w:rPr>
  </w:style>
  <w:style w:type="paragraph" w:styleId="BodyText3">
    <w:name w:val="Body Text 3"/>
    <w:basedOn w:val="Normal"/>
    <w:link w:val="BodyText3Char"/>
    <w:uiPriority w:val="99"/>
    <w:semiHidden/>
    <w:unhideWhenUsed/>
    <w:rsid w:val="00A111D1"/>
    <w:pPr>
      <w:spacing w:after="120"/>
    </w:pPr>
    <w:rPr>
      <w:sz w:val="16"/>
      <w:szCs w:val="16"/>
    </w:rPr>
  </w:style>
  <w:style w:type="character" w:customStyle="1" w:styleId="BodyText3Char">
    <w:name w:val="Body Text 3 Char"/>
    <w:basedOn w:val="DefaultParagraphFont"/>
    <w:link w:val="BodyText3"/>
    <w:uiPriority w:val="99"/>
    <w:semiHidden/>
    <w:rsid w:val="00A111D1"/>
    <w:rPr>
      <w:rFonts w:ascii="Times New Roman" w:eastAsia="SimSun" w:hAnsi="Times New Roman" w:cs="Times New Roman"/>
      <w:sz w:val="16"/>
      <w:szCs w:val="16"/>
      <w:lang w:val="en-GB"/>
    </w:rPr>
  </w:style>
  <w:style w:type="paragraph" w:styleId="BodyTextFirstIndent">
    <w:name w:val="Body Text First Indent"/>
    <w:basedOn w:val="BodyText"/>
    <w:link w:val="BodyTextFirstIndentChar"/>
    <w:uiPriority w:val="99"/>
    <w:semiHidden/>
    <w:unhideWhenUsed/>
    <w:rsid w:val="00A111D1"/>
    <w:pPr>
      <w:spacing w:after="0" w:line="240" w:lineRule="auto"/>
      <w:ind w:firstLine="360"/>
      <w:jc w:val="both"/>
    </w:pPr>
    <w:rPr>
      <w:rFonts w:ascii="Times New Roman" w:eastAsia="SimSun" w:hAnsi="Times New Roman" w:cs="Times New Roman"/>
      <w:kern w:val="0"/>
      <w14:ligatures w14:val="none"/>
    </w:rPr>
  </w:style>
  <w:style w:type="character" w:customStyle="1" w:styleId="BodyTextFirstIndentChar">
    <w:name w:val="Body Text First Indent Char"/>
    <w:basedOn w:val="BodyTextChar"/>
    <w:link w:val="BodyTextFirstIndent"/>
    <w:uiPriority w:val="99"/>
    <w:semiHidden/>
    <w:rsid w:val="00A111D1"/>
    <w:rPr>
      <w:rFonts w:ascii="Times New Roman" w:eastAsia="SimSun" w:hAnsi="Times New Roman" w:cs="Times New Roman"/>
      <w:kern w:val="2"/>
      <w:sz w:val="22"/>
      <w:szCs w:val="22"/>
      <w:lang w:val="en-GB"/>
      <w14:ligatures w14:val="standardContextual"/>
    </w:rPr>
  </w:style>
  <w:style w:type="paragraph" w:styleId="BodyTextFirstIndent2">
    <w:name w:val="Body Text First Indent 2"/>
    <w:basedOn w:val="BodyTextIndent"/>
    <w:link w:val="BodyTextFirstIndent2Char"/>
    <w:uiPriority w:val="99"/>
    <w:semiHidden/>
    <w:unhideWhenUsed/>
    <w:rsid w:val="00A111D1"/>
    <w:pPr>
      <w:spacing w:before="0" w:after="0"/>
      <w:ind w:left="360" w:firstLine="360"/>
      <w:jc w:val="both"/>
    </w:pPr>
  </w:style>
  <w:style w:type="character" w:customStyle="1" w:styleId="BodyTextFirstIndent2Char">
    <w:name w:val="Body Text First Indent 2 Char"/>
    <w:basedOn w:val="BodyTextIndentChar"/>
    <w:link w:val="BodyTextFirstIndent2"/>
    <w:uiPriority w:val="99"/>
    <w:semiHidden/>
    <w:rsid w:val="00A111D1"/>
    <w:rPr>
      <w:rFonts w:ascii="Times New Roman" w:eastAsia="SimSun" w:hAnsi="Times New Roman" w:cs="Times New Roman"/>
      <w:sz w:val="22"/>
      <w:szCs w:val="22"/>
      <w:lang w:val="en-GB"/>
    </w:rPr>
  </w:style>
  <w:style w:type="paragraph" w:styleId="BodyTextIndent2">
    <w:name w:val="Body Text Indent 2"/>
    <w:basedOn w:val="Normal"/>
    <w:link w:val="BodyTextIndent2Char"/>
    <w:uiPriority w:val="99"/>
    <w:semiHidden/>
    <w:unhideWhenUsed/>
    <w:rsid w:val="00A111D1"/>
    <w:pPr>
      <w:spacing w:after="120" w:line="480" w:lineRule="auto"/>
      <w:ind w:left="283"/>
    </w:pPr>
  </w:style>
  <w:style w:type="character" w:customStyle="1" w:styleId="BodyTextIndent2Char">
    <w:name w:val="Body Text Indent 2 Char"/>
    <w:basedOn w:val="DefaultParagraphFont"/>
    <w:link w:val="BodyTextIndent2"/>
    <w:uiPriority w:val="99"/>
    <w:semiHidden/>
    <w:rsid w:val="00A111D1"/>
    <w:rPr>
      <w:rFonts w:ascii="Times New Roman" w:eastAsia="SimSun" w:hAnsi="Times New Roman" w:cs="Times New Roman"/>
      <w:sz w:val="22"/>
      <w:szCs w:val="22"/>
      <w:lang w:val="en-GB"/>
    </w:rPr>
  </w:style>
  <w:style w:type="paragraph" w:styleId="BodyTextIndent3">
    <w:name w:val="Body Text Indent 3"/>
    <w:basedOn w:val="Normal"/>
    <w:link w:val="BodyTextIndent3Char"/>
    <w:uiPriority w:val="99"/>
    <w:semiHidden/>
    <w:unhideWhenUsed/>
    <w:rsid w:val="00A111D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111D1"/>
    <w:rPr>
      <w:rFonts w:ascii="Times New Roman" w:eastAsia="SimSun" w:hAnsi="Times New Roman" w:cs="Times New Roman"/>
      <w:sz w:val="16"/>
      <w:szCs w:val="16"/>
      <w:lang w:val="en-GB"/>
    </w:rPr>
  </w:style>
  <w:style w:type="character" w:styleId="BookTitle">
    <w:name w:val="Book Title"/>
    <w:basedOn w:val="DefaultParagraphFont"/>
    <w:uiPriority w:val="33"/>
    <w:qFormat/>
    <w:rsid w:val="00A111D1"/>
    <w:rPr>
      <w:b/>
      <w:bCs/>
      <w:i/>
      <w:iCs/>
      <w:spacing w:val="5"/>
      <w:lang w:val="en-GB"/>
    </w:rPr>
  </w:style>
  <w:style w:type="paragraph" w:styleId="Closing">
    <w:name w:val="Closing"/>
    <w:basedOn w:val="Normal"/>
    <w:link w:val="ClosingChar"/>
    <w:uiPriority w:val="99"/>
    <w:semiHidden/>
    <w:unhideWhenUsed/>
    <w:rsid w:val="00A111D1"/>
    <w:pPr>
      <w:ind w:left="4252"/>
    </w:pPr>
  </w:style>
  <w:style w:type="character" w:customStyle="1" w:styleId="ClosingChar">
    <w:name w:val="Closing Char"/>
    <w:basedOn w:val="DefaultParagraphFont"/>
    <w:link w:val="Closing"/>
    <w:uiPriority w:val="99"/>
    <w:semiHidden/>
    <w:rsid w:val="00A111D1"/>
    <w:rPr>
      <w:rFonts w:ascii="Times New Roman" w:eastAsia="SimSun" w:hAnsi="Times New Roman" w:cs="Times New Roman"/>
      <w:sz w:val="22"/>
      <w:szCs w:val="22"/>
      <w:lang w:val="en-GB"/>
    </w:rPr>
  </w:style>
  <w:style w:type="table" w:styleId="ColorfulGrid">
    <w:name w:val="Colorful Grid"/>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A111D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A111D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A111D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A111D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A111D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A111D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A111D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A111D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A111D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A111D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A111D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A111D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A111D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A111D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A111D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A111D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A111D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A111D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A111D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A111D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semiHidden/>
    <w:unhideWhenUsed/>
    <w:rsid w:val="00A111D1"/>
  </w:style>
  <w:style w:type="character" w:customStyle="1" w:styleId="DateChar">
    <w:name w:val="Date Char"/>
    <w:basedOn w:val="DefaultParagraphFont"/>
    <w:link w:val="Date"/>
    <w:uiPriority w:val="99"/>
    <w:semiHidden/>
    <w:rsid w:val="00A111D1"/>
    <w:rPr>
      <w:rFonts w:ascii="Times New Roman" w:eastAsia="SimSun" w:hAnsi="Times New Roman" w:cs="Times New Roman"/>
      <w:sz w:val="22"/>
      <w:szCs w:val="22"/>
      <w:lang w:val="en-GB"/>
    </w:rPr>
  </w:style>
  <w:style w:type="paragraph" w:styleId="DocumentMap">
    <w:name w:val="Document Map"/>
    <w:basedOn w:val="Normal"/>
    <w:link w:val="DocumentMapChar"/>
    <w:uiPriority w:val="99"/>
    <w:semiHidden/>
    <w:unhideWhenUsed/>
    <w:rsid w:val="00A111D1"/>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11D1"/>
    <w:rPr>
      <w:rFonts w:ascii="Segoe UI" w:eastAsia="SimSun" w:hAnsi="Segoe UI" w:cs="Segoe UI"/>
      <w:sz w:val="16"/>
      <w:szCs w:val="16"/>
    </w:rPr>
  </w:style>
  <w:style w:type="paragraph" w:styleId="E-mailSignature">
    <w:name w:val="E-mail Signature"/>
    <w:basedOn w:val="Normal"/>
    <w:link w:val="E-mailSignatureChar"/>
    <w:uiPriority w:val="99"/>
    <w:semiHidden/>
    <w:unhideWhenUsed/>
    <w:rsid w:val="00A111D1"/>
  </w:style>
  <w:style w:type="character" w:customStyle="1" w:styleId="E-mailSignatureChar">
    <w:name w:val="E-mail Signature Char"/>
    <w:basedOn w:val="DefaultParagraphFont"/>
    <w:link w:val="E-mailSignature"/>
    <w:uiPriority w:val="99"/>
    <w:semiHidden/>
    <w:rsid w:val="00A111D1"/>
    <w:rPr>
      <w:rFonts w:ascii="Times New Roman" w:eastAsia="SimSun" w:hAnsi="Times New Roman" w:cs="Times New Roman"/>
      <w:sz w:val="22"/>
      <w:szCs w:val="22"/>
    </w:rPr>
  </w:style>
  <w:style w:type="character" w:styleId="Emphasis">
    <w:name w:val="Emphasis"/>
    <w:basedOn w:val="DefaultParagraphFont"/>
    <w:uiPriority w:val="20"/>
    <w:qFormat/>
    <w:rsid w:val="00A111D1"/>
    <w:rPr>
      <w:i/>
      <w:iCs/>
    </w:rPr>
  </w:style>
  <w:style w:type="paragraph" w:styleId="EnvelopeAddress">
    <w:name w:val="envelope address"/>
    <w:basedOn w:val="Normal"/>
    <w:uiPriority w:val="99"/>
    <w:semiHidden/>
    <w:unhideWhenUsed/>
    <w:rsid w:val="00A111D1"/>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11D1"/>
    <w:rPr>
      <w:rFonts w:asciiTheme="majorHAnsi" w:eastAsiaTheme="majorEastAsia" w:hAnsiTheme="majorHAnsi" w:cstheme="majorBidi"/>
      <w:sz w:val="20"/>
      <w:szCs w:val="20"/>
    </w:rPr>
  </w:style>
  <w:style w:type="table" w:customStyle="1" w:styleId="GridTable1Light1">
    <w:name w:val="Grid Table 1 Light1"/>
    <w:basedOn w:val="TableNormal"/>
    <w:uiPriority w:val="46"/>
    <w:rsid w:val="00A111D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A111D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A111D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A111D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A111D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A111D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A111D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A111D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A111D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A111D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A111D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A111D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A111D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A111D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A111D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A111D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A111D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A111D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A111D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A111D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A111D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A111D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A111D1"/>
    <w:rPr>
      <w:color w:val="2B579A"/>
      <w:shd w:val="clear" w:color="auto" w:fill="E1DFDD"/>
    </w:rPr>
  </w:style>
  <w:style w:type="character" w:styleId="HTMLAcronym">
    <w:name w:val="HTML Acronym"/>
    <w:basedOn w:val="DefaultParagraphFont"/>
    <w:uiPriority w:val="99"/>
    <w:semiHidden/>
    <w:unhideWhenUsed/>
    <w:rsid w:val="00A111D1"/>
  </w:style>
  <w:style w:type="paragraph" w:styleId="HTMLAddress">
    <w:name w:val="HTML Address"/>
    <w:basedOn w:val="Normal"/>
    <w:link w:val="HTMLAddressChar"/>
    <w:uiPriority w:val="99"/>
    <w:semiHidden/>
    <w:unhideWhenUsed/>
    <w:rsid w:val="00A111D1"/>
    <w:rPr>
      <w:i/>
      <w:iCs/>
    </w:rPr>
  </w:style>
  <w:style w:type="character" w:customStyle="1" w:styleId="HTMLAddressChar">
    <w:name w:val="HTML Address Char"/>
    <w:basedOn w:val="DefaultParagraphFont"/>
    <w:link w:val="HTMLAddress"/>
    <w:uiPriority w:val="99"/>
    <w:semiHidden/>
    <w:rsid w:val="00A111D1"/>
    <w:rPr>
      <w:rFonts w:ascii="Times New Roman" w:eastAsia="SimSun" w:hAnsi="Times New Roman" w:cs="Times New Roman"/>
      <w:i/>
      <w:iCs/>
      <w:sz w:val="22"/>
      <w:szCs w:val="22"/>
    </w:rPr>
  </w:style>
  <w:style w:type="character" w:styleId="HTMLCite">
    <w:name w:val="HTML Cite"/>
    <w:basedOn w:val="DefaultParagraphFont"/>
    <w:uiPriority w:val="99"/>
    <w:semiHidden/>
    <w:unhideWhenUsed/>
    <w:rsid w:val="00A111D1"/>
    <w:rPr>
      <w:i/>
      <w:iCs/>
    </w:rPr>
  </w:style>
  <w:style w:type="character" w:styleId="HTMLCode">
    <w:name w:val="HTML Code"/>
    <w:basedOn w:val="DefaultParagraphFont"/>
    <w:uiPriority w:val="99"/>
    <w:semiHidden/>
    <w:unhideWhenUsed/>
    <w:rsid w:val="00A111D1"/>
    <w:rPr>
      <w:rFonts w:ascii="Consolas" w:hAnsi="Consolas"/>
      <w:sz w:val="20"/>
      <w:szCs w:val="20"/>
    </w:rPr>
  </w:style>
  <w:style w:type="character" w:styleId="HTMLDefinition">
    <w:name w:val="HTML Definition"/>
    <w:basedOn w:val="DefaultParagraphFont"/>
    <w:uiPriority w:val="99"/>
    <w:semiHidden/>
    <w:unhideWhenUsed/>
    <w:rsid w:val="00A111D1"/>
    <w:rPr>
      <w:i/>
      <w:iCs/>
    </w:rPr>
  </w:style>
  <w:style w:type="character" w:styleId="HTMLKeyboard">
    <w:name w:val="HTML Keyboard"/>
    <w:basedOn w:val="DefaultParagraphFont"/>
    <w:uiPriority w:val="99"/>
    <w:semiHidden/>
    <w:unhideWhenUsed/>
    <w:rsid w:val="00A111D1"/>
    <w:rPr>
      <w:rFonts w:ascii="Consolas" w:hAnsi="Consolas"/>
      <w:sz w:val="20"/>
      <w:szCs w:val="20"/>
    </w:rPr>
  </w:style>
  <w:style w:type="paragraph" w:styleId="HTMLPreformatted">
    <w:name w:val="HTML Preformatted"/>
    <w:basedOn w:val="Normal"/>
    <w:link w:val="HTMLPreformattedChar"/>
    <w:uiPriority w:val="99"/>
    <w:semiHidden/>
    <w:unhideWhenUsed/>
    <w:rsid w:val="00A111D1"/>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11D1"/>
    <w:rPr>
      <w:rFonts w:ascii="Consolas" w:eastAsia="SimSun" w:hAnsi="Consolas" w:cs="Times New Roman"/>
      <w:sz w:val="20"/>
      <w:szCs w:val="20"/>
    </w:rPr>
  </w:style>
  <w:style w:type="character" w:styleId="HTMLSample">
    <w:name w:val="HTML Sample"/>
    <w:basedOn w:val="DefaultParagraphFont"/>
    <w:uiPriority w:val="99"/>
    <w:semiHidden/>
    <w:unhideWhenUsed/>
    <w:rsid w:val="00A111D1"/>
    <w:rPr>
      <w:rFonts w:ascii="Consolas" w:hAnsi="Consolas"/>
      <w:sz w:val="24"/>
      <w:szCs w:val="24"/>
    </w:rPr>
  </w:style>
  <w:style w:type="character" w:styleId="HTMLTypewriter">
    <w:name w:val="HTML Typewriter"/>
    <w:basedOn w:val="DefaultParagraphFont"/>
    <w:uiPriority w:val="99"/>
    <w:semiHidden/>
    <w:unhideWhenUsed/>
    <w:rsid w:val="00A111D1"/>
    <w:rPr>
      <w:rFonts w:ascii="Consolas" w:hAnsi="Consolas"/>
      <w:sz w:val="20"/>
      <w:szCs w:val="20"/>
    </w:rPr>
  </w:style>
  <w:style w:type="character" w:styleId="HTMLVariable">
    <w:name w:val="HTML Variable"/>
    <w:basedOn w:val="DefaultParagraphFont"/>
    <w:uiPriority w:val="99"/>
    <w:semiHidden/>
    <w:unhideWhenUsed/>
    <w:rsid w:val="00A111D1"/>
    <w:rPr>
      <w:i/>
      <w:iCs/>
    </w:rPr>
  </w:style>
  <w:style w:type="paragraph" w:styleId="Index1">
    <w:name w:val="index 1"/>
    <w:basedOn w:val="Normal"/>
    <w:next w:val="Normal"/>
    <w:autoRedefine/>
    <w:uiPriority w:val="99"/>
    <w:semiHidden/>
    <w:unhideWhenUsed/>
    <w:rsid w:val="00A111D1"/>
    <w:pPr>
      <w:tabs>
        <w:tab w:val="clear" w:pos="567"/>
        <w:tab w:val="clear" w:pos="1134"/>
        <w:tab w:val="clear" w:pos="1701"/>
        <w:tab w:val="clear" w:pos="2268"/>
      </w:tabs>
      <w:ind w:left="220" w:hanging="220"/>
    </w:pPr>
  </w:style>
  <w:style w:type="paragraph" w:styleId="Index2">
    <w:name w:val="index 2"/>
    <w:basedOn w:val="Normal"/>
    <w:next w:val="Normal"/>
    <w:autoRedefine/>
    <w:uiPriority w:val="99"/>
    <w:semiHidden/>
    <w:unhideWhenUsed/>
    <w:rsid w:val="00A111D1"/>
    <w:pPr>
      <w:tabs>
        <w:tab w:val="clear" w:pos="567"/>
        <w:tab w:val="clear" w:pos="1134"/>
        <w:tab w:val="clear" w:pos="1701"/>
        <w:tab w:val="clear" w:pos="2268"/>
      </w:tabs>
      <w:ind w:left="440" w:hanging="220"/>
    </w:pPr>
  </w:style>
  <w:style w:type="paragraph" w:styleId="Index3">
    <w:name w:val="index 3"/>
    <w:basedOn w:val="Normal"/>
    <w:next w:val="Normal"/>
    <w:autoRedefine/>
    <w:uiPriority w:val="99"/>
    <w:semiHidden/>
    <w:unhideWhenUsed/>
    <w:rsid w:val="00A111D1"/>
    <w:pPr>
      <w:tabs>
        <w:tab w:val="clear" w:pos="567"/>
        <w:tab w:val="clear" w:pos="1134"/>
        <w:tab w:val="clear" w:pos="1701"/>
        <w:tab w:val="clear" w:pos="2268"/>
      </w:tabs>
      <w:ind w:left="660" w:hanging="220"/>
    </w:pPr>
  </w:style>
  <w:style w:type="paragraph" w:styleId="Index4">
    <w:name w:val="index 4"/>
    <w:basedOn w:val="Normal"/>
    <w:next w:val="Normal"/>
    <w:autoRedefine/>
    <w:uiPriority w:val="99"/>
    <w:semiHidden/>
    <w:unhideWhenUsed/>
    <w:rsid w:val="00A111D1"/>
    <w:pPr>
      <w:tabs>
        <w:tab w:val="clear" w:pos="567"/>
        <w:tab w:val="clear" w:pos="1134"/>
        <w:tab w:val="clear" w:pos="1701"/>
        <w:tab w:val="clear" w:pos="2268"/>
      </w:tabs>
      <w:ind w:left="880" w:hanging="220"/>
    </w:pPr>
  </w:style>
  <w:style w:type="paragraph" w:styleId="Index5">
    <w:name w:val="index 5"/>
    <w:basedOn w:val="Normal"/>
    <w:next w:val="Normal"/>
    <w:autoRedefine/>
    <w:uiPriority w:val="99"/>
    <w:semiHidden/>
    <w:unhideWhenUsed/>
    <w:rsid w:val="00A111D1"/>
    <w:pPr>
      <w:tabs>
        <w:tab w:val="clear" w:pos="567"/>
        <w:tab w:val="clear" w:pos="1134"/>
        <w:tab w:val="clear" w:pos="1701"/>
        <w:tab w:val="clear" w:pos="2268"/>
      </w:tabs>
      <w:ind w:left="1100" w:hanging="220"/>
    </w:pPr>
  </w:style>
  <w:style w:type="paragraph" w:styleId="Index6">
    <w:name w:val="index 6"/>
    <w:basedOn w:val="Normal"/>
    <w:next w:val="Normal"/>
    <w:autoRedefine/>
    <w:uiPriority w:val="99"/>
    <w:semiHidden/>
    <w:unhideWhenUsed/>
    <w:rsid w:val="00A111D1"/>
    <w:pPr>
      <w:tabs>
        <w:tab w:val="clear" w:pos="567"/>
        <w:tab w:val="clear" w:pos="1134"/>
        <w:tab w:val="clear" w:pos="1701"/>
        <w:tab w:val="clear" w:pos="2268"/>
      </w:tabs>
      <w:ind w:left="1320" w:hanging="220"/>
    </w:pPr>
  </w:style>
  <w:style w:type="paragraph" w:styleId="Index7">
    <w:name w:val="index 7"/>
    <w:basedOn w:val="Normal"/>
    <w:next w:val="Normal"/>
    <w:autoRedefine/>
    <w:uiPriority w:val="99"/>
    <w:semiHidden/>
    <w:unhideWhenUsed/>
    <w:rsid w:val="00A111D1"/>
    <w:pPr>
      <w:tabs>
        <w:tab w:val="clear" w:pos="567"/>
        <w:tab w:val="clear" w:pos="1134"/>
        <w:tab w:val="clear" w:pos="1701"/>
        <w:tab w:val="clear" w:pos="2268"/>
      </w:tabs>
      <w:ind w:left="1540" w:hanging="220"/>
    </w:pPr>
  </w:style>
  <w:style w:type="paragraph" w:styleId="Index8">
    <w:name w:val="index 8"/>
    <w:basedOn w:val="Normal"/>
    <w:next w:val="Normal"/>
    <w:autoRedefine/>
    <w:uiPriority w:val="99"/>
    <w:semiHidden/>
    <w:unhideWhenUsed/>
    <w:rsid w:val="00A111D1"/>
    <w:pPr>
      <w:tabs>
        <w:tab w:val="clear" w:pos="567"/>
        <w:tab w:val="clear" w:pos="1134"/>
        <w:tab w:val="clear" w:pos="1701"/>
        <w:tab w:val="clear" w:pos="2268"/>
      </w:tabs>
      <w:ind w:left="1760" w:hanging="220"/>
    </w:pPr>
  </w:style>
  <w:style w:type="paragraph" w:styleId="Index9">
    <w:name w:val="index 9"/>
    <w:basedOn w:val="Normal"/>
    <w:next w:val="Normal"/>
    <w:autoRedefine/>
    <w:uiPriority w:val="99"/>
    <w:semiHidden/>
    <w:unhideWhenUsed/>
    <w:rsid w:val="00A111D1"/>
    <w:pPr>
      <w:tabs>
        <w:tab w:val="clear" w:pos="567"/>
        <w:tab w:val="clear" w:pos="1134"/>
        <w:tab w:val="clear" w:pos="1701"/>
        <w:tab w:val="clear" w:pos="2268"/>
      </w:tabs>
      <w:ind w:left="1980" w:hanging="220"/>
    </w:pPr>
  </w:style>
  <w:style w:type="paragraph" w:styleId="IndexHeading">
    <w:name w:val="index heading"/>
    <w:basedOn w:val="Normal"/>
    <w:next w:val="Index1"/>
    <w:uiPriority w:val="99"/>
    <w:semiHidden/>
    <w:unhideWhenUsed/>
    <w:rsid w:val="00A111D1"/>
    <w:rPr>
      <w:rFonts w:asciiTheme="majorHAnsi" w:eastAsiaTheme="majorEastAsia" w:hAnsiTheme="majorHAnsi" w:cstheme="majorBidi"/>
      <w:b/>
      <w:bCs/>
    </w:rPr>
  </w:style>
  <w:style w:type="character" w:styleId="IntenseEmphasis">
    <w:name w:val="Intense Emphasis"/>
    <w:basedOn w:val="DefaultParagraphFont"/>
    <w:uiPriority w:val="21"/>
    <w:qFormat/>
    <w:rsid w:val="00A111D1"/>
    <w:rPr>
      <w:i/>
      <w:iCs/>
      <w:color w:val="4F81BD" w:themeColor="accent1"/>
    </w:rPr>
  </w:style>
  <w:style w:type="paragraph" w:styleId="IntenseQuote">
    <w:name w:val="Intense Quote"/>
    <w:basedOn w:val="Normal"/>
    <w:next w:val="Normal"/>
    <w:link w:val="IntenseQuoteChar"/>
    <w:uiPriority w:val="30"/>
    <w:qFormat/>
    <w:rsid w:val="00A111D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111D1"/>
    <w:rPr>
      <w:rFonts w:ascii="Times New Roman" w:eastAsia="SimSun" w:hAnsi="Times New Roman" w:cs="Times New Roman"/>
      <w:i/>
      <w:iCs/>
      <w:color w:val="4F81BD" w:themeColor="accent1"/>
      <w:sz w:val="22"/>
      <w:szCs w:val="22"/>
    </w:rPr>
  </w:style>
  <w:style w:type="character" w:styleId="IntenseReference">
    <w:name w:val="Intense Reference"/>
    <w:basedOn w:val="DefaultParagraphFont"/>
    <w:uiPriority w:val="32"/>
    <w:qFormat/>
    <w:rsid w:val="00A111D1"/>
    <w:rPr>
      <w:b/>
      <w:bCs/>
      <w:smallCaps/>
      <w:color w:val="4F81BD" w:themeColor="accent1"/>
      <w:spacing w:val="5"/>
    </w:rPr>
  </w:style>
  <w:style w:type="table" w:styleId="LightGrid">
    <w:name w:val="Light Grid"/>
    <w:basedOn w:val="TableNormal"/>
    <w:uiPriority w:val="62"/>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A111D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A111D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A111D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A111D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A111D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A111D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A111D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A111D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A111D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A111D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A111D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A111D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A111D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A111D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semiHidden/>
    <w:unhideWhenUsed/>
    <w:rsid w:val="00A111D1"/>
  </w:style>
  <w:style w:type="paragraph" w:styleId="List2">
    <w:name w:val="List 2"/>
    <w:basedOn w:val="Normal"/>
    <w:uiPriority w:val="99"/>
    <w:semiHidden/>
    <w:unhideWhenUsed/>
    <w:rsid w:val="00A111D1"/>
    <w:pPr>
      <w:ind w:left="566" w:hanging="283"/>
      <w:contextualSpacing/>
    </w:pPr>
  </w:style>
  <w:style w:type="paragraph" w:styleId="List3">
    <w:name w:val="List 3"/>
    <w:basedOn w:val="Normal"/>
    <w:uiPriority w:val="99"/>
    <w:semiHidden/>
    <w:unhideWhenUsed/>
    <w:rsid w:val="00A111D1"/>
    <w:pPr>
      <w:ind w:left="849" w:hanging="283"/>
      <w:contextualSpacing/>
    </w:pPr>
  </w:style>
  <w:style w:type="paragraph" w:styleId="List4">
    <w:name w:val="List 4"/>
    <w:basedOn w:val="Normal"/>
    <w:uiPriority w:val="99"/>
    <w:semiHidden/>
    <w:unhideWhenUsed/>
    <w:rsid w:val="00A111D1"/>
    <w:pPr>
      <w:ind w:left="1132" w:hanging="283"/>
      <w:contextualSpacing/>
    </w:pPr>
  </w:style>
  <w:style w:type="paragraph" w:styleId="List5">
    <w:name w:val="List 5"/>
    <w:basedOn w:val="Normal"/>
    <w:uiPriority w:val="99"/>
    <w:semiHidden/>
    <w:unhideWhenUsed/>
    <w:rsid w:val="00A111D1"/>
    <w:pPr>
      <w:ind w:left="1415" w:hanging="283"/>
      <w:contextualSpacing/>
    </w:pPr>
  </w:style>
  <w:style w:type="paragraph" w:styleId="ListBullet">
    <w:name w:val="List Bullet"/>
    <w:basedOn w:val="Normal"/>
    <w:uiPriority w:val="99"/>
    <w:semiHidden/>
    <w:unhideWhenUsed/>
    <w:rsid w:val="00A111D1"/>
    <w:pPr>
      <w:tabs>
        <w:tab w:val="num" w:pos="360"/>
      </w:tabs>
      <w:ind w:left="360" w:hanging="360"/>
      <w:contextualSpacing/>
    </w:pPr>
  </w:style>
  <w:style w:type="paragraph" w:styleId="ListBullet2">
    <w:name w:val="List Bullet 2"/>
    <w:basedOn w:val="Normal"/>
    <w:uiPriority w:val="99"/>
    <w:semiHidden/>
    <w:unhideWhenUsed/>
    <w:rsid w:val="00A111D1"/>
    <w:pPr>
      <w:tabs>
        <w:tab w:val="num" w:pos="643"/>
      </w:tabs>
      <w:ind w:left="643" w:hanging="360"/>
      <w:contextualSpacing/>
    </w:pPr>
  </w:style>
  <w:style w:type="paragraph" w:styleId="ListBullet3">
    <w:name w:val="List Bullet 3"/>
    <w:basedOn w:val="Normal"/>
    <w:uiPriority w:val="99"/>
    <w:semiHidden/>
    <w:unhideWhenUsed/>
    <w:rsid w:val="00A111D1"/>
    <w:pPr>
      <w:tabs>
        <w:tab w:val="num" w:pos="926"/>
      </w:tabs>
      <w:ind w:left="926" w:hanging="360"/>
      <w:contextualSpacing/>
    </w:pPr>
  </w:style>
  <w:style w:type="paragraph" w:styleId="ListBullet4">
    <w:name w:val="List Bullet 4"/>
    <w:basedOn w:val="Normal"/>
    <w:uiPriority w:val="99"/>
    <w:semiHidden/>
    <w:unhideWhenUsed/>
    <w:rsid w:val="00A111D1"/>
    <w:pPr>
      <w:tabs>
        <w:tab w:val="num" w:pos="1209"/>
      </w:tabs>
      <w:ind w:left="1209" w:hanging="360"/>
      <w:contextualSpacing/>
    </w:pPr>
  </w:style>
  <w:style w:type="paragraph" w:styleId="ListBullet5">
    <w:name w:val="List Bullet 5"/>
    <w:basedOn w:val="Normal"/>
    <w:uiPriority w:val="99"/>
    <w:semiHidden/>
    <w:unhideWhenUsed/>
    <w:rsid w:val="00A111D1"/>
    <w:pPr>
      <w:tabs>
        <w:tab w:val="num" w:pos="1492"/>
      </w:tabs>
      <w:ind w:left="1492" w:hanging="360"/>
      <w:contextualSpacing/>
    </w:pPr>
  </w:style>
  <w:style w:type="paragraph" w:styleId="ListContinue">
    <w:name w:val="List Continue"/>
    <w:basedOn w:val="Normal"/>
    <w:uiPriority w:val="99"/>
    <w:semiHidden/>
    <w:unhideWhenUsed/>
    <w:rsid w:val="00A111D1"/>
    <w:pPr>
      <w:spacing w:after="120"/>
      <w:ind w:left="283"/>
      <w:contextualSpacing/>
    </w:pPr>
  </w:style>
  <w:style w:type="paragraph" w:styleId="ListContinue2">
    <w:name w:val="List Continue 2"/>
    <w:basedOn w:val="Normal"/>
    <w:uiPriority w:val="99"/>
    <w:semiHidden/>
    <w:unhideWhenUsed/>
    <w:rsid w:val="00A111D1"/>
    <w:pPr>
      <w:spacing w:after="120"/>
      <w:ind w:left="566"/>
      <w:contextualSpacing/>
    </w:pPr>
  </w:style>
  <w:style w:type="paragraph" w:styleId="ListContinue3">
    <w:name w:val="List Continue 3"/>
    <w:basedOn w:val="Normal"/>
    <w:uiPriority w:val="99"/>
    <w:semiHidden/>
    <w:unhideWhenUsed/>
    <w:rsid w:val="00A111D1"/>
    <w:pPr>
      <w:spacing w:after="120"/>
      <w:ind w:left="849"/>
      <w:contextualSpacing/>
    </w:pPr>
  </w:style>
  <w:style w:type="paragraph" w:styleId="ListContinue4">
    <w:name w:val="List Continue 4"/>
    <w:basedOn w:val="Normal"/>
    <w:uiPriority w:val="99"/>
    <w:semiHidden/>
    <w:unhideWhenUsed/>
    <w:rsid w:val="00A111D1"/>
    <w:pPr>
      <w:spacing w:after="120"/>
      <w:ind w:left="1132"/>
      <w:contextualSpacing/>
    </w:pPr>
  </w:style>
  <w:style w:type="paragraph" w:styleId="ListContinue5">
    <w:name w:val="List Continue 5"/>
    <w:basedOn w:val="Normal"/>
    <w:uiPriority w:val="99"/>
    <w:semiHidden/>
    <w:unhideWhenUsed/>
    <w:rsid w:val="00A111D1"/>
    <w:pPr>
      <w:spacing w:after="120"/>
      <w:ind w:left="1415"/>
      <w:contextualSpacing/>
    </w:pPr>
  </w:style>
  <w:style w:type="paragraph" w:styleId="ListNumber">
    <w:name w:val="List Number"/>
    <w:basedOn w:val="Normal"/>
    <w:uiPriority w:val="99"/>
    <w:semiHidden/>
    <w:unhideWhenUsed/>
    <w:rsid w:val="00A111D1"/>
    <w:pPr>
      <w:tabs>
        <w:tab w:val="num" w:pos="360"/>
      </w:tabs>
      <w:ind w:left="360" w:hanging="360"/>
      <w:contextualSpacing/>
    </w:pPr>
  </w:style>
  <w:style w:type="paragraph" w:styleId="ListNumber2">
    <w:name w:val="List Number 2"/>
    <w:basedOn w:val="Normal"/>
    <w:uiPriority w:val="99"/>
    <w:semiHidden/>
    <w:unhideWhenUsed/>
    <w:rsid w:val="00A111D1"/>
    <w:pPr>
      <w:tabs>
        <w:tab w:val="num" w:pos="643"/>
      </w:tabs>
      <w:ind w:left="643" w:hanging="360"/>
      <w:contextualSpacing/>
    </w:pPr>
  </w:style>
  <w:style w:type="paragraph" w:styleId="ListNumber3">
    <w:name w:val="List Number 3"/>
    <w:basedOn w:val="Normal"/>
    <w:uiPriority w:val="99"/>
    <w:semiHidden/>
    <w:unhideWhenUsed/>
    <w:rsid w:val="00A111D1"/>
    <w:pPr>
      <w:tabs>
        <w:tab w:val="num" w:pos="926"/>
      </w:tabs>
      <w:ind w:left="926" w:hanging="360"/>
      <w:contextualSpacing/>
    </w:pPr>
  </w:style>
  <w:style w:type="paragraph" w:styleId="ListNumber4">
    <w:name w:val="List Number 4"/>
    <w:basedOn w:val="Normal"/>
    <w:uiPriority w:val="99"/>
    <w:semiHidden/>
    <w:unhideWhenUsed/>
    <w:rsid w:val="00A111D1"/>
    <w:pPr>
      <w:tabs>
        <w:tab w:val="num" w:pos="1209"/>
      </w:tabs>
      <w:ind w:left="1209" w:hanging="360"/>
      <w:contextualSpacing/>
    </w:pPr>
  </w:style>
  <w:style w:type="paragraph" w:styleId="ListNumber5">
    <w:name w:val="List Number 5"/>
    <w:basedOn w:val="Normal"/>
    <w:uiPriority w:val="99"/>
    <w:semiHidden/>
    <w:unhideWhenUsed/>
    <w:rsid w:val="00A111D1"/>
    <w:pPr>
      <w:tabs>
        <w:tab w:val="num" w:pos="1800"/>
      </w:tabs>
      <w:ind w:left="1800" w:hanging="360"/>
      <w:contextualSpacing/>
    </w:pPr>
  </w:style>
  <w:style w:type="table" w:customStyle="1" w:styleId="ListTable1Light1">
    <w:name w:val="List Table 1 Light1"/>
    <w:basedOn w:val="TableNormal"/>
    <w:uiPriority w:val="46"/>
    <w:rsid w:val="00A111D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A111D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A111D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A111D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A111D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A111D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A111D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A111D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A111D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A111D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A111D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A111D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A111D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A111D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A111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A111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A111D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A111D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A111D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A111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A111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A111D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A111D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A111D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A111D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A111D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A111D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A111D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A111D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A111D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A111D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A111D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A111D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A111D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A111D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A111D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A111D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A111D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A111D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A111D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A111D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A111D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A111D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A111D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A111D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A111D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A111D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A111D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A111D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A111D1"/>
    <w:pPr>
      <w:tabs>
        <w:tab w:val="left" w:pos="480"/>
        <w:tab w:val="left" w:pos="960"/>
        <w:tab w:val="left" w:pos="1440"/>
        <w:tab w:val="left" w:pos="1920"/>
        <w:tab w:val="left" w:pos="2400"/>
        <w:tab w:val="left" w:pos="2880"/>
        <w:tab w:val="left" w:pos="3360"/>
        <w:tab w:val="left" w:pos="3840"/>
        <w:tab w:val="left" w:pos="4320"/>
      </w:tabs>
      <w:jc w:val="both"/>
    </w:pPr>
    <w:rPr>
      <w:rFonts w:ascii="Consolas" w:eastAsia="SimSun" w:hAnsi="Consolas" w:cs="Times New Roman"/>
      <w:sz w:val="20"/>
      <w:szCs w:val="20"/>
      <w:lang w:val="en-GB"/>
    </w:rPr>
  </w:style>
  <w:style w:type="character" w:customStyle="1" w:styleId="MacroTextChar">
    <w:name w:val="Macro Text Char"/>
    <w:basedOn w:val="DefaultParagraphFont"/>
    <w:link w:val="MacroText"/>
    <w:uiPriority w:val="99"/>
    <w:semiHidden/>
    <w:rsid w:val="00A111D1"/>
    <w:rPr>
      <w:rFonts w:ascii="Consolas" w:eastAsia="SimSun" w:hAnsi="Consolas" w:cs="Times New Roman"/>
      <w:sz w:val="20"/>
      <w:szCs w:val="20"/>
    </w:rPr>
  </w:style>
  <w:style w:type="table" w:styleId="MediumGrid1">
    <w:name w:val="Medium Grid 1"/>
    <w:basedOn w:val="TableNormal"/>
    <w:uiPriority w:val="67"/>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A111D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A111D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A111D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A111D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A111D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A111D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A111D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A111D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A111D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A111D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111D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A111D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A111D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A111D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A111D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A111D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A111D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A111D1"/>
    <w:rPr>
      <w:color w:val="2B579A"/>
      <w:shd w:val="clear" w:color="auto" w:fill="E1DFDD"/>
    </w:rPr>
  </w:style>
  <w:style w:type="paragraph" w:styleId="MessageHeader">
    <w:name w:val="Message Header"/>
    <w:basedOn w:val="Normal"/>
    <w:link w:val="MessageHeaderChar"/>
    <w:uiPriority w:val="99"/>
    <w:semiHidden/>
    <w:unhideWhenUsed/>
    <w:rsid w:val="00A111D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11D1"/>
    <w:rPr>
      <w:rFonts w:asciiTheme="majorHAnsi" w:eastAsiaTheme="majorEastAsia" w:hAnsiTheme="majorHAnsi" w:cstheme="majorBidi"/>
      <w:shd w:val="pct20" w:color="auto" w:fill="auto"/>
    </w:rPr>
  </w:style>
  <w:style w:type="paragraph" w:styleId="NoSpacing">
    <w:name w:val="No Spacing"/>
    <w:uiPriority w:val="1"/>
    <w:qFormat/>
    <w:rsid w:val="00A111D1"/>
    <w:pPr>
      <w:tabs>
        <w:tab w:val="left" w:pos="567"/>
        <w:tab w:val="left" w:pos="1134"/>
        <w:tab w:val="left" w:pos="1701"/>
        <w:tab w:val="left" w:pos="2268"/>
      </w:tabs>
      <w:jc w:val="both"/>
    </w:pPr>
    <w:rPr>
      <w:rFonts w:ascii="Times New Roman" w:eastAsia="SimSun" w:hAnsi="Times New Roman" w:cs="Times New Roman"/>
      <w:sz w:val="22"/>
      <w:szCs w:val="22"/>
      <w:lang w:val="en-GB"/>
    </w:rPr>
  </w:style>
  <w:style w:type="paragraph" w:styleId="NormalWeb">
    <w:name w:val="Normal (Web)"/>
    <w:basedOn w:val="Normal"/>
    <w:uiPriority w:val="99"/>
    <w:semiHidden/>
    <w:unhideWhenUsed/>
    <w:rsid w:val="00A111D1"/>
    <w:rPr>
      <w:sz w:val="24"/>
      <w:szCs w:val="24"/>
    </w:rPr>
  </w:style>
  <w:style w:type="paragraph" w:styleId="NormalIndent">
    <w:name w:val="Normal Indent"/>
    <w:basedOn w:val="Normal"/>
    <w:uiPriority w:val="99"/>
    <w:semiHidden/>
    <w:unhideWhenUsed/>
    <w:rsid w:val="00A111D1"/>
    <w:pPr>
      <w:ind w:left="720"/>
    </w:pPr>
  </w:style>
  <w:style w:type="paragraph" w:styleId="NoteHeading">
    <w:name w:val="Note Heading"/>
    <w:basedOn w:val="Normal"/>
    <w:next w:val="Normal"/>
    <w:link w:val="NoteHeadingChar"/>
    <w:uiPriority w:val="99"/>
    <w:semiHidden/>
    <w:unhideWhenUsed/>
    <w:rsid w:val="00A111D1"/>
  </w:style>
  <w:style w:type="character" w:customStyle="1" w:styleId="NoteHeadingChar">
    <w:name w:val="Note Heading Char"/>
    <w:basedOn w:val="DefaultParagraphFont"/>
    <w:link w:val="NoteHeading"/>
    <w:uiPriority w:val="99"/>
    <w:semiHidden/>
    <w:rsid w:val="00A111D1"/>
    <w:rPr>
      <w:rFonts w:ascii="Times New Roman" w:eastAsia="SimSun" w:hAnsi="Times New Roman" w:cs="Times New Roman"/>
      <w:sz w:val="22"/>
      <w:szCs w:val="22"/>
    </w:rPr>
  </w:style>
  <w:style w:type="table" w:customStyle="1" w:styleId="PlainTable11">
    <w:name w:val="Plain Table 11"/>
    <w:basedOn w:val="TableNormal"/>
    <w:uiPriority w:val="41"/>
    <w:rsid w:val="00A111D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111D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A111D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A111D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A111D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A111D1"/>
    <w:rPr>
      <w:rFonts w:ascii="Consolas" w:hAnsi="Consolas"/>
      <w:sz w:val="21"/>
      <w:szCs w:val="21"/>
    </w:rPr>
  </w:style>
  <w:style w:type="character" w:customStyle="1" w:styleId="PlainTextChar">
    <w:name w:val="Plain Text Char"/>
    <w:basedOn w:val="DefaultParagraphFont"/>
    <w:link w:val="PlainText"/>
    <w:uiPriority w:val="99"/>
    <w:semiHidden/>
    <w:rsid w:val="00A111D1"/>
    <w:rPr>
      <w:rFonts w:ascii="Consolas" w:eastAsia="SimSun" w:hAnsi="Consolas" w:cs="Times New Roman"/>
      <w:sz w:val="21"/>
      <w:szCs w:val="21"/>
    </w:rPr>
  </w:style>
  <w:style w:type="paragraph" w:styleId="Quote">
    <w:name w:val="Quote"/>
    <w:basedOn w:val="Normal"/>
    <w:next w:val="Normal"/>
    <w:link w:val="QuoteChar"/>
    <w:uiPriority w:val="29"/>
    <w:qFormat/>
    <w:rsid w:val="00A111D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11D1"/>
    <w:rPr>
      <w:rFonts w:ascii="Times New Roman" w:eastAsia="SimSun" w:hAnsi="Times New Roman" w:cs="Times New Roman"/>
      <w:i/>
      <w:iCs/>
      <w:color w:val="404040" w:themeColor="text1" w:themeTint="BF"/>
      <w:sz w:val="22"/>
      <w:szCs w:val="22"/>
    </w:rPr>
  </w:style>
  <w:style w:type="paragraph" w:styleId="Salutation">
    <w:name w:val="Salutation"/>
    <w:basedOn w:val="Normal"/>
    <w:next w:val="Normal"/>
    <w:link w:val="SalutationChar"/>
    <w:uiPriority w:val="99"/>
    <w:semiHidden/>
    <w:unhideWhenUsed/>
    <w:rsid w:val="00A111D1"/>
  </w:style>
  <w:style w:type="character" w:customStyle="1" w:styleId="SalutationChar">
    <w:name w:val="Salutation Char"/>
    <w:basedOn w:val="DefaultParagraphFont"/>
    <w:link w:val="Salutation"/>
    <w:uiPriority w:val="99"/>
    <w:semiHidden/>
    <w:rsid w:val="00A111D1"/>
    <w:rPr>
      <w:rFonts w:ascii="Times New Roman" w:eastAsia="SimSun" w:hAnsi="Times New Roman" w:cs="Times New Roman"/>
      <w:sz w:val="22"/>
      <w:szCs w:val="22"/>
    </w:rPr>
  </w:style>
  <w:style w:type="paragraph" w:styleId="Signature">
    <w:name w:val="Signature"/>
    <w:basedOn w:val="Normal"/>
    <w:link w:val="SignatureChar"/>
    <w:uiPriority w:val="99"/>
    <w:semiHidden/>
    <w:unhideWhenUsed/>
    <w:rsid w:val="00A111D1"/>
    <w:pPr>
      <w:ind w:left="4252"/>
    </w:pPr>
  </w:style>
  <w:style w:type="character" w:customStyle="1" w:styleId="SignatureChar">
    <w:name w:val="Signature Char"/>
    <w:basedOn w:val="DefaultParagraphFont"/>
    <w:link w:val="Signature"/>
    <w:uiPriority w:val="99"/>
    <w:semiHidden/>
    <w:rsid w:val="00A111D1"/>
    <w:rPr>
      <w:rFonts w:ascii="Times New Roman" w:eastAsia="SimSun" w:hAnsi="Times New Roman" w:cs="Times New Roman"/>
      <w:sz w:val="22"/>
      <w:szCs w:val="22"/>
    </w:rPr>
  </w:style>
  <w:style w:type="character" w:customStyle="1" w:styleId="SmartHyperlink1">
    <w:name w:val="Smart Hyperlink1"/>
    <w:basedOn w:val="DefaultParagraphFont"/>
    <w:uiPriority w:val="99"/>
    <w:semiHidden/>
    <w:unhideWhenUsed/>
    <w:rsid w:val="00A111D1"/>
    <w:rPr>
      <w:u w:val="dotted"/>
    </w:rPr>
  </w:style>
  <w:style w:type="character" w:customStyle="1" w:styleId="SmartLink1">
    <w:name w:val="SmartLink1"/>
    <w:basedOn w:val="DefaultParagraphFont"/>
    <w:uiPriority w:val="99"/>
    <w:semiHidden/>
    <w:unhideWhenUsed/>
    <w:rsid w:val="00A111D1"/>
    <w:rPr>
      <w:color w:val="0000FF"/>
      <w:u w:val="single"/>
      <w:shd w:val="clear" w:color="auto" w:fill="F3F2F1"/>
    </w:rPr>
  </w:style>
  <w:style w:type="character" w:styleId="Strong">
    <w:name w:val="Strong"/>
    <w:basedOn w:val="DefaultParagraphFont"/>
    <w:uiPriority w:val="22"/>
    <w:qFormat/>
    <w:rsid w:val="00A111D1"/>
    <w:rPr>
      <w:b/>
      <w:bCs/>
    </w:rPr>
  </w:style>
  <w:style w:type="character" w:styleId="SubtleEmphasis">
    <w:name w:val="Subtle Emphasis"/>
    <w:basedOn w:val="DefaultParagraphFont"/>
    <w:uiPriority w:val="19"/>
    <w:qFormat/>
    <w:rsid w:val="00A111D1"/>
    <w:rPr>
      <w:i/>
      <w:iCs/>
      <w:color w:val="404040" w:themeColor="text1" w:themeTint="BF"/>
    </w:rPr>
  </w:style>
  <w:style w:type="character" w:styleId="SubtleReference">
    <w:name w:val="Subtle Reference"/>
    <w:basedOn w:val="DefaultParagraphFont"/>
    <w:uiPriority w:val="31"/>
    <w:qFormat/>
    <w:rsid w:val="00A111D1"/>
    <w:rPr>
      <w:smallCaps/>
      <w:color w:val="5A5A5A" w:themeColor="text1" w:themeTint="A5"/>
    </w:rPr>
  </w:style>
  <w:style w:type="table" w:styleId="Table3Deffects1">
    <w:name w:val="Table 3D effects 1"/>
    <w:basedOn w:val="TableNormal"/>
    <w:uiPriority w:val="99"/>
    <w:semiHidden/>
    <w:unhideWhenUsed/>
    <w:rsid w:val="00A111D1"/>
    <w:pPr>
      <w:tabs>
        <w:tab w:val="left" w:pos="567"/>
        <w:tab w:val="left" w:pos="1134"/>
        <w:tab w:val="left" w:pos="1701"/>
        <w:tab w:val="left" w:pos="2268"/>
      </w:tabs>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11D1"/>
    <w:pPr>
      <w:tabs>
        <w:tab w:val="left" w:pos="567"/>
        <w:tab w:val="left" w:pos="1134"/>
        <w:tab w:val="left" w:pos="1701"/>
        <w:tab w:val="left" w:pos="2268"/>
      </w:tabs>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11D1"/>
    <w:pPr>
      <w:tabs>
        <w:tab w:val="left" w:pos="567"/>
        <w:tab w:val="left" w:pos="1134"/>
        <w:tab w:val="left" w:pos="1701"/>
        <w:tab w:val="left" w:pos="2268"/>
      </w:tabs>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11D1"/>
    <w:pPr>
      <w:tabs>
        <w:tab w:val="left" w:pos="567"/>
        <w:tab w:val="left" w:pos="1134"/>
        <w:tab w:val="left" w:pos="1701"/>
        <w:tab w:val="left" w:pos="2268"/>
      </w:tabs>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11D1"/>
    <w:pPr>
      <w:tabs>
        <w:tab w:val="left" w:pos="567"/>
        <w:tab w:val="left" w:pos="1134"/>
        <w:tab w:val="left" w:pos="1701"/>
        <w:tab w:val="left" w:pos="2268"/>
      </w:tabs>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11D1"/>
    <w:pPr>
      <w:tabs>
        <w:tab w:val="left" w:pos="567"/>
        <w:tab w:val="left" w:pos="1134"/>
        <w:tab w:val="left" w:pos="1701"/>
        <w:tab w:val="left" w:pos="2268"/>
      </w:tabs>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11D1"/>
    <w:pPr>
      <w:tabs>
        <w:tab w:val="left" w:pos="567"/>
        <w:tab w:val="left" w:pos="1134"/>
        <w:tab w:val="left" w:pos="1701"/>
        <w:tab w:val="left" w:pos="2268"/>
      </w:tabs>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11D1"/>
    <w:pPr>
      <w:tabs>
        <w:tab w:val="left" w:pos="567"/>
        <w:tab w:val="left" w:pos="1134"/>
        <w:tab w:val="left" w:pos="1701"/>
        <w:tab w:val="left" w:pos="2268"/>
      </w:tabs>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11D1"/>
    <w:pPr>
      <w:tabs>
        <w:tab w:val="left" w:pos="567"/>
        <w:tab w:val="left" w:pos="1134"/>
        <w:tab w:val="left" w:pos="1701"/>
        <w:tab w:val="left" w:pos="2268"/>
      </w:tabs>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11D1"/>
    <w:pPr>
      <w:tabs>
        <w:tab w:val="left" w:pos="567"/>
        <w:tab w:val="left" w:pos="1134"/>
        <w:tab w:val="left" w:pos="1701"/>
        <w:tab w:val="left" w:pos="2268"/>
      </w:tabs>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11D1"/>
    <w:pPr>
      <w:tabs>
        <w:tab w:val="left" w:pos="567"/>
        <w:tab w:val="left" w:pos="1134"/>
        <w:tab w:val="left" w:pos="1701"/>
        <w:tab w:val="left" w:pos="2268"/>
      </w:tabs>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11D1"/>
    <w:pPr>
      <w:tabs>
        <w:tab w:val="left" w:pos="567"/>
        <w:tab w:val="left" w:pos="1134"/>
        <w:tab w:val="left" w:pos="1701"/>
        <w:tab w:val="left" w:pos="2268"/>
      </w:tabs>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11D1"/>
    <w:pPr>
      <w:tabs>
        <w:tab w:val="left" w:pos="567"/>
        <w:tab w:val="left" w:pos="1134"/>
        <w:tab w:val="left" w:pos="1701"/>
        <w:tab w:val="left" w:pos="2268"/>
      </w:tabs>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11D1"/>
    <w:pPr>
      <w:tabs>
        <w:tab w:val="left" w:pos="567"/>
        <w:tab w:val="left" w:pos="1134"/>
        <w:tab w:val="left" w:pos="1701"/>
        <w:tab w:val="left" w:pos="2268"/>
      </w:tabs>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11D1"/>
    <w:pPr>
      <w:tabs>
        <w:tab w:val="left" w:pos="567"/>
        <w:tab w:val="left" w:pos="1134"/>
        <w:tab w:val="left" w:pos="1701"/>
        <w:tab w:val="left" w:pos="2268"/>
      </w:tabs>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11D1"/>
    <w:pPr>
      <w:tabs>
        <w:tab w:val="left" w:pos="567"/>
        <w:tab w:val="left" w:pos="1134"/>
        <w:tab w:val="left" w:pos="1701"/>
        <w:tab w:val="left" w:pos="2268"/>
      </w:tabs>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11D1"/>
    <w:pPr>
      <w:tabs>
        <w:tab w:val="left" w:pos="567"/>
        <w:tab w:val="left" w:pos="1134"/>
        <w:tab w:val="left" w:pos="1701"/>
        <w:tab w:val="left" w:pos="2268"/>
      </w:tabs>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A111D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11D1"/>
    <w:pPr>
      <w:tabs>
        <w:tab w:val="left" w:pos="567"/>
        <w:tab w:val="left" w:pos="1134"/>
        <w:tab w:val="left" w:pos="1701"/>
        <w:tab w:val="left" w:pos="2268"/>
      </w:tabs>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11D1"/>
    <w:pPr>
      <w:tabs>
        <w:tab w:val="left" w:pos="567"/>
        <w:tab w:val="left" w:pos="1134"/>
        <w:tab w:val="left" w:pos="1701"/>
        <w:tab w:val="left" w:pos="2268"/>
      </w:tabs>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A111D1"/>
    <w:pPr>
      <w:tabs>
        <w:tab w:val="clear" w:pos="567"/>
        <w:tab w:val="clear" w:pos="1134"/>
        <w:tab w:val="clear" w:pos="1701"/>
        <w:tab w:val="clear" w:pos="2268"/>
      </w:tabs>
      <w:ind w:left="220" w:hanging="220"/>
    </w:pPr>
  </w:style>
  <w:style w:type="paragraph" w:styleId="TableofFigures">
    <w:name w:val="table of figures"/>
    <w:basedOn w:val="Normal"/>
    <w:next w:val="Normal"/>
    <w:uiPriority w:val="99"/>
    <w:semiHidden/>
    <w:unhideWhenUsed/>
    <w:rsid w:val="00A111D1"/>
    <w:pPr>
      <w:tabs>
        <w:tab w:val="clear" w:pos="567"/>
        <w:tab w:val="clear" w:pos="1134"/>
        <w:tab w:val="clear" w:pos="1701"/>
        <w:tab w:val="clear" w:pos="2268"/>
      </w:tabs>
    </w:pPr>
  </w:style>
  <w:style w:type="table" w:styleId="TableProfessional">
    <w:name w:val="Table Professional"/>
    <w:basedOn w:val="TableNormal"/>
    <w:uiPriority w:val="99"/>
    <w:semiHidden/>
    <w:unhideWhenUsed/>
    <w:rsid w:val="00A111D1"/>
    <w:pPr>
      <w:tabs>
        <w:tab w:val="left" w:pos="567"/>
        <w:tab w:val="left" w:pos="1134"/>
        <w:tab w:val="left" w:pos="1701"/>
        <w:tab w:val="left" w:pos="2268"/>
      </w:tabs>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11D1"/>
    <w:pPr>
      <w:tabs>
        <w:tab w:val="left" w:pos="567"/>
        <w:tab w:val="left" w:pos="1134"/>
        <w:tab w:val="left" w:pos="1701"/>
        <w:tab w:val="left" w:pos="2268"/>
      </w:tabs>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11D1"/>
    <w:pPr>
      <w:tabs>
        <w:tab w:val="left" w:pos="567"/>
        <w:tab w:val="left" w:pos="1134"/>
        <w:tab w:val="left" w:pos="1701"/>
        <w:tab w:val="left" w:pos="2268"/>
      </w:tabs>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11D1"/>
    <w:pPr>
      <w:tabs>
        <w:tab w:val="left" w:pos="567"/>
        <w:tab w:val="left" w:pos="1134"/>
        <w:tab w:val="left" w:pos="1701"/>
        <w:tab w:val="left" w:pos="2268"/>
      </w:tabs>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11D1"/>
    <w:pPr>
      <w:tabs>
        <w:tab w:val="left" w:pos="567"/>
        <w:tab w:val="left" w:pos="1134"/>
        <w:tab w:val="left" w:pos="1701"/>
        <w:tab w:val="left" w:pos="2268"/>
      </w:tabs>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11D1"/>
    <w:pPr>
      <w:tabs>
        <w:tab w:val="left" w:pos="567"/>
        <w:tab w:val="left" w:pos="1134"/>
        <w:tab w:val="left" w:pos="1701"/>
        <w:tab w:val="left" w:pos="2268"/>
      </w:tabs>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11D1"/>
    <w:pPr>
      <w:tabs>
        <w:tab w:val="left" w:pos="567"/>
        <w:tab w:val="left" w:pos="1134"/>
        <w:tab w:val="left" w:pos="1701"/>
        <w:tab w:val="left" w:pos="2268"/>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11D1"/>
    <w:pPr>
      <w:tabs>
        <w:tab w:val="left" w:pos="567"/>
        <w:tab w:val="left" w:pos="1134"/>
        <w:tab w:val="left" w:pos="1701"/>
        <w:tab w:val="left" w:pos="2268"/>
      </w:tabs>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11D1"/>
    <w:pPr>
      <w:tabs>
        <w:tab w:val="left" w:pos="567"/>
        <w:tab w:val="left" w:pos="1134"/>
        <w:tab w:val="left" w:pos="1701"/>
        <w:tab w:val="left" w:pos="2268"/>
      </w:tabs>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A111D1"/>
    <w:pPr>
      <w:numPr>
        <w:numId w:val="0"/>
      </w:numPr>
      <w:tabs>
        <w:tab w:val="left" w:pos="567"/>
      </w:tabs>
      <w:spacing w:after="0"/>
      <w:jc w:val="both"/>
      <w:outlineLvl w:val="9"/>
    </w:pPr>
    <w:rPr>
      <w:rFonts w:asciiTheme="majorHAnsi" w:hAnsiTheme="majorHAnsi"/>
      <w:b w:val="0"/>
      <w:bCs w:val="0"/>
      <w:color w:val="365F91" w:themeColor="accent1" w:themeShade="BF"/>
      <w:kern w:val="0"/>
      <w:sz w:val="32"/>
      <w14:ligatures w14:val="none"/>
    </w:rPr>
  </w:style>
  <w:style w:type="character" w:customStyle="1" w:styleId="UnresolvedMention1">
    <w:name w:val="Unresolved Mention1"/>
    <w:basedOn w:val="DefaultParagraphFont"/>
    <w:uiPriority w:val="99"/>
    <w:semiHidden/>
    <w:unhideWhenUsed/>
    <w:rsid w:val="00A111D1"/>
    <w:rPr>
      <w:color w:val="605E5C"/>
      <w:shd w:val="clear" w:color="auto" w:fill="E1DFDD"/>
    </w:rPr>
  </w:style>
  <w:style w:type="paragraph" w:customStyle="1" w:styleId="CBDAgendaItemReport">
    <w:name w:val="CBD_AgendaItem_Report"/>
    <w:basedOn w:val="Normal"/>
    <w:qFormat/>
    <w:rsid w:val="00B01BD1"/>
    <w:pPr>
      <w:keepNext/>
      <w:keepLines/>
      <w:spacing w:before="240" w:after="120"/>
      <w:jc w:val="left"/>
    </w:pPr>
    <w:rPr>
      <w:b/>
      <w:sz w:val="24"/>
    </w:rPr>
  </w:style>
  <w:style w:type="paragraph" w:customStyle="1" w:styleId="CBDagendaItem0">
    <w:name w:val="CBD_agenda_Item"/>
    <w:basedOn w:val="CBDNormalNumber"/>
    <w:qFormat/>
    <w:rsid w:val="003F1A75"/>
  </w:style>
  <w:style w:type="paragraph" w:customStyle="1" w:styleId="CBDpara-item">
    <w:name w:val="CBD_para-item"/>
    <w:basedOn w:val="Normal"/>
    <w:qFormat/>
    <w:rsid w:val="00B01BD1"/>
    <w:pPr>
      <w:tabs>
        <w:tab w:val="clear" w:pos="567"/>
      </w:tabs>
      <w:spacing w:before="120" w:after="120"/>
      <w:ind w:left="1134" w:hanging="567"/>
      <w:jc w:val="left"/>
    </w:pPr>
  </w:style>
  <w:style w:type="paragraph" w:customStyle="1" w:styleId="CBDsubpara-item">
    <w:name w:val="CBD_subpara-item"/>
    <w:basedOn w:val="CBDpara-item"/>
    <w:qFormat/>
    <w:rsid w:val="00B01BD1"/>
    <w:pPr>
      <w:tabs>
        <w:tab w:val="clear" w:pos="1134"/>
      </w:tabs>
      <w:ind w:left="1701"/>
    </w:pPr>
  </w:style>
  <w:style w:type="paragraph" w:customStyle="1" w:styleId="CBDRecommendText">
    <w:name w:val="CBD_RecommendText"/>
    <w:basedOn w:val="Normal"/>
    <w:qFormat/>
    <w:rsid w:val="00B01BD1"/>
    <w:pPr>
      <w:spacing w:after="120"/>
      <w:ind w:left="567"/>
    </w:pPr>
  </w:style>
  <w:style w:type="paragraph" w:customStyle="1" w:styleId="CBDprov-agendaItem">
    <w:name w:val="CBD_prov-agenda_Item"/>
    <w:basedOn w:val="CBDNormalNumber"/>
    <w:qFormat/>
    <w:rsid w:val="00B01BD1"/>
  </w:style>
  <w:style w:type="paragraph" w:customStyle="1" w:styleId="CBDAgendaItem-1">
    <w:name w:val="CBD_AgendaItem-1"/>
    <w:basedOn w:val="Normal"/>
    <w:qFormat/>
    <w:rsid w:val="00B01BD1"/>
    <w:pPr>
      <w:keepNext/>
      <w:keepLines/>
      <w:spacing w:before="240" w:after="120"/>
      <w:jc w:val="left"/>
    </w:pPr>
    <w:rPr>
      <w:rFonts w:ascii="Times New Roman Bold" w:hAnsi="Times New Roman Bold" w:cs="Times New Roman Bold"/>
      <w:b/>
      <w:sz w:val="24"/>
      <w:szCs w:val="24"/>
    </w:rPr>
  </w:style>
  <w:style w:type="paragraph" w:customStyle="1" w:styleId="CBDAgendaItem-2a">
    <w:name w:val="CBD_AgendaItem-2(a)"/>
    <w:basedOn w:val="CBDAgendaItem-1"/>
    <w:qFormat/>
    <w:rsid w:val="00B01BD1"/>
    <w:pPr>
      <w:ind w:left="567" w:hanging="567"/>
    </w:pPr>
    <w:rPr>
      <w:sz w:val="22"/>
    </w:rPr>
  </w:style>
  <w:style w:type="paragraph" w:customStyle="1" w:styleId="CBDAgendaItem-3">
    <w:name w:val="CBD_AgendaItem-3"/>
    <w:basedOn w:val="CBDAgendaItem-1"/>
    <w:qFormat/>
    <w:rsid w:val="00B01BD1"/>
    <w:pPr>
      <w:ind w:left="567" w:hanging="567"/>
    </w:pPr>
    <w:rPr>
      <w:sz w:val="20"/>
    </w:rPr>
  </w:style>
  <w:style w:type="paragraph" w:customStyle="1" w:styleId="Venuedate">
    <w:name w:val="Venue&amp;date"/>
    <w:basedOn w:val="Normal"/>
    <w:qFormat/>
    <w:rsid w:val="004E7E8A"/>
    <w:pPr>
      <w:ind w:right="3119"/>
      <w:jc w:val="left"/>
    </w:pPr>
    <w:rPr>
      <w:bCs/>
    </w:rPr>
  </w:style>
  <w:style w:type="paragraph" w:customStyle="1" w:styleId="BVIfnrChar">
    <w:name w:val="BVI fnr Char"/>
    <w:aliases w:val=" BVI fnr Car Car Car Car Car Char, BVI fnr Car Car Car Car Char Char, BVI fnr Car Car Car Char, BVI fnr Car Car Char, BVI fnr Car Char,BVI fnr Car Car Car Car Char,BVI fnr Car Car Car Char,BVI fnr Car Car Char,BVI fnr Car Char"/>
    <w:basedOn w:val="Normal"/>
    <w:link w:val="FootnoteReference"/>
    <w:uiPriority w:val="99"/>
    <w:qFormat/>
    <w:rsid w:val="004E7E8A"/>
    <w:pPr>
      <w:spacing w:after="160" w:line="240" w:lineRule="exact"/>
      <w:jc w:val="left"/>
    </w:pPr>
    <w:rPr>
      <w:rFonts w:asciiTheme="minorHAnsi" w:eastAsiaTheme="minorEastAsia" w:hAnsiTheme="minorHAnsi" w:cstheme="minorBidi"/>
      <w:sz w:val="24"/>
      <w:szCs w:val="24"/>
      <w:vertAlign w:val="superscript"/>
      <w:lang w:val="fr-CA"/>
    </w:rPr>
  </w:style>
  <w:style w:type="character" w:customStyle="1" w:styleId="ListParagraphChar">
    <w:name w:val="List Paragraph Char"/>
    <w:link w:val="ListParagraph"/>
    <w:uiPriority w:val="34"/>
    <w:qFormat/>
    <w:locked/>
    <w:rsid w:val="008D2AA7"/>
    <w:rPr>
      <w:rFonts w:ascii="Times New Roman" w:eastAsia="SimSun" w:hAnsi="Times New Roman" w:cs="Times New Roman"/>
      <w:sz w:val="22"/>
      <w:szCs w:val="22"/>
      <w:lang w:val="en-GB"/>
    </w:rPr>
  </w:style>
  <w:style w:type="character" w:styleId="UnresolvedMention">
    <w:name w:val="Unresolved Mention"/>
    <w:basedOn w:val="DefaultParagraphFont"/>
    <w:uiPriority w:val="99"/>
    <w:semiHidden/>
    <w:unhideWhenUsed/>
    <w:rsid w:val="00943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bd.int/decisions/cop?m=cop-14" TargetMode="External"/><Relationship Id="rId26" Type="http://schemas.openxmlformats.org/officeDocument/2006/relationships/hyperlink" Target="https://www.cbd.int/doc/decisions/cop-14/cop-14-dec-33-en.pdf" TargetMode="External"/><Relationship Id="rId3" Type="http://schemas.openxmlformats.org/officeDocument/2006/relationships/customXml" Target="../customXml/item3.xml"/><Relationship Id="rId21" Type="http://schemas.openxmlformats.org/officeDocument/2006/relationships/hyperlink" Target="https://www.cbd.int/doc/decisions/cop-10/cop-10-dec-40-fr.pdf" TargetMode="External"/><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cbd.int/doc/decisions/cop-16/cop-16-dec-21-fr.pdf" TargetMode="External"/><Relationship Id="rId25" Type="http://schemas.openxmlformats.org/officeDocument/2006/relationships/hyperlink" Target="https://www.cbd.int/decisions/cop/?m=cop-16"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cbd.int/doc/decisions/cop-15/cop-15-dec-31-fr.pdf" TargetMode="External"/><Relationship Id="rId20" Type="http://schemas.openxmlformats.org/officeDocument/2006/relationships/hyperlink" Target="https://www.cbd.int/decisions/cop/?m=cop-16"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cbd.int/decisions/cop/?m=cop-15" TargetMode="External"/><Relationship Id="rId32"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s://www.cbd.int/doc/decisions/cop-14/cop-14-dec-19-fr.pdf" TargetMode="External"/><Relationship Id="rId23" Type="http://schemas.openxmlformats.org/officeDocument/2006/relationships/hyperlink" Target="https://www.cbd.int/decisions/cop/?m=cop-16" TargetMode="External"/><Relationship Id="rId28" Type="http://schemas.openxmlformats.org/officeDocument/2006/relationships/hyperlink" Target="https://www.cbd.int/documents/CBD/SBSTTA/26/4" TargetMode="External"/><Relationship Id="rId10" Type="http://schemas.openxmlformats.org/officeDocument/2006/relationships/footnotes" Target="footnotes.xml"/><Relationship Id="rId19" Type="http://schemas.openxmlformats.org/officeDocument/2006/relationships/hyperlink" Target="https://www.cbd.int/decisions/cop/?m=cop-15"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www.cbd.int/decisions/cop/?m=cop-16" TargetMode="External"/><Relationship Id="rId27" Type="http://schemas.openxmlformats.org/officeDocument/2006/relationships/hyperlink" Target="https://www.cbd.int/doc/decisions/cop-16/cop-16-dec-26-en.pdf"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cbd.int/doc/publications/cbd-ts-100-en.pdf" TargetMode="External"/><Relationship Id="rId13" Type="http://schemas.openxmlformats.org/officeDocument/2006/relationships/hyperlink" Target="https://www.cbd.int/decisions/cop/?m=cop-15" TargetMode="External"/><Relationship Id="rId3" Type="http://schemas.openxmlformats.org/officeDocument/2006/relationships/hyperlink" Target="https://www.cbd.int/notifications/2025-065" TargetMode="External"/><Relationship Id="rId7" Type="http://schemas.openxmlformats.org/officeDocument/2006/relationships/hyperlink" Target="https://www.cbd.int/decisions/cop/?m=cop-15" TargetMode="External"/><Relationship Id="rId12" Type="http://schemas.openxmlformats.org/officeDocument/2006/relationships/hyperlink" Target="https://www.cbd.int/decisions/cop?m=cop-08" TargetMode="External"/><Relationship Id="rId2" Type="http://schemas.openxmlformats.org/officeDocument/2006/relationships/hyperlink" Target="https://www.cbd.int/documents/CBD/SYNBIO/AHTEG/2026/1/2" TargetMode="External"/><Relationship Id="rId1" Type="http://schemas.openxmlformats.org/officeDocument/2006/relationships/hyperlink" Target="https://www.cbd.int/documents/CBD/SYNBIO/AHTEG/2026/1/3" TargetMode="External"/><Relationship Id="rId6" Type="http://schemas.openxmlformats.org/officeDocument/2006/relationships/hyperlink" Target="https://www.cbd.int/decisions/np-mop/?m=np-mop-05" TargetMode="External"/><Relationship Id="rId11" Type="http://schemas.openxmlformats.org/officeDocument/2006/relationships/hyperlink" Target="https://www.cbd.int/decisions/np-mop/?m=np-mop-05" TargetMode="External"/><Relationship Id="rId5" Type="http://schemas.openxmlformats.org/officeDocument/2006/relationships/hyperlink" Target="https://www.cbd.int/decisions/mop/?m=cp-mop-10" TargetMode="External"/><Relationship Id="rId10" Type="http://schemas.openxmlformats.org/officeDocument/2006/relationships/hyperlink" Target="https://www.cbd.int/doc/decisions/cp-mop-10/cp-mop-10-dec-04-fr.pdf" TargetMode="External"/><Relationship Id="rId4" Type="http://schemas.openxmlformats.org/officeDocument/2006/relationships/hyperlink" Target="https://www.cbd.int/notifications/2025-088" TargetMode="External"/><Relationship Id="rId9" Type="http://schemas.openxmlformats.org/officeDocument/2006/relationships/hyperlink" Target="https://www.cbd.int/decisions/mop/?m=cp-mop-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LOUGHLI\Downloads\sbstta-28-template-en.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date xx 2019</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c89cf9d1-532e-4c94-875d-12e9041bbcb0" xsi:nil="true"/>
    <lcf76f155ced4ddcb4097134ff3c332f xmlns="292e8265-61e8-4476-9c6d-719af089d24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A328EB00E67F346B6174BE96D327B2B" ma:contentTypeVersion="11" ma:contentTypeDescription="Create a new document." ma:contentTypeScope="" ma:versionID="b1769ac123458866e93c1e1a8f5d7264">
  <xsd:schema xmlns:xsd="http://www.w3.org/2001/XMLSchema" xmlns:xs="http://www.w3.org/2001/XMLSchema" xmlns:p="http://schemas.microsoft.com/office/2006/metadata/properties" xmlns:ns2="292e8265-61e8-4476-9c6d-719af089d244" xmlns:ns3="c89cf9d1-532e-4c94-875d-12e9041bbcb0" targetNamespace="http://schemas.microsoft.com/office/2006/metadata/properties" ma:root="true" ma:fieldsID="cef69a2368db5a80933a10034f3f94d7" ns2:_="" ns3:_="">
    <xsd:import namespace="292e8265-61e8-4476-9c6d-719af089d244"/>
    <xsd:import namespace="c89cf9d1-532e-4c94-875d-12e9041bbcb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e8265-61e8-4476-9c6d-719af089d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9cf9d1-532e-4c94-875d-12e9041bbcb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ffcbcd2-b711-4b56-9cc9-ef645dd2f1b1}" ma:internalName="TaxCatchAll" ma:showField="CatchAllData" ma:web="c89cf9d1-532e-4c94-875d-12e9041bb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BAD42C-1DC6-49A0-8A77-BC87126E0AAE}">
  <ds:schemaRefs>
    <ds:schemaRef ds:uri="http://schemas.microsoft.com/office/2006/metadata/properties"/>
    <ds:schemaRef ds:uri="http://schemas.microsoft.com/office/infopath/2007/PartnerControls"/>
    <ds:schemaRef ds:uri="c89cf9d1-532e-4c94-875d-12e9041bbcb0"/>
    <ds:schemaRef ds:uri="292e8265-61e8-4476-9c6d-719af089d244"/>
  </ds:schemaRefs>
</ds:datastoreItem>
</file>

<file path=customXml/itemProps3.xml><?xml version="1.0" encoding="utf-8"?>
<ds:datastoreItem xmlns:ds="http://schemas.openxmlformats.org/officeDocument/2006/customXml" ds:itemID="{157C228B-262D-4418-9EAD-4DA8699E5020}">
  <ds:schemaRefs>
    <ds:schemaRef ds:uri="http://schemas.microsoft.com/sharepoint/v3/contenttype/forms"/>
  </ds:schemaRefs>
</ds:datastoreItem>
</file>

<file path=customXml/itemProps4.xml><?xml version="1.0" encoding="utf-8"?>
<ds:datastoreItem xmlns:ds="http://schemas.openxmlformats.org/officeDocument/2006/customXml" ds:itemID="{192503EE-D9CC-4557-B27C-CE5E4479AD38}">
  <ds:schemaRefs>
    <ds:schemaRef ds:uri="http://schemas.openxmlformats.org/officeDocument/2006/bibliography"/>
  </ds:schemaRefs>
</ds:datastoreItem>
</file>

<file path=customXml/itemProps5.xml><?xml version="1.0" encoding="utf-8"?>
<ds:datastoreItem xmlns:ds="http://schemas.openxmlformats.org/officeDocument/2006/customXml" ds:itemID="{352742EC-5147-44F4-BE02-0B788CB58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e8265-61e8-4476-9c6d-719af089d244"/>
    <ds:schemaRef ds:uri="c89cf9d1-532e-4c94-875d-12e9041bb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sbstta-28-template-en.dotm</Template>
  <TotalTime>57</TotalTime>
  <Pages>15</Pages>
  <Words>7510</Words>
  <Characters>42809</Characters>
  <Application>Microsoft Office Word</Application>
  <DocSecurity>0</DocSecurity>
  <Lines>356</Lines>
  <Paragraphs>100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Biologie de synthèse</vt:lpstr>
      <vt:lpstr>Title</vt:lpstr>
    </vt:vector>
  </TitlesOfParts>
  <Company>SCBD</Company>
  <LinksUpToDate>false</LinksUpToDate>
  <CharactersWithSpaces>50219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Biologie de synthèse</dc:title>
  <dc:subject>CBD/SBSTTA/REC/28/3</dc:subject>
  <dc:creator>Secretariat of the Convention on Biological Diversity</dc:creator>
  <cp:keywords>Convention on Biological Diversity</cp:keywords>
  <cp:lastModifiedBy>Mariko Nishi</cp:lastModifiedBy>
  <cp:revision>6</cp:revision>
  <cp:lastPrinted>2020-01-21T19:56:00Z</cp:lastPrinted>
  <dcterms:created xsi:type="dcterms:W3CDTF">2026-08-20T14:19:00Z</dcterms:created>
  <dcterms:modified xsi:type="dcterms:W3CDTF">2026-08-21T19:53:00Z</dcterms:modified>
  <cp:contentStatus>GENERAL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BD-Category">
    <vt:lpwstr>CBD</vt:lpwstr>
  </property>
  <property fmtid="{D5CDD505-2E9C-101B-9397-08002B2CF9AE}" pid="3" name="CBD-Distr">
    <vt:lpwstr>Distr</vt:lpwstr>
  </property>
  <property fmtid="{D5CDD505-2E9C-101B-9397-08002B2CF9AE}" pid="4" name="CBD-Generator">
    <vt:lpwstr>0</vt:lpwstr>
  </property>
  <property fmtid="{D5CDD505-2E9C-101B-9397-08002B2CF9AE}" pid="5" name="CBD-LangDistr">
    <vt:lpwstr/>
  </property>
  <property fmtid="{D5CDD505-2E9C-101B-9397-08002B2CF9AE}" pid="6" name="CBD-Language">
    <vt:lpwstr>EN</vt:lpwstr>
  </property>
  <property fmtid="{D5CDD505-2E9C-101B-9397-08002B2CF9AE}" pid="7" name="CBD-NoSymbol">
    <vt:lpwstr>1</vt:lpwstr>
  </property>
  <property fmtid="{D5CDD505-2E9C-101B-9397-08002B2CF9AE}" pid="8" name="ContentTypeId">
    <vt:lpwstr>0x0101007A328EB00E67F346B6174BE96D327B2B</vt:lpwstr>
  </property>
  <property fmtid="{D5CDD505-2E9C-101B-9397-08002B2CF9AE}" pid="9" name="MediaServiceImageTags">
    <vt:lpwstr/>
  </property>
</Properties>
</file>