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07A6E" w:rsidRPr="00CA1E2F" w14:paraId="472C65F9" w14:textId="77777777" w:rsidTr="00F7793A">
        <w:trPr>
          <w:trHeight w:val="709"/>
        </w:trPr>
        <w:tc>
          <w:tcPr>
            <w:tcW w:w="976" w:type="dxa"/>
            <w:tcBorders>
              <w:bottom w:val="single" w:sz="12" w:space="0" w:color="auto"/>
            </w:tcBorders>
          </w:tcPr>
          <w:p w14:paraId="209A51C8" w14:textId="77777777" w:rsidR="00207A6E" w:rsidRPr="00CA1E2F" w:rsidRDefault="00207A6E" w:rsidP="00F7793A">
            <w:pPr>
              <w:rPr>
                <w:rFonts w:ascii="Times New Roman" w:hAnsi="Times New Roman" w:cs="Times New Roman"/>
                <w:kern w:val="22"/>
                <w:szCs w:val="22"/>
              </w:rPr>
            </w:pPr>
            <w:r w:rsidRPr="00780276">
              <w:rPr>
                <w:noProof/>
                <w:kern w:val="22"/>
                <w:szCs w:val="22"/>
                <w:lang w:eastAsia="en-CA"/>
              </w:rPr>
              <w:drawing>
                <wp:inline distT="0" distB="0" distL="0" distR="0" wp14:anchorId="7EB54BF0" wp14:editId="0C2F40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B403395" w14:textId="77777777" w:rsidR="00207A6E" w:rsidRPr="00CA1E2F" w:rsidRDefault="00207A6E" w:rsidP="00F7793A">
            <w:pPr>
              <w:rPr>
                <w:rFonts w:ascii="Times New Roman" w:hAnsi="Times New Roman" w:cs="Times New Roman"/>
                <w:kern w:val="22"/>
                <w:szCs w:val="22"/>
              </w:rPr>
            </w:pPr>
            <w:r w:rsidRPr="00780276">
              <w:rPr>
                <w:noProof/>
                <w:kern w:val="22"/>
                <w:szCs w:val="22"/>
                <w:lang w:eastAsia="en-CA"/>
              </w:rPr>
              <w:drawing>
                <wp:inline distT="0" distB="0" distL="0" distR="0" wp14:anchorId="0BC4BACE" wp14:editId="153F18DA">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907B15F" w14:textId="77777777" w:rsidR="00207A6E" w:rsidRPr="00CA1E2F" w:rsidRDefault="00207A6E" w:rsidP="00F7793A">
            <w:pPr>
              <w:jc w:val="right"/>
              <w:rPr>
                <w:rFonts w:ascii="Arial" w:hAnsi="Arial" w:cs="Arial"/>
                <w:b/>
                <w:kern w:val="22"/>
                <w:sz w:val="32"/>
                <w:szCs w:val="32"/>
              </w:rPr>
            </w:pPr>
            <w:r w:rsidRPr="0072663B">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16F02" w:rsidRPr="00CA1E2F" w14:paraId="4B53676D" w14:textId="77777777" w:rsidTr="009554D5">
        <w:trPr>
          <w:trHeight w:val="1693"/>
        </w:trPr>
        <w:tc>
          <w:tcPr>
            <w:tcW w:w="6227" w:type="dxa"/>
            <w:tcBorders>
              <w:top w:val="nil"/>
              <w:bottom w:val="single" w:sz="36" w:space="0" w:color="000000"/>
            </w:tcBorders>
          </w:tcPr>
          <w:p w14:paraId="0D50E0D8" w14:textId="77777777" w:rsidR="00F16F02" w:rsidRPr="00CA1E2F" w:rsidRDefault="00F16F02">
            <w:pPr>
              <w:rPr>
                <w:snapToGrid w:val="0"/>
                <w:kern w:val="22"/>
                <w:szCs w:val="22"/>
              </w:rPr>
            </w:pPr>
          </w:p>
          <w:p w14:paraId="72CE7AB5" w14:textId="77777777" w:rsidR="00F16F02" w:rsidRPr="00CA1E2F" w:rsidRDefault="00F16F02" w:rsidP="00736BC2">
            <w:pPr>
              <w:rPr>
                <w:snapToGrid w:val="0"/>
                <w:kern w:val="22"/>
                <w:szCs w:val="22"/>
              </w:rPr>
            </w:pPr>
            <w:r w:rsidRPr="00780276">
              <w:rPr>
                <w:noProof/>
                <w:kern w:val="22"/>
                <w:szCs w:val="22"/>
                <w:lang w:eastAsia="en-CA"/>
              </w:rPr>
              <w:drawing>
                <wp:inline distT="0" distB="0" distL="0" distR="0" wp14:anchorId="30A91686" wp14:editId="61D1D66A">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p w14:paraId="76467374" w14:textId="77777777" w:rsidR="00F16F02" w:rsidRPr="0072663B" w:rsidRDefault="00F16F02">
            <w:pPr>
              <w:rPr>
                <w:snapToGrid w:val="0"/>
                <w:kern w:val="22"/>
                <w:szCs w:val="22"/>
              </w:rPr>
            </w:pPr>
          </w:p>
        </w:tc>
        <w:tc>
          <w:tcPr>
            <w:tcW w:w="1144" w:type="dxa"/>
            <w:tcBorders>
              <w:top w:val="nil"/>
              <w:bottom w:val="single" w:sz="36" w:space="0" w:color="000000"/>
            </w:tcBorders>
          </w:tcPr>
          <w:p w14:paraId="07C8132B" w14:textId="77777777" w:rsidR="00F16F02" w:rsidRPr="00CA1E2F" w:rsidRDefault="00F16F02">
            <w:pPr>
              <w:pStyle w:val="Header"/>
              <w:tabs>
                <w:tab w:val="clear" w:pos="4320"/>
                <w:tab w:val="clear" w:pos="8640"/>
              </w:tabs>
              <w:rPr>
                <w:b/>
                <w:snapToGrid w:val="0"/>
                <w:kern w:val="22"/>
                <w:szCs w:val="22"/>
              </w:rPr>
            </w:pPr>
          </w:p>
        </w:tc>
        <w:tc>
          <w:tcPr>
            <w:tcW w:w="2977" w:type="dxa"/>
            <w:tcBorders>
              <w:top w:val="nil"/>
              <w:bottom w:val="single" w:sz="36" w:space="0" w:color="000000"/>
            </w:tcBorders>
          </w:tcPr>
          <w:p w14:paraId="21940D00" w14:textId="77777777" w:rsidR="00F16F02" w:rsidRPr="00CA1E2F" w:rsidRDefault="00F16F02" w:rsidP="003B24CB">
            <w:pPr>
              <w:ind w:left="62"/>
              <w:jc w:val="left"/>
              <w:rPr>
                <w:snapToGrid w:val="0"/>
                <w:kern w:val="22"/>
                <w:szCs w:val="22"/>
              </w:rPr>
            </w:pPr>
            <w:r w:rsidRPr="00CA1E2F">
              <w:rPr>
                <w:snapToGrid w:val="0"/>
                <w:kern w:val="22"/>
                <w:szCs w:val="22"/>
              </w:rPr>
              <w:t>Distr.</w:t>
            </w:r>
          </w:p>
          <w:p w14:paraId="47C36B34" w14:textId="50387803" w:rsidR="00F16F02" w:rsidRPr="00CA1E2F" w:rsidRDefault="008A4AD7" w:rsidP="003B24CB">
            <w:pPr>
              <w:ind w:left="62"/>
              <w:jc w:val="left"/>
              <w:rPr>
                <w:snapToGrid w:val="0"/>
                <w:kern w:val="22"/>
                <w:szCs w:val="22"/>
              </w:rPr>
            </w:pPr>
            <w:r w:rsidRPr="00CA1E2F">
              <w:rPr>
                <w:snapToGrid w:val="0"/>
                <w:kern w:val="22"/>
                <w:szCs w:val="22"/>
              </w:rPr>
              <w:t>GENERAL</w:t>
            </w:r>
          </w:p>
          <w:p w14:paraId="2EF47831" w14:textId="77777777" w:rsidR="00F16F02" w:rsidRPr="00CA1E2F" w:rsidRDefault="00F16F02" w:rsidP="003B24CB">
            <w:pPr>
              <w:ind w:left="62"/>
              <w:jc w:val="left"/>
              <w:rPr>
                <w:snapToGrid w:val="0"/>
                <w:kern w:val="22"/>
                <w:szCs w:val="22"/>
              </w:rPr>
            </w:pPr>
          </w:p>
          <w:sdt>
            <w:sdtPr>
              <w:rPr>
                <w:kern w:val="22"/>
                <w:szCs w:val="22"/>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EndPr/>
            <w:sdtContent>
              <w:p w14:paraId="73B3C285" w14:textId="1FA94D55" w:rsidR="00F16F02" w:rsidRPr="00CA1E2F" w:rsidRDefault="00252222" w:rsidP="003B24CB">
                <w:pPr>
                  <w:ind w:left="62"/>
                  <w:jc w:val="left"/>
                  <w:rPr>
                    <w:snapToGrid w:val="0"/>
                    <w:kern w:val="22"/>
                    <w:szCs w:val="22"/>
                  </w:rPr>
                </w:pPr>
                <w:r w:rsidRPr="00CA1E2F">
                  <w:rPr>
                    <w:kern w:val="22"/>
                    <w:szCs w:val="22"/>
                  </w:rPr>
                  <w:t>CBD/WG2020/</w:t>
                </w:r>
                <w:r>
                  <w:rPr>
                    <w:kern w:val="22"/>
                    <w:szCs w:val="22"/>
                  </w:rPr>
                  <w:t>REC/</w:t>
                </w:r>
                <w:r w:rsidRPr="00CA1E2F">
                  <w:rPr>
                    <w:kern w:val="22"/>
                    <w:szCs w:val="22"/>
                  </w:rPr>
                  <w:t>1/</w:t>
                </w:r>
                <w:r>
                  <w:rPr>
                    <w:kern w:val="22"/>
                    <w:szCs w:val="22"/>
                  </w:rPr>
                  <w:t>1</w:t>
                </w:r>
              </w:p>
            </w:sdtContent>
          </w:sdt>
          <w:p w14:paraId="523A5689" w14:textId="2B0C78E3" w:rsidR="00F16F02" w:rsidRPr="00CA1E2F" w:rsidRDefault="00B42024" w:rsidP="003B24CB">
            <w:pPr>
              <w:ind w:left="62"/>
              <w:jc w:val="left"/>
              <w:rPr>
                <w:snapToGrid w:val="0"/>
                <w:kern w:val="22"/>
                <w:szCs w:val="22"/>
              </w:rPr>
            </w:pPr>
            <w:r w:rsidRPr="0072663B">
              <w:rPr>
                <w:snapToGrid w:val="0"/>
                <w:kern w:val="22"/>
                <w:szCs w:val="22"/>
              </w:rPr>
              <w:t>30</w:t>
            </w:r>
            <w:r w:rsidR="00D15589" w:rsidRPr="00CA1E2F">
              <w:rPr>
                <w:snapToGrid w:val="0"/>
                <w:kern w:val="22"/>
                <w:szCs w:val="22"/>
              </w:rPr>
              <w:t xml:space="preserve"> </w:t>
            </w:r>
            <w:r w:rsidR="00322A35" w:rsidRPr="00CA1E2F">
              <w:rPr>
                <w:snapToGrid w:val="0"/>
                <w:kern w:val="22"/>
                <w:szCs w:val="22"/>
              </w:rPr>
              <w:t>August</w:t>
            </w:r>
            <w:r w:rsidR="00D15589" w:rsidRPr="00CA1E2F">
              <w:rPr>
                <w:snapToGrid w:val="0"/>
                <w:kern w:val="22"/>
                <w:szCs w:val="22"/>
              </w:rPr>
              <w:t xml:space="preserve"> 201</w:t>
            </w:r>
            <w:r w:rsidR="00060B3E" w:rsidRPr="00CA1E2F">
              <w:rPr>
                <w:snapToGrid w:val="0"/>
                <w:kern w:val="22"/>
                <w:szCs w:val="22"/>
              </w:rPr>
              <w:t>9</w:t>
            </w:r>
          </w:p>
          <w:p w14:paraId="2316A71A" w14:textId="77777777" w:rsidR="00F16F02" w:rsidRPr="00CA1E2F" w:rsidRDefault="00F16F02" w:rsidP="003B24CB">
            <w:pPr>
              <w:ind w:left="62"/>
              <w:jc w:val="left"/>
              <w:rPr>
                <w:snapToGrid w:val="0"/>
                <w:kern w:val="22"/>
                <w:szCs w:val="22"/>
              </w:rPr>
            </w:pPr>
          </w:p>
          <w:p w14:paraId="37156869" w14:textId="5F4446F6" w:rsidR="00F16F02" w:rsidRPr="00CA1E2F" w:rsidRDefault="00F16F02" w:rsidP="003B24CB">
            <w:pPr>
              <w:ind w:left="62"/>
              <w:jc w:val="left"/>
              <w:rPr>
                <w:snapToGrid w:val="0"/>
                <w:kern w:val="22"/>
                <w:szCs w:val="22"/>
                <w:u w:val="single"/>
              </w:rPr>
            </w:pPr>
            <w:r w:rsidRPr="00CA1E2F">
              <w:rPr>
                <w:snapToGrid w:val="0"/>
                <w:kern w:val="22"/>
                <w:szCs w:val="22"/>
              </w:rPr>
              <w:t>ORIGINAL: ENGLISH</w:t>
            </w:r>
          </w:p>
        </w:tc>
      </w:tr>
    </w:tbl>
    <w:bookmarkStart w:id="0" w:name="Meeting"/>
    <w:p w14:paraId="59B38DEC" w14:textId="7CC36985" w:rsidR="00CA6B87" w:rsidRPr="00225964" w:rsidRDefault="007E3F47" w:rsidP="00780276">
      <w:pPr>
        <w:pStyle w:val="meetingname"/>
        <w:ind w:right="5816"/>
        <w:jc w:val="left"/>
        <w:rPr>
          <w:kern w:val="22"/>
        </w:rPr>
      </w:pPr>
      <w:sdt>
        <w:sdtPr>
          <w:rPr>
            <w:kern w:val="22"/>
          </w:rPr>
          <w:alias w:val="Meeting"/>
          <w:tag w:val="Meeting"/>
          <w:id w:val="1412045910"/>
          <w:placeholder>
            <w:docPart w:val="DefaultPlaceholder_1082065158"/>
          </w:placeholder>
          <w:text/>
        </w:sdtPr>
        <w:sdtEndPr/>
        <w:sdtContent>
          <w:r w:rsidR="00F06F85" w:rsidRPr="00225964">
            <w:rPr>
              <w:kern w:val="22"/>
            </w:rPr>
            <w:t>OPEN-ENDED WORKING GROUP on the post-2020 global biodiversity framework</w:t>
          </w:r>
        </w:sdtContent>
      </w:sdt>
      <w:bookmarkEnd w:id="0"/>
    </w:p>
    <w:p w14:paraId="585881F5" w14:textId="77777777" w:rsidR="00D51069" w:rsidRPr="00225964" w:rsidRDefault="00B6487F" w:rsidP="00DA5D37">
      <w:pPr>
        <w:rPr>
          <w:snapToGrid w:val="0"/>
          <w:kern w:val="22"/>
          <w:szCs w:val="22"/>
          <w:lang w:eastAsia="nb-NO"/>
        </w:rPr>
      </w:pPr>
      <w:r w:rsidRPr="00225964">
        <w:rPr>
          <w:snapToGrid w:val="0"/>
          <w:kern w:val="22"/>
          <w:szCs w:val="22"/>
          <w:lang w:eastAsia="nb-NO"/>
        </w:rPr>
        <w:t>First</w:t>
      </w:r>
      <w:r w:rsidR="00D51069" w:rsidRPr="00225964">
        <w:rPr>
          <w:snapToGrid w:val="0"/>
          <w:kern w:val="22"/>
          <w:szCs w:val="22"/>
          <w:lang w:eastAsia="nb-NO"/>
        </w:rPr>
        <w:t xml:space="preserve"> meeting</w:t>
      </w:r>
    </w:p>
    <w:p w14:paraId="567E6B12" w14:textId="6FB40C9F" w:rsidR="00CA6B87" w:rsidRPr="00225964" w:rsidRDefault="00143C15" w:rsidP="00DA5D37">
      <w:pPr>
        <w:rPr>
          <w:snapToGrid w:val="0"/>
          <w:kern w:val="22"/>
          <w:szCs w:val="22"/>
          <w:lang w:eastAsia="nb-NO"/>
        </w:rPr>
      </w:pPr>
      <w:r w:rsidRPr="00225964">
        <w:rPr>
          <w:snapToGrid w:val="0"/>
          <w:kern w:val="22"/>
          <w:szCs w:val="22"/>
          <w:lang w:eastAsia="nb-NO"/>
        </w:rPr>
        <w:t>Nairobi</w:t>
      </w:r>
      <w:r w:rsidR="00CA6B87" w:rsidRPr="00225964">
        <w:rPr>
          <w:snapToGrid w:val="0"/>
          <w:kern w:val="22"/>
          <w:szCs w:val="22"/>
          <w:lang w:eastAsia="nb-NO"/>
        </w:rPr>
        <w:t xml:space="preserve">, </w:t>
      </w:r>
      <w:r w:rsidR="00B6487F" w:rsidRPr="00225964">
        <w:rPr>
          <w:snapToGrid w:val="0"/>
          <w:kern w:val="22"/>
          <w:szCs w:val="22"/>
          <w:lang w:eastAsia="nb-NO"/>
        </w:rPr>
        <w:t>27</w:t>
      </w:r>
      <w:r w:rsidR="002E0627" w:rsidRPr="00225964">
        <w:rPr>
          <w:snapToGrid w:val="0"/>
          <w:kern w:val="22"/>
          <w:szCs w:val="22"/>
          <w:lang w:eastAsia="nb-NO"/>
        </w:rPr>
        <w:t>-</w:t>
      </w:r>
      <w:r w:rsidR="00B6487F" w:rsidRPr="00225964">
        <w:rPr>
          <w:snapToGrid w:val="0"/>
          <w:kern w:val="22"/>
          <w:szCs w:val="22"/>
          <w:lang w:eastAsia="nb-NO"/>
        </w:rPr>
        <w:t>30</w:t>
      </w:r>
      <w:r w:rsidR="00D15589" w:rsidRPr="00225964">
        <w:rPr>
          <w:snapToGrid w:val="0"/>
          <w:kern w:val="22"/>
          <w:szCs w:val="22"/>
          <w:lang w:eastAsia="nb-NO"/>
        </w:rPr>
        <w:t xml:space="preserve"> </w:t>
      </w:r>
      <w:r w:rsidR="00B6487F" w:rsidRPr="00225964">
        <w:rPr>
          <w:snapToGrid w:val="0"/>
          <w:kern w:val="22"/>
          <w:szCs w:val="22"/>
          <w:lang w:eastAsia="nb-NO"/>
        </w:rPr>
        <w:t>August 2019</w:t>
      </w:r>
    </w:p>
    <w:sdt>
      <w:sdtPr>
        <w:rPr>
          <w:snapToGrid w:val="0"/>
          <w:kern w:val="22"/>
          <w:szCs w:val="22"/>
        </w:rPr>
        <w:alias w:val="Title"/>
        <w:tag w:val=""/>
        <w:id w:val="1532753429"/>
        <w:placeholder>
          <w:docPart w:val="5B6B971DB27343279FDA99BE14B766AD"/>
        </w:placeholder>
        <w:dataBinding w:prefixMappings="xmlns:ns0='http://purl.org/dc/elements/1.1/' xmlns:ns1='http://schemas.openxmlformats.org/package/2006/metadata/core-properties' " w:xpath="/ns1:coreProperties[1]/ns0:title[1]" w:storeItemID="{6C3C8BC8-F283-45AE-878A-BAB7291924A1}"/>
        <w:text/>
      </w:sdtPr>
      <w:sdtEndPr/>
      <w:sdtContent>
        <w:p w14:paraId="4ADE6DED" w14:textId="1243E454" w:rsidR="007A3F5E" w:rsidRPr="00780276" w:rsidRDefault="009C5FCA" w:rsidP="003B24CB">
          <w:pPr>
            <w:pStyle w:val="Heading1"/>
            <w:tabs>
              <w:tab w:val="clear" w:pos="720"/>
            </w:tabs>
            <w:spacing w:after="240"/>
            <w:rPr>
              <w:snapToGrid w:val="0"/>
              <w:kern w:val="22"/>
              <w:szCs w:val="22"/>
            </w:rPr>
          </w:pPr>
          <w:r>
            <w:rPr>
              <w:snapToGrid w:val="0"/>
              <w:kern w:val="22"/>
              <w:szCs w:val="22"/>
            </w:rPr>
            <w:t>1/1.</w:t>
          </w:r>
          <w:r>
            <w:rPr>
              <w:snapToGrid w:val="0"/>
              <w:kern w:val="22"/>
              <w:szCs w:val="22"/>
            </w:rPr>
            <w:tab/>
            <w:t>P</w:t>
          </w:r>
          <w:r w:rsidR="009F5CA4">
            <w:rPr>
              <w:caps w:val="0"/>
              <w:snapToGrid w:val="0"/>
              <w:kern w:val="22"/>
              <w:szCs w:val="22"/>
            </w:rPr>
            <w:t>reparation of the post-2020 global biodiversity framework:  conclusions of the Working Group at its first meeting</w:t>
          </w:r>
        </w:p>
      </w:sdtContent>
    </w:sdt>
    <w:p w14:paraId="7F8E6EE7" w14:textId="77777777" w:rsidR="001E2016" w:rsidRPr="00EE2D64" w:rsidRDefault="001E2016">
      <w:pPr>
        <w:suppressLineNumbers/>
        <w:suppressAutoHyphens/>
        <w:spacing w:before="120" w:after="120"/>
        <w:ind w:firstLine="720"/>
        <w:rPr>
          <w:rFonts w:eastAsia="Malgun Gothic"/>
          <w:i/>
          <w:snapToGrid w:val="0"/>
          <w:kern w:val="22"/>
          <w:szCs w:val="22"/>
        </w:rPr>
      </w:pPr>
      <w:r w:rsidRPr="00EE2D64">
        <w:rPr>
          <w:rFonts w:eastAsia="Malgun Gothic"/>
          <w:i/>
          <w:snapToGrid w:val="0"/>
          <w:kern w:val="22"/>
          <w:szCs w:val="22"/>
        </w:rPr>
        <w:t>The Open-ended Working Group on the Post-2020 Global Biodiversity Framework,</w:t>
      </w:r>
    </w:p>
    <w:p w14:paraId="16419EC3" w14:textId="07A0A1A7" w:rsidR="001E2016" w:rsidRPr="00EE2D64" w:rsidRDefault="001E2016" w:rsidP="00412F38">
      <w:pPr>
        <w:pStyle w:val="Para10"/>
        <w:numPr>
          <w:ilvl w:val="0"/>
          <w:numId w:val="0"/>
        </w:numPr>
        <w:suppressLineNumbers/>
        <w:tabs>
          <w:tab w:val="left" w:pos="720"/>
        </w:tabs>
        <w:suppressAutoHyphens/>
        <w:ind w:firstLine="720"/>
        <w:rPr>
          <w:kern w:val="22"/>
          <w:szCs w:val="22"/>
        </w:rPr>
      </w:pPr>
      <w:r w:rsidRPr="00EE2D64">
        <w:rPr>
          <w:i/>
          <w:kern w:val="22"/>
          <w:szCs w:val="22"/>
        </w:rPr>
        <w:t>Welcoming</w:t>
      </w:r>
      <w:r w:rsidRPr="00EE2D64">
        <w:rPr>
          <w:kern w:val="22"/>
          <w:szCs w:val="22"/>
        </w:rPr>
        <w:t xml:space="preserve"> progress made in the implementation of decision </w:t>
      </w:r>
      <w:hyperlink r:id="rId14" w:history="1">
        <w:r w:rsidRPr="00780276">
          <w:rPr>
            <w:rStyle w:val="Hyperlink"/>
            <w:kern w:val="22"/>
            <w:sz w:val="22"/>
            <w:szCs w:val="22"/>
          </w:rPr>
          <w:t>14/34</w:t>
        </w:r>
      </w:hyperlink>
      <w:r w:rsidRPr="00EE2D64">
        <w:rPr>
          <w:kern w:val="22"/>
          <w:szCs w:val="22"/>
        </w:rPr>
        <w:t xml:space="preserve"> on the preparatory process for the development of the pos</w:t>
      </w:r>
      <w:bookmarkStart w:id="1" w:name="_GoBack"/>
      <w:bookmarkEnd w:id="1"/>
      <w:r w:rsidRPr="00EE2D64">
        <w:rPr>
          <w:kern w:val="22"/>
          <w:szCs w:val="22"/>
        </w:rPr>
        <w:t xml:space="preserve">t-2020 global biodiversity framework and </w:t>
      </w:r>
      <w:r w:rsidR="00821A72" w:rsidRPr="00EE2D64">
        <w:rPr>
          <w:kern w:val="22"/>
          <w:szCs w:val="22"/>
        </w:rPr>
        <w:t xml:space="preserve">of </w:t>
      </w:r>
      <w:r w:rsidRPr="00EE2D64">
        <w:rPr>
          <w:kern w:val="22"/>
          <w:szCs w:val="22"/>
        </w:rPr>
        <w:t>other relevant decisions</w:t>
      </w:r>
      <w:r w:rsidR="00821A72" w:rsidRPr="00EE2D64">
        <w:rPr>
          <w:kern w:val="22"/>
          <w:szCs w:val="22"/>
        </w:rPr>
        <w:t>,</w:t>
      </w:r>
      <w:r w:rsidRPr="00EE2D64">
        <w:rPr>
          <w:kern w:val="22"/>
          <w:szCs w:val="22"/>
        </w:rPr>
        <w:t xml:space="preserve"> and future work on various relevant issues to be considered at upcoming intersessional meetings under the Convention and its Protocols,</w:t>
      </w:r>
    </w:p>
    <w:p w14:paraId="6E7468A4" w14:textId="5DDA374E" w:rsidR="001E2016" w:rsidRPr="00EE2D64" w:rsidRDefault="001E2016" w:rsidP="00412F38">
      <w:pPr>
        <w:pStyle w:val="Para10"/>
        <w:numPr>
          <w:ilvl w:val="0"/>
          <w:numId w:val="0"/>
        </w:numPr>
        <w:suppressLineNumbers/>
        <w:tabs>
          <w:tab w:val="left" w:pos="720"/>
        </w:tabs>
        <w:suppressAutoHyphens/>
        <w:ind w:firstLine="720"/>
        <w:rPr>
          <w:kern w:val="22"/>
          <w:szCs w:val="22"/>
        </w:rPr>
      </w:pPr>
      <w:r w:rsidRPr="00EE2D64">
        <w:rPr>
          <w:i/>
          <w:kern w:val="22"/>
          <w:szCs w:val="22"/>
        </w:rPr>
        <w:t>Reiterating</w:t>
      </w:r>
      <w:r w:rsidRPr="00EE2D64">
        <w:rPr>
          <w:kern w:val="22"/>
          <w:szCs w:val="22"/>
        </w:rPr>
        <w:t xml:space="preserve"> that the process of developing the post-2020 global biodiversity framework continues to be Party-led and guided by the principles set out in section A, paragraph 2, of the annex to decision 14/34 and is participatory, inclusive, gender-responsive, transformative, comprehensive, catalytic, transparent and flexible</w:t>
      </w:r>
      <w:r w:rsidR="00821A72" w:rsidRPr="00EE2D64">
        <w:rPr>
          <w:kern w:val="22"/>
          <w:szCs w:val="22"/>
        </w:rPr>
        <w:t>,</w:t>
      </w:r>
      <w:r w:rsidRPr="00EE2D64">
        <w:rPr>
          <w:kern w:val="22"/>
          <w:szCs w:val="22"/>
        </w:rPr>
        <w:t xml:space="preserve"> with due regard to balanced participation of different stakeholders,</w:t>
      </w:r>
    </w:p>
    <w:p w14:paraId="02DF5890" w14:textId="7347BF9F" w:rsidR="001E2016" w:rsidRPr="00EE2D64" w:rsidRDefault="001E2016" w:rsidP="00412F38">
      <w:pPr>
        <w:pStyle w:val="Para10"/>
        <w:numPr>
          <w:ilvl w:val="0"/>
          <w:numId w:val="0"/>
        </w:numPr>
        <w:suppressLineNumbers/>
        <w:tabs>
          <w:tab w:val="left" w:pos="720"/>
        </w:tabs>
        <w:suppressAutoHyphens/>
        <w:ind w:firstLine="720"/>
        <w:rPr>
          <w:rFonts w:eastAsia="Malgun Gothic"/>
          <w:kern w:val="22"/>
          <w:szCs w:val="22"/>
          <w:lang w:eastAsia="x-none"/>
        </w:rPr>
      </w:pPr>
      <w:r w:rsidRPr="00EE2D64">
        <w:rPr>
          <w:rFonts w:eastAsia="Malgun Gothic"/>
          <w:i/>
          <w:kern w:val="22"/>
          <w:szCs w:val="22"/>
          <w:lang w:eastAsia="x-none"/>
        </w:rPr>
        <w:t>Reaffirming</w:t>
      </w:r>
      <w:r w:rsidRPr="00EE2D64">
        <w:rPr>
          <w:rFonts w:eastAsia="Malgun Gothic"/>
          <w:kern w:val="22"/>
          <w:szCs w:val="22"/>
          <w:lang w:eastAsia="x-none"/>
        </w:rPr>
        <w:t>, in accordance with paragraphs 6 and 7 of decision 14/34, the need for the continued active engagement of indigenous peoples and local communities, United Nations organizations and programmes, other multilateral environmental agreements, subnational Governments, cities and other local authorities, intergovernmental organizations, non-governmental organizations, women’s groups, youth groups, the business and finance communities, scientific community, academia, faith-based organizations,  citizens and other stakeholders, and their contribution to the process of developing a robust post-2020 global biodiversity framework</w:t>
      </w:r>
      <w:r w:rsidR="00B013E8" w:rsidRPr="00EE2D64">
        <w:rPr>
          <w:rFonts w:eastAsia="Malgun Gothic"/>
          <w:kern w:val="22"/>
          <w:szCs w:val="22"/>
          <w:lang w:eastAsia="x-none"/>
        </w:rPr>
        <w:t>,</w:t>
      </w:r>
    </w:p>
    <w:p w14:paraId="4D553EE3" w14:textId="1B23D027" w:rsidR="001E2016" w:rsidRPr="00780276" w:rsidRDefault="001E2016" w:rsidP="00412F38">
      <w:pPr>
        <w:spacing w:before="120" w:after="120"/>
        <w:ind w:firstLine="720"/>
        <w:rPr>
          <w:spacing w:val="-4"/>
          <w:kern w:val="22"/>
          <w:szCs w:val="22"/>
          <w:lang w:eastAsia="en-CA"/>
        </w:rPr>
      </w:pPr>
      <w:r w:rsidRPr="00780276">
        <w:rPr>
          <w:spacing w:val="-4"/>
          <w:kern w:val="22"/>
          <w:szCs w:val="22"/>
        </w:rPr>
        <w:t>1.</w:t>
      </w:r>
      <w:r w:rsidRPr="00780276">
        <w:rPr>
          <w:spacing w:val="-4"/>
          <w:kern w:val="22"/>
          <w:szCs w:val="22"/>
        </w:rPr>
        <w:tab/>
      </w:r>
      <w:r w:rsidRPr="00780276">
        <w:rPr>
          <w:i/>
          <w:spacing w:val="-4"/>
          <w:kern w:val="22"/>
          <w:szCs w:val="22"/>
          <w:lang w:eastAsia="en-CA"/>
        </w:rPr>
        <w:t>Welcomes</w:t>
      </w:r>
      <w:r w:rsidRPr="00780276">
        <w:rPr>
          <w:spacing w:val="-4"/>
          <w:kern w:val="22"/>
          <w:szCs w:val="22"/>
          <w:lang w:eastAsia="en-CA"/>
        </w:rPr>
        <w:t xml:space="preserve"> the generous offer of China to host an additional meeting of the Working Group </w:t>
      </w:r>
      <w:r w:rsidR="00821A72" w:rsidRPr="00780276">
        <w:rPr>
          <w:spacing w:val="-4"/>
          <w:kern w:val="22"/>
          <w:szCs w:val="22"/>
          <w:lang w:eastAsia="en-CA"/>
        </w:rPr>
        <w:t xml:space="preserve">on </w:t>
      </w:r>
      <w:r w:rsidR="00821A72" w:rsidRPr="00780276">
        <w:rPr>
          <w:spacing w:val="-4"/>
          <w:kern w:val="22"/>
          <w:szCs w:val="22"/>
        </w:rPr>
        <w:t xml:space="preserve">the </w:t>
      </w:r>
      <w:r w:rsidR="002471A2" w:rsidRPr="00780276">
        <w:rPr>
          <w:spacing w:val="-4"/>
          <w:kern w:val="22"/>
          <w:szCs w:val="22"/>
        </w:rPr>
        <w:t>P</w:t>
      </w:r>
      <w:r w:rsidR="00821A72" w:rsidRPr="00780276">
        <w:rPr>
          <w:spacing w:val="-4"/>
          <w:kern w:val="22"/>
          <w:szCs w:val="22"/>
        </w:rPr>
        <w:t xml:space="preserve">ost-2020 </w:t>
      </w:r>
      <w:r w:rsidR="002471A2" w:rsidRPr="00780276">
        <w:rPr>
          <w:spacing w:val="-4"/>
          <w:kern w:val="22"/>
          <w:szCs w:val="22"/>
        </w:rPr>
        <w:t>G</w:t>
      </w:r>
      <w:r w:rsidR="00821A72" w:rsidRPr="00780276">
        <w:rPr>
          <w:spacing w:val="-4"/>
          <w:kern w:val="22"/>
          <w:szCs w:val="22"/>
        </w:rPr>
        <w:t xml:space="preserve">lobal </w:t>
      </w:r>
      <w:r w:rsidR="002471A2" w:rsidRPr="00780276">
        <w:rPr>
          <w:spacing w:val="-4"/>
          <w:kern w:val="22"/>
          <w:szCs w:val="22"/>
        </w:rPr>
        <w:t>B</w:t>
      </w:r>
      <w:r w:rsidR="00821A72" w:rsidRPr="00780276">
        <w:rPr>
          <w:spacing w:val="-4"/>
          <w:kern w:val="22"/>
          <w:szCs w:val="22"/>
        </w:rPr>
        <w:t xml:space="preserve">iodiversity </w:t>
      </w:r>
      <w:r w:rsidR="002471A2" w:rsidRPr="00780276">
        <w:rPr>
          <w:spacing w:val="-4"/>
          <w:kern w:val="22"/>
          <w:szCs w:val="22"/>
        </w:rPr>
        <w:t>F</w:t>
      </w:r>
      <w:r w:rsidR="00821A72" w:rsidRPr="00780276">
        <w:rPr>
          <w:spacing w:val="-4"/>
          <w:kern w:val="22"/>
          <w:szCs w:val="22"/>
        </w:rPr>
        <w:t>ramework</w:t>
      </w:r>
      <w:r w:rsidR="00821A72" w:rsidRPr="00780276">
        <w:rPr>
          <w:spacing w:val="-4"/>
          <w:kern w:val="22"/>
          <w:szCs w:val="22"/>
          <w:lang w:eastAsia="en-CA"/>
        </w:rPr>
        <w:t xml:space="preserve"> </w:t>
      </w:r>
      <w:r w:rsidRPr="00780276">
        <w:rPr>
          <w:spacing w:val="-4"/>
          <w:kern w:val="22"/>
          <w:szCs w:val="22"/>
          <w:lang w:eastAsia="en-CA"/>
        </w:rPr>
        <w:t>in Kunming, Yunnan Province, from 24 to 28 February 2020;</w:t>
      </w:r>
    </w:p>
    <w:p w14:paraId="5A5A7B9C" w14:textId="47F52C94" w:rsidR="001E2016" w:rsidRPr="00780276" w:rsidRDefault="001E2016" w:rsidP="00412F38">
      <w:pPr>
        <w:spacing w:before="120" w:after="120"/>
        <w:ind w:firstLine="720"/>
        <w:rPr>
          <w:kern w:val="22"/>
          <w:szCs w:val="22"/>
          <w:lang w:eastAsia="en-CA"/>
        </w:rPr>
      </w:pPr>
      <w:r w:rsidRPr="00780276">
        <w:rPr>
          <w:kern w:val="22"/>
          <w:szCs w:val="22"/>
          <w:lang w:eastAsia="en-CA"/>
        </w:rPr>
        <w:t>2.</w:t>
      </w:r>
      <w:r w:rsidRPr="00780276">
        <w:rPr>
          <w:kern w:val="22"/>
          <w:szCs w:val="22"/>
          <w:lang w:eastAsia="en-CA"/>
        </w:rPr>
        <w:tab/>
      </w:r>
      <w:r w:rsidRPr="00780276">
        <w:rPr>
          <w:i/>
          <w:kern w:val="22"/>
          <w:szCs w:val="22"/>
          <w:lang w:eastAsia="en-CA"/>
        </w:rPr>
        <w:t>Also welcomes</w:t>
      </w:r>
      <w:r w:rsidRPr="00780276">
        <w:rPr>
          <w:kern w:val="22"/>
          <w:szCs w:val="22"/>
          <w:lang w:eastAsia="en-CA"/>
        </w:rPr>
        <w:t xml:space="preserve"> the offer of Colombia to host the third meeting of the Working Group in Cali from 27 to 31 July 2020, and </w:t>
      </w:r>
      <w:r w:rsidRPr="00780276">
        <w:rPr>
          <w:i/>
          <w:kern w:val="22"/>
          <w:szCs w:val="22"/>
          <w:lang w:eastAsia="en-CA"/>
        </w:rPr>
        <w:t>acknowledges</w:t>
      </w:r>
      <w:r w:rsidRPr="00780276">
        <w:rPr>
          <w:kern w:val="22"/>
          <w:szCs w:val="22"/>
          <w:lang w:eastAsia="en-CA"/>
        </w:rPr>
        <w:t xml:space="preserve"> the support of Norway for the organization of this meeting;</w:t>
      </w:r>
    </w:p>
    <w:p w14:paraId="5C44E4CA" w14:textId="77777777" w:rsidR="001E2016" w:rsidRPr="00EE2D64" w:rsidRDefault="001E2016" w:rsidP="00412F38">
      <w:pPr>
        <w:spacing w:before="120" w:after="120"/>
        <w:ind w:firstLine="720"/>
        <w:rPr>
          <w:rFonts w:eastAsia="Malgun Gothic"/>
          <w:kern w:val="22"/>
          <w:szCs w:val="22"/>
          <w:lang w:eastAsia="x-none"/>
        </w:rPr>
      </w:pPr>
      <w:r w:rsidRPr="00EE2D64">
        <w:rPr>
          <w:rFonts w:eastAsia="Malgun Gothic"/>
          <w:kern w:val="22"/>
          <w:szCs w:val="22"/>
          <w:lang w:eastAsia="x-none"/>
        </w:rPr>
        <w:t>3.</w:t>
      </w:r>
      <w:r w:rsidRPr="00EE2D64">
        <w:rPr>
          <w:rFonts w:eastAsia="Malgun Gothic"/>
          <w:snapToGrid w:val="0"/>
          <w:kern w:val="22"/>
          <w:szCs w:val="22"/>
          <w:lang w:eastAsia="x-none"/>
        </w:rPr>
        <w:tab/>
      </w:r>
      <w:r w:rsidRPr="00EE2D64">
        <w:rPr>
          <w:rFonts w:eastAsia="Malgun Gothic"/>
          <w:i/>
          <w:snapToGrid w:val="0"/>
          <w:kern w:val="22"/>
          <w:szCs w:val="22"/>
          <w:lang w:eastAsia="x-none"/>
        </w:rPr>
        <w:t>Invites</w:t>
      </w:r>
      <w:r w:rsidRPr="00EE2D64">
        <w:rPr>
          <w:rFonts w:eastAsia="Malgun Gothic"/>
          <w:snapToGrid w:val="0"/>
          <w:kern w:val="22"/>
          <w:szCs w:val="22"/>
          <w:lang w:eastAsia="x-none"/>
        </w:rPr>
        <w:t xml:space="preserve"> Parties, other Governments, relevant organizations and stakeholders, to submit to the Executive Secretary proposals on the structure of the post-2020 global biodiversity framework by 15 September 2019;</w:t>
      </w:r>
    </w:p>
    <w:p w14:paraId="5A0A0068" w14:textId="244551AC" w:rsidR="001E2016" w:rsidRPr="00EE2D64" w:rsidRDefault="001E2016" w:rsidP="00412F38">
      <w:pPr>
        <w:spacing w:before="120" w:after="120"/>
        <w:ind w:firstLine="720"/>
        <w:rPr>
          <w:rFonts w:eastAsia="Malgun Gothic"/>
          <w:kern w:val="22"/>
          <w:szCs w:val="22"/>
          <w:lang w:eastAsia="x-none"/>
        </w:rPr>
      </w:pPr>
      <w:r w:rsidRPr="00EE2D64">
        <w:rPr>
          <w:rFonts w:eastAsia="Malgun Gothic"/>
          <w:kern w:val="22"/>
          <w:szCs w:val="22"/>
          <w:lang w:eastAsia="x-none"/>
        </w:rPr>
        <w:t>4.</w:t>
      </w:r>
      <w:r w:rsidRPr="00EE2D64">
        <w:rPr>
          <w:rFonts w:eastAsia="Malgun Gothic"/>
          <w:i/>
          <w:kern w:val="22"/>
          <w:szCs w:val="22"/>
          <w:lang w:eastAsia="x-none"/>
        </w:rPr>
        <w:tab/>
        <w:t xml:space="preserve">Requests </w:t>
      </w:r>
      <w:r w:rsidRPr="00EE2D64">
        <w:rPr>
          <w:rFonts w:eastAsia="Malgun Gothic"/>
          <w:kern w:val="22"/>
          <w:szCs w:val="22"/>
          <w:lang w:eastAsia="x-none"/>
        </w:rPr>
        <w:t xml:space="preserve">the Co-Chairs and the Executive Secretary, with the oversight of the Bureau, to continue the preparatory process in accordance with decisions 14/34, </w:t>
      </w:r>
      <w:hyperlink r:id="rId15" w:history="1">
        <w:r w:rsidRPr="00780276">
          <w:rPr>
            <w:rStyle w:val="Hyperlink"/>
            <w:rFonts w:eastAsia="Malgun Gothic"/>
            <w:kern w:val="22"/>
            <w:sz w:val="22"/>
            <w:szCs w:val="22"/>
            <w:lang w:eastAsia="x-none"/>
          </w:rPr>
          <w:t>CP-9/7</w:t>
        </w:r>
      </w:hyperlink>
      <w:r w:rsidRPr="00EE2D64">
        <w:rPr>
          <w:rFonts w:eastAsia="Malgun Gothic"/>
          <w:kern w:val="22"/>
          <w:szCs w:val="22"/>
          <w:lang w:eastAsia="x-none"/>
        </w:rPr>
        <w:t xml:space="preserve"> and </w:t>
      </w:r>
      <w:hyperlink r:id="rId16" w:history="1">
        <w:r w:rsidRPr="00780276">
          <w:rPr>
            <w:rStyle w:val="Hyperlink"/>
            <w:rFonts w:eastAsia="Malgun Gothic"/>
            <w:kern w:val="22"/>
            <w:sz w:val="22"/>
            <w:szCs w:val="22"/>
            <w:lang w:eastAsia="x-none"/>
          </w:rPr>
          <w:t>NP-3/15</w:t>
        </w:r>
      </w:hyperlink>
      <w:r w:rsidRPr="00EE2D64">
        <w:rPr>
          <w:rFonts w:eastAsia="Malgun Gothic"/>
          <w:kern w:val="22"/>
          <w:szCs w:val="22"/>
          <w:lang w:eastAsia="x-none"/>
        </w:rPr>
        <w:t>, and to prepare documentation, including a zero draft text of the post-2020 global biodiversity framework six weeks before the second meeting of the Working Group, drawing upon the discussions at this first meeting including the preliminary views as contained in annex I, as well as the outcomes of the eleventh meeting of the Ad Hoc Open-ended Working Group on Article 8(j) and Related Provisions and the twenty-third meeting of the Subsidiary Body on Scientific, Technical and Technological Advice, and the results of other relevant meetings, consultations and workshops, and further submissions from Parties and observers, in order to facilitate the work of the Working Group at its second meeting, and to present a preliminary overview of the zero draft at the informal session on 24 November, 2019.</w:t>
      </w:r>
    </w:p>
    <w:p w14:paraId="4CBE8C9E" w14:textId="77777777" w:rsidR="001E2016" w:rsidRPr="00EE2D64" w:rsidRDefault="001E2016">
      <w:pPr>
        <w:pStyle w:val="Para10"/>
        <w:numPr>
          <w:ilvl w:val="0"/>
          <w:numId w:val="0"/>
        </w:numPr>
        <w:suppressLineNumbers/>
        <w:tabs>
          <w:tab w:val="left" w:pos="720"/>
        </w:tabs>
        <w:suppressAutoHyphens/>
        <w:ind w:firstLine="720"/>
        <w:rPr>
          <w:kern w:val="22"/>
          <w:szCs w:val="22"/>
        </w:rPr>
      </w:pPr>
      <w:r w:rsidRPr="00EE2D64">
        <w:rPr>
          <w:kern w:val="22"/>
          <w:szCs w:val="22"/>
        </w:rPr>
        <w:t>5.</w:t>
      </w:r>
      <w:r w:rsidRPr="00EE2D64">
        <w:rPr>
          <w:kern w:val="22"/>
          <w:szCs w:val="22"/>
        </w:rPr>
        <w:tab/>
      </w:r>
      <w:r w:rsidRPr="00EE2D64">
        <w:rPr>
          <w:i/>
          <w:kern w:val="22"/>
          <w:szCs w:val="22"/>
        </w:rPr>
        <w:t xml:space="preserve">Takes note </w:t>
      </w:r>
      <w:r w:rsidRPr="00EE2D64">
        <w:rPr>
          <w:iCs/>
          <w:kern w:val="22"/>
          <w:szCs w:val="22"/>
        </w:rPr>
        <w:t>of the</w:t>
      </w:r>
      <w:r w:rsidRPr="00EE2D64">
        <w:rPr>
          <w:kern w:val="22"/>
          <w:szCs w:val="22"/>
        </w:rPr>
        <w:t xml:space="preserve"> preliminary list of meetings, consultations and workshops for the development of the post-2020 global biodiversity framework</w:t>
      </w:r>
      <w:r w:rsidRPr="00EE2D64" w:rsidDel="00093526">
        <w:rPr>
          <w:kern w:val="22"/>
          <w:szCs w:val="22"/>
        </w:rPr>
        <w:t xml:space="preserve"> </w:t>
      </w:r>
      <w:r w:rsidRPr="00EE2D64">
        <w:rPr>
          <w:kern w:val="22"/>
          <w:szCs w:val="22"/>
        </w:rPr>
        <w:t xml:space="preserve">contained in annex II, comprising three tables that include respectively, the meetings mandated by the Conference of the Parties, other consultations and workshops proposed by the Co-Chairs and the Executive Secretary, and meetings convened by partners. </w:t>
      </w:r>
    </w:p>
    <w:p w14:paraId="45256662" w14:textId="23BBFD63" w:rsidR="001E2016" w:rsidRPr="00EE2D64" w:rsidRDefault="001E2016" w:rsidP="00780276">
      <w:pPr>
        <w:pStyle w:val="Para10"/>
        <w:numPr>
          <w:ilvl w:val="0"/>
          <w:numId w:val="0"/>
        </w:numPr>
        <w:suppressLineNumbers/>
        <w:tabs>
          <w:tab w:val="left" w:pos="720"/>
        </w:tabs>
        <w:suppressAutoHyphens/>
        <w:ind w:firstLine="720"/>
        <w:rPr>
          <w:kern w:val="22"/>
          <w:szCs w:val="22"/>
        </w:rPr>
      </w:pPr>
      <w:r w:rsidRPr="00EE2D64">
        <w:rPr>
          <w:kern w:val="22"/>
          <w:szCs w:val="22"/>
        </w:rPr>
        <w:t>6.</w:t>
      </w:r>
      <w:r w:rsidRPr="00EE2D64">
        <w:rPr>
          <w:kern w:val="22"/>
          <w:szCs w:val="22"/>
        </w:rPr>
        <w:tab/>
      </w:r>
      <w:r w:rsidRPr="00EE2D64">
        <w:rPr>
          <w:i/>
          <w:kern w:val="22"/>
          <w:szCs w:val="22"/>
        </w:rPr>
        <w:t>Requests</w:t>
      </w:r>
      <w:r w:rsidRPr="00EE2D64">
        <w:rPr>
          <w:kern w:val="22"/>
          <w:szCs w:val="22"/>
        </w:rPr>
        <w:t xml:space="preserve"> the Co-Chairs and the Executive Secretary, </w:t>
      </w:r>
      <w:r w:rsidRPr="00EE2D64">
        <w:rPr>
          <w:rFonts w:eastAsia="Malgun Gothic"/>
          <w:kern w:val="22"/>
          <w:szCs w:val="22"/>
          <w:lang w:eastAsia="x-none"/>
        </w:rPr>
        <w:t xml:space="preserve">in consultation with the Chairs of the Subsidiary Body on Scientific, Technical and Technological Advice and the Subsidiary Body on Implementation </w:t>
      </w:r>
      <w:r w:rsidRPr="00EE2D64">
        <w:rPr>
          <w:kern w:val="22"/>
          <w:szCs w:val="22"/>
        </w:rPr>
        <w:t xml:space="preserve">with the oversight of the </w:t>
      </w:r>
      <w:r w:rsidR="00B63BFB" w:rsidRPr="00EE2D64">
        <w:rPr>
          <w:kern w:val="22"/>
          <w:szCs w:val="22"/>
        </w:rPr>
        <w:t>Bureau of the Conference of the Parties</w:t>
      </w:r>
      <w:r w:rsidRPr="00EE2D64">
        <w:rPr>
          <w:kern w:val="22"/>
          <w:szCs w:val="22"/>
        </w:rPr>
        <w:t xml:space="preserve">, taking into account the discussions at the first meeting of the Working Group, including annex I, the second table of annex II (unofficial meetings) and making use of the revised concept notes, to prepare a detailed workplan, in a manner that balances the three objectives of the Convention, </w:t>
      </w:r>
      <w:r w:rsidRPr="00EE2D64">
        <w:rPr>
          <w:rFonts w:eastAsia="Malgun Gothic"/>
          <w:kern w:val="22"/>
          <w:szCs w:val="22"/>
          <w:lang w:eastAsia="x-none"/>
        </w:rPr>
        <w:t xml:space="preserve">and in accordance with the principles set out in decision 14/34, </w:t>
      </w:r>
      <w:r w:rsidRPr="00EE2D64">
        <w:rPr>
          <w:kern w:val="22"/>
          <w:szCs w:val="22"/>
        </w:rPr>
        <w:t xml:space="preserve">which outlines a strategic concept for consultations and workshops, </w:t>
      </w:r>
      <w:r w:rsidRPr="00EE2D64">
        <w:rPr>
          <w:rFonts w:eastAsia="Malgun Gothic"/>
          <w:kern w:val="22"/>
          <w:szCs w:val="22"/>
          <w:lang w:eastAsia="x-none"/>
        </w:rPr>
        <w:t xml:space="preserve">and other means of consultation, </w:t>
      </w:r>
      <w:r w:rsidRPr="00EE2D64">
        <w:rPr>
          <w:kern w:val="22"/>
          <w:szCs w:val="22"/>
        </w:rPr>
        <w:t>and the mandate and modalities for how Parties and others can engage in each meeting or consultation, recognizing that the annex will be a living document</w:t>
      </w:r>
      <w:r w:rsidR="00821A72" w:rsidRPr="00EE2D64">
        <w:rPr>
          <w:kern w:val="22"/>
          <w:szCs w:val="22"/>
        </w:rPr>
        <w:t>,</w:t>
      </w:r>
      <w:r w:rsidRPr="00EE2D64">
        <w:rPr>
          <w:kern w:val="22"/>
          <w:szCs w:val="22"/>
        </w:rPr>
        <w:t xml:space="preserve"> and clarifying how each output will be considered in the development of the post-2020 global biodiversity framework, and to present it </w:t>
      </w:r>
      <w:r w:rsidRPr="00EE2D64">
        <w:rPr>
          <w:rFonts w:eastAsia="Malgun Gothic"/>
          <w:kern w:val="22"/>
          <w:szCs w:val="22"/>
          <w:lang w:eastAsia="x-none"/>
        </w:rPr>
        <w:t>at the informal session on 24 November 2019</w:t>
      </w:r>
      <w:r w:rsidRPr="00EE2D64">
        <w:rPr>
          <w:kern w:val="22"/>
          <w:szCs w:val="22"/>
        </w:rPr>
        <w:t>;</w:t>
      </w:r>
    </w:p>
    <w:p w14:paraId="46D5A766" w14:textId="6E82A5F7" w:rsidR="001E2016" w:rsidRPr="00EE2D64" w:rsidRDefault="001E2016" w:rsidP="00780276">
      <w:pPr>
        <w:pStyle w:val="Para10"/>
        <w:numPr>
          <w:ilvl w:val="0"/>
          <w:numId w:val="0"/>
        </w:numPr>
        <w:suppressLineNumbers/>
        <w:tabs>
          <w:tab w:val="left" w:pos="720"/>
        </w:tabs>
        <w:suppressAutoHyphens/>
        <w:ind w:firstLine="720"/>
        <w:rPr>
          <w:rFonts w:eastAsia="Malgun Gothic"/>
          <w:kern w:val="22"/>
          <w:szCs w:val="22"/>
          <w:lang w:eastAsia="x-none"/>
        </w:rPr>
      </w:pPr>
      <w:r w:rsidRPr="00EE2D64">
        <w:rPr>
          <w:rFonts w:eastAsia="Malgun Gothic"/>
          <w:kern w:val="22"/>
          <w:szCs w:val="22"/>
          <w:lang w:eastAsia="x-none"/>
        </w:rPr>
        <w:t>7.</w:t>
      </w:r>
      <w:r w:rsidRPr="00EE2D64">
        <w:rPr>
          <w:rFonts w:eastAsia="Malgun Gothic"/>
          <w:kern w:val="22"/>
          <w:szCs w:val="22"/>
          <w:lang w:eastAsia="x-none"/>
        </w:rPr>
        <w:tab/>
      </w:r>
      <w:r w:rsidRPr="00EE2D64">
        <w:rPr>
          <w:rFonts w:eastAsia="Malgun Gothic"/>
          <w:i/>
          <w:kern w:val="22"/>
          <w:szCs w:val="22"/>
          <w:lang w:eastAsia="x-none"/>
        </w:rPr>
        <w:t>Invites</w:t>
      </w:r>
      <w:r w:rsidRPr="00EE2D64">
        <w:rPr>
          <w:rFonts w:eastAsia="Malgun Gothic"/>
          <w:kern w:val="22"/>
          <w:szCs w:val="22"/>
          <w:lang w:eastAsia="x-none"/>
        </w:rPr>
        <w:t xml:space="preserve"> the Subsidiary Body on Scientific, Technical and Technological Advice, the Subsidiary Body on Implementation and the Ad Hoc Open-ended Working Group on Article 8(j) and Relat</w:t>
      </w:r>
      <w:r w:rsidR="00E20ACC" w:rsidRPr="00EE2D64">
        <w:rPr>
          <w:rFonts w:eastAsia="Malgun Gothic"/>
          <w:kern w:val="22"/>
          <w:szCs w:val="22"/>
          <w:lang w:eastAsia="x-none"/>
        </w:rPr>
        <w:t>ed</w:t>
      </w:r>
      <w:r w:rsidRPr="00EE2D64">
        <w:rPr>
          <w:rFonts w:eastAsia="Malgun Gothic"/>
          <w:kern w:val="22"/>
          <w:szCs w:val="22"/>
          <w:lang w:eastAsia="x-none"/>
        </w:rPr>
        <w:t xml:space="preserve"> Provisions to undertake the agreed tasks, including those indicated in annex II</w:t>
      </w:r>
      <w:r w:rsidR="00821A72" w:rsidRPr="00EE2D64">
        <w:rPr>
          <w:rFonts w:eastAsia="Malgun Gothic"/>
          <w:kern w:val="22"/>
          <w:szCs w:val="22"/>
          <w:lang w:eastAsia="x-none"/>
        </w:rPr>
        <w:t>,</w:t>
      </w:r>
      <w:r w:rsidRPr="00EE2D64">
        <w:rPr>
          <w:rFonts w:eastAsia="Malgun Gothic"/>
          <w:kern w:val="22"/>
          <w:szCs w:val="22"/>
          <w:lang w:eastAsia="x-none"/>
        </w:rPr>
        <w:t xml:space="preserve"> and </w:t>
      </w:r>
      <w:r w:rsidR="00E20ACC" w:rsidRPr="00EE2D64">
        <w:rPr>
          <w:rFonts w:eastAsia="Malgun Gothic"/>
          <w:kern w:val="22"/>
          <w:szCs w:val="22"/>
          <w:lang w:eastAsia="x-none"/>
        </w:rPr>
        <w:t xml:space="preserve">to </w:t>
      </w:r>
      <w:r w:rsidRPr="00EE2D64">
        <w:rPr>
          <w:rFonts w:eastAsia="Malgun Gothic"/>
          <w:kern w:val="22"/>
          <w:szCs w:val="22"/>
          <w:lang w:eastAsia="x-none"/>
        </w:rPr>
        <w:t xml:space="preserve">bring to the attention of the Working Group any additional recommendations relevant to the post-2020 global biodiversity framework emerging from their deliberations prior to the fifteenth meeting of the Conference of the Parties, and in particular, with reference to the findings of the </w:t>
      </w:r>
      <w:r w:rsidR="00DB4989" w:rsidRPr="00EE2D64">
        <w:rPr>
          <w:rFonts w:eastAsia="Malgun Gothic"/>
          <w:kern w:val="22"/>
          <w:szCs w:val="22"/>
          <w:lang w:eastAsia="x-none"/>
        </w:rPr>
        <w:t>g</w:t>
      </w:r>
      <w:r w:rsidRPr="00EE2D64">
        <w:rPr>
          <w:rFonts w:eastAsia="Malgun Gothic"/>
          <w:kern w:val="22"/>
          <w:szCs w:val="22"/>
          <w:lang w:eastAsia="x-none"/>
        </w:rPr>
        <w:t xml:space="preserve">lobal </w:t>
      </w:r>
      <w:r w:rsidR="00DB4989" w:rsidRPr="00EE2D64">
        <w:rPr>
          <w:rFonts w:eastAsia="Malgun Gothic"/>
          <w:kern w:val="22"/>
          <w:szCs w:val="22"/>
          <w:lang w:eastAsia="x-none"/>
        </w:rPr>
        <w:t>a</w:t>
      </w:r>
      <w:r w:rsidRPr="00EE2D64">
        <w:rPr>
          <w:rFonts w:eastAsia="Malgun Gothic"/>
          <w:kern w:val="22"/>
          <w:szCs w:val="22"/>
          <w:lang w:eastAsia="x-none"/>
        </w:rPr>
        <w:t xml:space="preserve">ssessment </w:t>
      </w:r>
      <w:r w:rsidR="00DB4989" w:rsidRPr="00EE2D64">
        <w:rPr>
          <w:rFonts w:eastAsia="Malgun Gothic"/>
          <w:kern w:val="22"/>
          <w:szCs w:val="22"/>
          <w:lang w:eastAsia="x-none"/>
        </w:rPr>
        <w:t>report on biodiversity and ecosystem services prepared by</w:t>
      </w:r>
      <w:r w:rsidRPr="00EE2D64">
        <w:rPr>
          <w:rFonts w:eastAsia="Malgun Gothic"/>
          <w:kern w:val="22"/>
          <w:szCs w:val="22"/>
          <w:lang w:eastAsia="x-none"/>
        </w:rPr>
        <w:t xml:space="preserve"> the Intergovernmental Science-Policy Platform on Biodiversity and Ecosystem Services:</w:t>
      </w:r>
    </w:p>
    <w:p w14:paraId="0D83E02E" w14:textId="77E23414" w:rsidR="001E2016" w:rsidRPr="00225964" w:rsidRDefault="001E2016">
      <w:pPr>
        <w:pStyle w:val="Para10"/>
        <w:numPr>
          <w:ilvl w:val="0"/>
          <w:numId w:val="0"/>
        </w:numPr>
        <w:suppressLineNumbers/>
        <w:tabs>
          <w:tab w:val="left" w:pos="720"/>
        </w:tabs>
        <w:suppressAutoHyphens/>
        <w:ind w:firstLine="720"/>
        <w:rPr>
          <w:rFonts w:eastAsia="Malgun Gothic"/>
          <w:kern w:val="22"/>
          <w:szCs w:val="22"/>
          <w:lang w:eastAsia="x-none"/>
        </w:rPr>
      </w:pPr>
      <w:r w:rsidRPr="00225964">
        <w:rPr>
          <w:rFonts w:eastAsia="Malgun Gothic"/>
          <w:kern w:val="22"/>
          <w:szCs w:val="22"/>
          <w:lang w:eastAsia="x-none"/>
        </w:rPr>
        <w:t xml:space="preserve">(a) </w:t>
      </w:r>
      <w:r w:rsidRPr="00225964">
        <w:rPr>
          <w:rFonts w:eastAsia="Malgun Gothic"/>
          <w:kern w:val="22"/>
          <w:szCs w:val="22"/>
          <w:lang w:eastAsia="x-none"/>
        </w:rPr>
        <w:tab/>
      </w:r>
      <w:r w:rsidRPr="00225964">
        <w:rPr>
          <w:rFonts w:eastAsia="Malgun Gothic"/>
          <w:i/>
          <w:kern w:val="22"/>
          <w:szCs w:val="22"/>
          <w:lang w:eastAsia="x-none"/>
        </w:rPr>
        <w:t>Invites</w:t>
      </w:r>
      <w:r w:rsidRPr="00225964">
        <w:rPr>
          <w:rFonts w:eastAsia="Malgun Gothic"/>
          <w:kern w:val="22"/>
          <w:szCs w:val="22"/>
          <w:lang w:eastAsia="x-none"/>
        </w:rPr>
        <w:t xml:space="preserve"> the Subsidiary Body on Scientific, Technical and Technological Advice to provide elements concerning guidance on specific goals, </w:t>
      </w:r>
      <w:r w:rsidR="00981695" w:rsidRPr="00225964">
        <w:rPr>
          <w:rFonts w:eastAsia="Malgun Gothic"/>
          <w:kern w:val="22"/>
          <w:szCs w:val="22"/>
          <w:lang w:eastAsia="x-none"/>
        </w:rPr>
        <w:t xml:space="preserve">specific, measurable, </w:t>
      </w:r>
      <w:r w:rsidR="00636934" w:rsidRPr="00225964">
        <w:rPr>
          <w:rFonts w:eastAsia="Malgun Gothic"/>
          <w:kern w:val="22"/>
          <w:szCs w:val="22"/>
          <w:lang w:eastAsia="x-none"/>
        </w:rPr>
        <w:t>achievable</w:t>
      </w:r>
      <w:r w:rsidR="00AC37F8" w:rsidRPr="00225964">
        <w:rPr>
          <w:rFonts w:eastAsia="Malgun Gothic"/>
          <w:kern w:val="22"/>
          <w:szCs w:val="22"/>
          <w:lang w:eastAsia="x-none"/>
        </w:rPr>
        <w:t xml:space="preserve">, </w:t>
      </w:r>
      <w:r w:rsidR="00F6647E" w:rsidRPr="00225964">
        <w:rPr>
          <w:rFonts w:eastAsia="Malgun Gothic"/>
          <w:kern w:val="22"/>
          <w:szCs w:val="22"/>
          <w:lang w:eastAsia="x-none"/>
        </w:rPr>
        <w:t>result-based</w:t>
      </w:r>
      <w:r w:rsidR="00915CAB" w:rsidRPr="00225964">
        <w:rPr>
          <w:rFonts w:eastAsia="Malgun Gothic"/>
          <w:kern w:val="22"/>
          <w:szCs w:val="22"/>
          <w:lang w:eastAsia="x-none"/>
        </w:rPr>
        <w:t xml:space="preserve"> </w:t>
      </w:r>
      <w:r w:rsidR="00AC37F8" w:rsidRPr="00225964">
        <w:rPr>
          <w:rFonts w:eastAsia="Malgun Gothic"/>
          <w:kern w:val="22"/>
          <w:szCs w:val="22"/>
          <w:lang w:eastAsia="x-none"/>
        </w:rPr>
        <w:t>and time</w:t>
      </w:r>
      <w:r w:rsidR="00F6647E" w:rsidRPr="00225964">
        <w:rPr>
          <w:rFonts w:eastAsia="Malgun Gothic"/>
          <w:kern w:val="22"/>
          <w:szCs w:val="22"/>
          <w:lang w:eastAsia="x-none"/>
        </w:rPr>
        <w:noBreakHyphen/>
      </w:r>
      <w:r w:rsidR="00AC37F8" w:rsidRPr="00225964">
        <w:rPr>
          <w:rFonts w:eastAsia="Malgun Gothic"/>
          <w:kern w:val="22"/>
          <w:szCs w:val="22"/>
          <w:lang w:eastAsia="x-none"/>
        </w:rPr>
        <w:t>bound (</w:t>
      </w:r>
      <w:r w:rsidRPr="00225964">
        <w:rPr>
          <w:rFonts w:eastAsia="Malgun Gothic"/>
          <w:kern w:val="22"/>
          <w:szCs w:val="22"/>
          <w:lang w:eastAsia="x-none"/>
        </w:rPr>
        <w:t>SMART</w:t>
      </w:r>
      <w:r w:rsidR="00AC37F8" w:rsidRPr="00225964">
        <w:rPr>
          <w:rFonts w:eastAsia="Malgun Gothic"/>
          <w:kern w:val="22"/>
          <w:szCs w:val="22"/>
          <w:lang w:eastAsia="x-none"/>
        </w:rPr>
        <w:t>)</w:t>
      </w:r>
      <w:r w:rsidRPr="00225964">
        <w:rPr>
          <w:rFonts w:eastAsia="Malgun Gothic"/>
          <w:kern w:val="22"/>
          <w:szCs w:val="22"/>
          <w:lang w:eastAsia="x-none"/>
        </w:rPr>
        <w:t xml:space="preserve"> targets, indicators, baselines, and monitoring frameworks, relating to the drivers of biodiversity loss, for achieving transformational change, within the scope of the three objectives of the Convention;</w:t>
      </w:r>
    </w:p>
    <w:p w14:paraId="173BFC50" w14:textId="499372C6" w:rsidR="001E2016" w:rsidRPr="00225964" w:rsidRDefault="001E2016" w:rsidP="00412F38">
      <w:pPr>
        <w:pStyle w:val="Para10"/>
        <w:numPr>
          <w:ilvl w:val="0"/>
          <w:numId w:val="0"/>
        </w:numPr>
        <w:suppressLineNumbers/>
        <w:tabs>
          <w:tab w:val="left" w:pos="720"/>
        </w:tabs>
        <w:suppressAutoHyphens/>
        <w:ind w:firstLine="720"/>
        <w:rPr>
          <w:rFonts w:eastAsia="Malgun Gothic"/>
          <w:kern w:val="22"/>
          <w:szCs w:val="22"/>
          <w:lang w:eastAsia="x-none"/>
        </w:rPr>
      </w:pPr>
      <w:r w:rsidRPr="00225964">
        <w:rPr>
          <w:rFonts w:eastAsia="Malgun Gothic"/>
          <w:kern w:val="22"/>
          <w:szCs w:val="22"/>
          <w:lang w:eastAsia="x-none"/>
        </w:rPr>
        <w:t xml:space="preserve">(b) </w:t>
      </w:r>
      <w:r w:rsidRPr="00225964">
        <w:rPr>
          <w:rFonts w:eastAsia="Malgun Gothic"/>
          <w:kern w:val="22"/>
          <w:szCs w:val="22"/>
          <w:lang w:eastAsia="x-none"/>
        </w:rPr>
        <w:tab/>
      </w:r>
      <w:r w:rsidRPr="00225964">
        <w:rPr>
          <w:rFonts w:eastAsia="Malgun Gothic"/>
          <w:i/>
          <w:kern w:val="22"/>
          <w:szCs w:val="22"/>
          <w:lang w:eastAsia="x-none"/>
        </w:rPr>
        <w:t>Invites</w:t>
      </w:r>
      <w:r w:rsidRPr="00225964">
        <w:rPr>
          <w:rFonts w:eastAsia="Malgun Gothic"/>
          <w:kern w:val="22"/>
          <w:szCs w:val="22"/>
          <w:lang w:eastAsia="x-none"/>
        </w:rPr>
        <w:t xml:space="preserve"> the </w:t>
      </w:r>
      <w:r w:rsidR="00B013E8" w:rsidRPr="00225964">
        <w:rPr>
          <w:rFonts w:eastAsia="Malgun Gothic"/>
          <w:kern w:val="22"/>
          <w:szCs w:val="22"/>
          <w:lang w:eastAsia="x-none"/>
        </w:rPr>
        <w:t xml:space="preserve">Ad Hoc </w:t>
      </w:r>
      <w:r w:rsidRPr="00225964">
        <w:rPr>
          <w:rFonts w:eastAsia="Malgun Gothic"/>
          <w:kern w:val="22"/>
          <w:szCs w:val="22"/>
          <w:lang w:eastAsia="x-none"/>
        </w:rPr>
        <w:t>Open-ended Working Group on Article 8(j) and Related Provisions to consider relevant aspects in developing its future work programme;</w:t>
      </w:r>
    </w:p>
    <w:p w14:paraId="734B33FE" w14:textId="3BF4CEA3" w:rsidR="001E2016" w:rsidRPr="00225964" w:rsidRDefault="001E2016" w:rsidP="00412F38">
      <w:pPr>
        <w:pStyle w:val="Para10"/>
        <w:numPr>
          <w:ilvl w:val="0"/>
          <w:numId w:val="0"/>
        </w:numPr>
        <w:suppressLineNumbers/>
        <w:tabs>
          <w:tab w:val="left" w:pos="720"/>
        </w:tabs>
        <w:suppressAutoHyphens/>
        <w:ind w:firstLine="720"/>
        <w:rPr>
          <w:rFonts w:eastAsia="Malgun Gothic"/>
          <w:kern w:val="22"/>
          <w:szCs w:val="22"/>
          <w:lang w:eastAsia="x-none"/>
        </w:rPr>
      </w:pPr>
      <w:r w:rsidRPr="00225964">
        <w:rPr>
          <w:rFonts w:eastAsia="Malgun Gothic"/>
          <w:kern w:val="22"/>
          <w:szCs w:val="22"/>
          <w:lang w:eastAsia="x-none"/>
        </w:rPr>
        <w:t xml:space="preserve">(c) </w:t>
      </w:r>
      <w:r w:rsidRPr="00225964">
        <w:rPr>
          <w:rFonts w:eastAsia="Malgun Gothic"/>
          <w:kern w:val="22"/>
          <w:szCs w:val="22"/>
          <w:lang w:eastAsia="x-none"/>
        </w:rPr>
        <w:tab/>
      </w:r>
      <w:r w:rsidRPr="00225964">
        <w:rPr>
          <w:rFonts w:eastAsia="Malgun Gothic"/>
          <w:i/>
          <w:kern w:val="22"/>
          <w:szCs w:val="22"/>
          <w:lang w:eastAsia="x-none"/>
        </w:rPr>
        <w:t>Invites</w:t>
      </w:r>
      <w:r w:rsidRPr="00225964">
        <w:rPr>
          <w:rFonts w:eastAsia="Malgun Gothic"/>
          <w:kern w:val="22"/>
          <w:szCs w:val="22"/>
          <w:lang w:eastAsia="x-none"/>
        </w:rPr>
        <w:t xml:space="preserve"> the Informal Advisory Group on mainstreaming to include in its report to the third meeting of the Subsidiary Body on Implementation concrete proposals as relevant</w:t>
      </w:r>
      <w:r w:rsidR="001F3732" w:rsidRPr="00225964">
        <w:rPr>
          <w:rFonts w:eastAsia="Malgun Gothic"/>
          <w:kern w:val="22"/>
          <w:szCs w:val="22"/>
          <w:lang w:eastAsia="x-none"/>
        </w:rPr>
        <w:t>;</w:t>
      </w:r>
    </w:p>
    <w:p w14:paraId="27169A8D" w14:textId="77777777" w:rsidR="001E2016" w:rsidRPr="00225964" w:rsidRDefault="001E2016" w:rsidP="00412F38">
      <w:pPr>
        <w:pStyle w:val="Para10"/>
        <w:numPr>
          <w:ilvl w:val="0"/>
          <w:numId w:val="0"/>
        </w:numPr>
        <w:suppressLineNumbers/>
        <w:suppressAutoHyphens/>
        <w:ind w:firstLine="720"/>
        <w:rPr>
          <w:rFonts w:eastAsia="Malgun Gothic"/>
          <w:kern w:val="22"/>
          <w:szCs w:val="22"/>
          <w:lang w:eastAsia="x-none"/>
        </w:rPr>
      </w:pPr>
      <w:r w:rsidRPr="00225964">
        <w:rPr>
          <w:rFonts w:eastAsia="Malgun Gothic"/>
          <w:kern w:val="22"/>
          <w:szCs w:val="22"/>
          <w:lang w:eastAsia="x-none"/>
        </w:rPr>
        <w:t>8.</w:t>
      </w:r>
      <w:r w:rsidRPr="00225964">
        <w:rPr>
          <w:rFonts w:eastAsia="Malgun Gothic"/>
          <w:kern w:val="22"/>
          <w:szCs w:val="22"/>
          <w:lang w:eastAsia="x-none"/>
        </w:rPr>
        <w:tab/>
      </w:r>
      <w:r w:rsidRPr="00225964">
        <w:rPr>
          <w:rFonts w:eastAsia="Malgun Gothic"/>
          <w:i/>
          <w:kern w:val="22"/>
          <w:szCs w:val="22"/>
          <w:lang w:eastAsia="x-none"/>
        </w:rPr>
        <w:t>Welcomes</w:t>
      </w:r>
      <w:r w:rsidRPr="00225964">
        <w:rPr>
          <w:rFonts w:eastAsia="Malgun Gothic"/>
          <w:kern w:val="22"/>
          <w:szCs w:val="22"/>
          <w:lang w:eastAsia="x-none"/>
        </w:rPr>
        <w:t xml:space="preserve"> the offer of the Government of Switzerland to host a workshop as a follow-up to the Consultation Workshop of the Biodiversity-related Conventions on the Post-2020 Global Biodiversity Framework, held in Bern from 10 to 12 June 2019;</w:t>
      </w:r>
    </w:p>
    <w:p w14:paraId="2933CFB1" w14:textId="78F5E5DD" w:rsidR="001E2016" w:rsidRPr="00225964" w:rsidRDefault="001E2016" w:rsidP="00412F38">
      <w:pPr>
        <w:pStyle w:val="Para10"/>
        <w:numPr>
          <w:ilvl w:val="0"/>
          <w:numId w:val="0"/>
        </w:numPr>
        <w:suppressLineNumbers/>
        <w:suppressAutoHyphens/>
        <w:ind w:firstLine="720"/>
        <w:rPr>
          <w:rFonts w:eastAsia="Malgun Gothic"/>
          <w:kern w:val="22"/>
          <w:szCs w:val="22"/>
          <w:lang w:eastAsia="x-none"/>
        </w:rPr>
      </w:pPr>
      <w:r w:rsidRPr="00225964">
        <w:rPr>
          <w:rFonts w:eastAsia="Malgun Gothic"/>
          <w:kern w:val="22"/>
          <w:szCs w:val="22"/>
          <w:lang w:eastAsia="x-none"/>
        </w:rPr>
        <w:t xml:space="preserve">9. </w:t>
      </w:r>
      <w:r w:rsidRPr="00225964">
        <w:rPr>
          <w:rFonts w:eastAsia="Malgun Gothic"/>
          <w:kern w:val="22"/>
          <w:szCs w:val="22"/>
          <w:lang w:eastAsia="x-none"/>
        </w:rPr>
        <w:tab/>
      </w:r>
      <w:r w:rsidRPr="00225964">
        <w:rPr>
          <w:rFonts w:eastAsia="Malgun Gothic"/>
          <w:i/>
          <w:kern w:val="22"/>
          <w:szCs w:val="22"/>
          <w:lang w:eastAsia="x-none"/>
        </w:rPr>
        <w:t>Invites</w:t>
      </w:r>
      <w:r w:rsidRPr="00225964">
        <w:rPr>
          <w:rFonts w:eastAsia="Malgun Gothic"/>
          <w:kern w:val="22"/>
          <w:szCs w:val="22"/>
          <w:lang w:eastAsia="x-none"/>
        </w:rPr>
        <w:t xml:space="preserve"> the Executive Director of </w:t>
      </w:r>
      <w:r w:rsidR="00D0282A" w:rsidRPr="00225964">
        <w:rPr>
          <w:rFonts w:eastAsia="Malgun Gothic"/>
          <w:kern w:val="22"/>
          <w:szCs w:val="22"/>
          <w:lang w:eastAsia="x-none"/>
        </w:rPr>
        <w:t xml:space="preserve">the </w:t>
      </w:r>
      <w:r w:rsidRPr="00225964">
        <w:rPr>
          <w:rFonts w:eastAsia="Malgun Gothic"/>
          <w:kern w:val="22"/>
          <w:szCs w:val="22"/>
          <w:lang w:eastAsia="x-none"/>
        </w:rPr>
        <w:t>United Nations Environment Programme, in her capacity as the Chair of the United Nations Environmental Management Group, to facilitate, in collaboration with the members of the Group, the contribution of the United Nations system to the development and implementation of the post-2020 global biodiversity framework;</w:t>
      </w:r>
    </w:p>
    <w:p w14:paraId="43B3832E" w14:textId="77777777" w:rsidR="001E2016" w:rsidRPr="00780276" w:rsidRDefault="001E2016" w:rsidP="00412F38">
      <w:pPr>
        <w:suppressLineNumbers/>
        <w:suppressAutoHyphens/>
        <w:spacing w:before="120" w:after="120"/>
        <w:ind w:firstLine="720"/>
        <w:rPr>
          <w:kern w:val="22"/>
          <w:szCs w:val="22"/>
          <w:lang w:eastAsia="en-CA"/>
        </w:rPr>
      </w:pPr>
      <w:r w:rsidRPr="00225964">
        <w:rPr>
          <w:kern w:val="22"/>
          <w:szCs w:val="22"/>
        </w:rPr>
        <w:t>10.</w:t>
      </w:r>
      <w:r w:rsidRPr="00225964">
        <w:rPr>
          <w:kern w:val="22"/>
          <w:szCs w:val="22"/>
        </w:rPr>
        <w:tab/>
      </w:r>
      <w:r w:rsidRPr="00780276">
        <w:rPr>
          <w:i/>
          <w:kern w:val="22"/>
          <w:szCs w:val="22"/>
          <w:lang w:eastAsia="en-CA"/>
        </w:rPr>
        <w:t>Recognizes</w:t>
      </w:r>
      <w:r w:rsidRPr="00780276">
        <w:rPr>
          <w:kern w:val="22"/>
          <w:szCs w:val="22"/>
          <w:lang w:eastAsia="en-CA"/>
        </w:rPr>
        <w:t xml:space="preserve"> the relevance of various ongoing processes to provide inputs the development of the post-2020 global biodiversity framework for the consideration of the Working Group, as appropriate;</w:t>
      </w:r>
    </w:p>
    <w:p w14:paraId="58BC594C" w14:textId="39A8284B" w:rsidR="001E2016" w:rsidRPr="00780276" w:rsidRDefault="001E2016" w:rsidP="00412F38">
      <w:pPr>
        <w:pStyle w:val="Para10"/>
        <w:numPr>
          <w:ilvl w:val="0"/>
          <w:numId w:val="0"/>
        </w:numPr>
        <w:suppressLineNumbers/>
        <w:suppressAutoHyphens/>
        <w:ind w:firstLine="720"/>
        <w:rPr>
          <w:kern w:val="22"/>
          <w:szCs w:val="22"/>
          <w:lang w:eastAsia="en-CA"/>
        </w:rPr>
      </w:pPr>
      <w:r w:rsidRPr="00780276">
        <w:rPr>
          <w:kern w:val="22"/>
          <w:szCs w:val="22"/>
          <w:lang w:eastAsia="en-CA"/>
        </w:rPr>
        <w:t>11.</w:t>
      </w:r>
      <w:r w:rsidRPr="00780276">
        <w:rPr>
          <w:kern w:val="22"/>
          <w:szCs w:val="22"/>
          <w:lang w:eastAsia="en-CA"/>
        </w:rPr>
        <w:tab/>
      </w:r>
      <w:r w:rsidRPr="00780276">
        <w:rPr>
          <w:i/>
          <w:kern w:val="22"/>
          <w:szCs w:val="22"/>
          <w:lang w:eastAsia="en-CA"/>
        </w:rPr>
        <w:t xml:space="preserve">Requests </w:t>
      </w:r>
      <w:r w:rsidRPr="00780276">
        <w:rPr>
          <w:kern w:val="22"/>
          <w:szCs w:val="22"/>
          <w:lang w:eastAsia="en-CA"/>
        </w:rPr>
        <w:t xml:space="preserve">the Co-Chairs and </w:t>
      </w:r>
      <w:r w:rsidRPr="00225964">
        <w:rPr>
          <w:rFonts w:eastAsia="Malgun Gothic"/>
          <w:kern w:val="22"/>
          <w:szCs w:val="22"/>
          <w:lang w:eastAsia="x-none"/>
        </w:rPr>
        <w:t>the</w:t>
      </w:r>
      <w:r w:rsidRPr="00780276">
        <w:rPr>
          <w:kern w:val="22"/>
          <w:szCs w:val="22"/>
          <w:lang w:eastAsia="en-CA"/>
        </w:rPr>
        <w:t xml:space="preserve"> Executive Secretary, in consultation with the </w:t>
      </w:r>
      <w:r w:rsidR="00B63BFB" w:rsidRPr="00225964">
        <w:rPr>
          <w:kern w:val="22"/>
          <w:szCs w:val="22"/>
          <w:lang w:eastAsia="en-CA"/>
        </w:rPr>
        <w:t>Bureau of the Conference of the Parties</w:t>
      </w:r>
      <w:r w:rsidRPr="00780276">
        <w:rPr>
          <w:kern w:val="22"/>
          <w:szCs w:val="22"/>
          <w:lang w:eastAsia="en-CA"/>
        </w:rPr>
        <w:t xml:space="preserve">, to update the list in annex II as necessary and to make it available on the </w:t>
      </w:r>
      <w:hyperlink r:id="rId17" w:history="1">
        <w:r w:rsidRPr="00780276">
          <w:rPr>
            <w:rStyle w:val="Hyperlink"/>
            <w:kern w:val="22"/>
            <w:sz w:val="22"/>
          </w:rPr>
          <w:t>post-2020 webpage</w:t>
        </w:r>
      </w:hyperlink>
      <w:r w:rsidRPr="00780276">
        <w:rPr>
          <w:kern w:val="22"/>
          <w:szCs w:val="22"/>
          <w:lang w:eastAsia="en-CA"/>
        </w:rPr>
        <w:t>;</w:t>
      </w:r>
    </w:p>
    <w:p w14:paraId="64224C35" w14:textId="031EA05D" w:rsidR="001E2016" w:rsidRPr="00780276" w:rsidRDefault="001E2016" w:rsidP="00D0282A">
      <w:pPr>
        <w:ind w:firstLine="709"/>
        <w:rPr>
          <w:kern w:val="22"/>
          <w:szCs w:val="22"/>
          <w:lang w:eastAsia="en-CA"/>
        </w:rPr>
      </w:pPr>
      <w:r w:rsidRPr="00780276">
        <w:rPr>
          <w:kern w:val="22"/>
          <w:szCs w:val="22"/>
          <w:lang w:eastAsia="en-CA"/>
        </w:rPr>
        <w:t>12.</w:t>
      </w:r>
      <w:r w:rsidRPr="00780276">
        <w:rPr>
          <w:kern w:val="22"/>
          <w:szCs w:val="22"/>
          <w:lang w:eastAsia="en-CA"/>
        </w:rPr>
        <w:tab/>
      </w:r>
      <w:r w:rsidRPr="00780276">
        <w:rPr>
          <w:i/>
          <w:kern w:val="22"/>
          <w:szCs w:val="22"/>
          <w:lang w:eastAsia="en-CA"/>
        </w:rPr>
        <w:t>Requests</w:t>
      </w:r>
      <w:r w:rsidRPr="00780276">
        <w:rPr>
          <w:kern w:val="22"/>
          <w:szCs w:val="22"/>
          <w:lang w:eastAsia="en-CA"/>
        </w:rPr>
        <w:t xml:space="preserve"> the Co-Chairs </w:t>
      </w:r>
      <w:r w:rsidRPr="00225964">
        <w:rPr>
          <w:rFonts w:eastAsia="Malgun Gothic"/>
          <w:snapToGrid w:val="0"/>
          <w:kern w:val="22"/>
          <w:szCs w:val="22"/>
          <w:lang w:eastAsia="x-none"/>
        </w:rPr>
        <w:t>and</w:t>
      </w:r>
      <w:r w:rsidRPr="00780276">
        <w:rPr>
          <w:kern w:val="22"/>
          <w:szCs w:val="22"/>
          <w:lang w:eastAsia="en-CA"/>
        </w:rPr>
        <w:t xml:space="preserve"> the Executive Secretary to regularly inform the </w:t>
      </w:r>
      <w:r w:rsidR="00B63BFB" w:rsidRPr="00225964">
        <w:rPr>
          <w:kern w:val="22"/>
          <w:szCs w:val="22"/>
          <w:lang w:eastAsia="en-CA"/>
        </w:rPr>
        <w:t>Bureau of the Conference of the Parties</w:t>
      </w:r>
      <w:r w:rsidRPr="00780276">
        <w:rPr>
          <w:kern w:val="22"/>
          <w:szCs w:val="22"/>
          <w:lang w:eastAsia="en-CA"/>
        </w:rPr>
        <w:t xml:space="preserve"> on the progress in the preparations towards the development of the post-2020 global biodiversity framework, including with respect to the financial needs, and to update the webpage on the post-2020 process.</w:t>
      </w:r>
    </w:p>
    <w:p w14:paraId="2D6ACE26" w14:textId="47C43DF5" w:rsidR="00817C4B" w:rsidRPr="00780276" w:rsidRDefault="00817C4B">
      <w:pPr>
        <w:jc w:val="left"/>
        <w:rPr>
          <w:kern w:val="22"/>
          <w:szCs w:val="22"/>
          <w:lang w:eastAsia="en-CA"/>
        </w:rPr>
      </w:pPr>
      <w:r w:rsidRPr="00780276">
        <w:rPr>
          <w:kern w:val="22"/>
          <w:szCs w:val="22"/>
          <w:lang w:eastAsia="en-CA"/>
        </w:rPr>
        <w:br w:type="page"/>
      </w:r>
    </w:p>
    <w:p w14:paraId="522F35D3" w14:textId="04942EA8" w:rsidR="00817C4B" w:rsidRPr="00225964" w:rsidRDefault="00817C4B" w:rsidP="00E20ACC">
      <w:pPr>
        <w:spacing w:before="240" w:after="120"/>
        <w:jc w:val="center"/>
        <w:rPr>
          <w:i/>
          <w:caps/>
          <w:kern w:val="22"/>
          <w:szCs w:val="22"/>
        </w:rPr>
      </w:pPr>
      <w:bookmarkStart w:id="2" w:name="ConclusionsAnnexI"/>
      <w:r w:rsidRPr="00225964">
        <w:rPr>
          <w:i/>
          <w:caps/>
          <w:kern w:val="22"/>
          <w:szCs w:val="22"/>
        </w:rPr>
        <w:t>A</w:t>
      </w:r>
      <w:r w:rsidRPr="00225964">
        <w:rPr>
          <w:i/>
          <w:kern w:val="22"/>
          <w:szCs w:val="22"/>
        </w:rPr>
        <w:t>nnex</w:t>
      </w:r>
      <w:r w:rsidRPr="00225964">
        <w:rPr>
          <w:i/>
          <w:caps/>
          <w:kern w:val="22"/>
          <w:szCs w:val="22"/>
        </w:rPr>
        <w:t xml:space="preserve"> I</w:t>
      </w:r>
    </w:p>
    <w:p w14:paraId="6D735FFD" w14:textId="06C74DD6" w:rsidR="00AC37F8" w:rsidRPr="00225964" w:rsidRDefault="00AC37F8" w:rsidP="00780276">
      <w:pPr>
        <w:pStyle w:val="ListParagraph"/>
        <w:spacing w:before="120" w:after="120"/>
        <w:ind w:left="0"/>
        <w:contextualSpacing w:val="0"/>
        <w:jc w:val="center"/>
        <w:rPr>
          <w:b/>
          <w:iCs/>
          <w:caps/>
          <w:kern w:val="22"/>
          <w:szCs w:val="22"/>
        </w:rPr>
      </w:pPr>
      <w:bookmarkStart w:id="3" w:name="_Hlk17924705"/>
      <w:bookmarkEnd w:id="2"/>
      <w:r w:rsidRPr="00225964">
        <w:rPr>
          <w:b/>
          <w:iCs/>
          <w:caps/>
          <w:kern w:val="22"/>
          <w:szCs w:val="22"/>
        </w:rPr>
        <w:t>POSSIBLE ELEMENTS OF A POST-2020 GLOBAL BIODIVERSITY FRAMEWORK FOR FURTHER DISCUSSION</w:t>
      </w:r>
      <w:r w:rsidR="00821A72" w:rsidRPr="00225964">
        <w:rPr>
          <w:rStyle w:val="FootnoteReference"/>
          <w:b/>
          <w:iCs/>
          <w:caps/>
          <w:kern w:val="22"/>
          <w:szCs w:val="22"/>
        </w:rPr>
        <w:footnoteReference w:id="1"/>
      </w:r>
    </w:p>
    <w:p w14:paraId="491ECFC4" w14:textId="344E9E3A" w:rsidR="00AC37F8" w:rsidRPr="00780276" w:rsidRDefault="00AC37F8" w:rsidP="00780276">
      <w:pPr>
        <w:pStyle w:val="Heading1"/>
        <w:numPr>
          <w:ilvl w:val="0"/>
          <w:numId w:val="81"/>
        </w:numPr>
        <w:spacing w:before="120"/>
        <w:ind w:left="1077"/>
        <w:rPr>
          <w:kern w:val="22"/>
          <w:szCs w:val="22"/>
        </w:rPr>
      </w:pPr>
      <w:r w:rsidRPr="00780276">
        <w:rPr>
          <w:kern w:val="22"/>
          <w:szCs w:val="22"/>
        </w:rPr>
        <w:t>Introduction</w:t>
      </w:r>
    </w:p>
    <w:p w14:paraId="3E1578A1" w14:textId="2A65626C" w:rsidR="00AC37F8" w:rsidRPr="00780276" w:rsidRDefault="00AC37F8" w:rsidP="00780276">
      <w:pPr>
        <w:pStyle w:val="Para1"/>
        <w:tabs>
          <w:tab w:val="clear" w:pos="360"/>
        </w:tabs>
        <w:rPr>
          <w:spacing w:val="-2"/>
          <w:kern w:val="22"/>
        </w:rPr>
      </w:pPr>
      <w:r w:rsidRPr="00780276">
        <w:rPr>
          <w:rFonts w:cs="Times New Roman"/>
          <w:spacing w:val="-2"/>
          <w:kern w:val="22"/>
        </w:rPr>
        <w:t>The present note has been prepared to further facilitate the discussions on the development of the post-2020 global biodiversity framework. The views expressed herein should be considered by the Co</w:t>
      </w:r>
      <w:r w:rsidRPr="00780276">
        <w:rPr>
          <w:rFonts w:cs="Times New Roman"/>
          <w:spacing w:val="-2"/>
          <w:kern w:val="22"/>
        </w:rPr>
        <w:noBreakHyphen/>
        <w:t xml:space="preserve">Chairs of the Open-ended Working Group </w:t>
      </w:r>
      <w:r w:rsidR="00821A72" w:rsidRPr="00780276">
        <w:rPr>
          <w:rFonts w:cs="Times New Roman"/>
          <w:spacing w:val="-2"/>
          <w:kern w:val="22"/>
        </w:rPr>
        <w:t xml:space="preserve">on the </w:t>
      </w:r>
      <w:r w:rsidR="00B81C73" w:rsidRPr="00780276">
        <w:rPr>
          <w:rFonts w:cs="Times New Roman"/>
          <w:spacing w:val="-2"/>
          <w:kern w:val="22"/>
        </w:rPr>
        <w:t>P</w:t>
      </w:r>
      <w:r w:rsidR="00821A72" w:rsidRPr="00780276">
        <w:rPr>
          <w:rFonts w:cs="Times New Roman"/>
          <w:spacing w:val="-2"/>
          <w:kern w:val="22"/>
        </w:rPr>
        <w:t xml:space="preserve">ost-2020 </w:t>
      </w:r>
      <w:r w:rsidR="00B81C73" w:rsidRPr="00780276">
        <w:rPr>
          <w:rFonts w:cs="Times New Roman"/>
          <w:spacing w:val="-2"/>
          <w:kern w:val="22"/>
        </w:rPr>
        <w:t>G</w:t>
      </w:r>
      <w:r w:rsidR="00821A72" w:rsidRPr="00780276">
        <w:rPr>
          <w:rFonts w:cs="Times New Roman"/>
          <w:spacing w:val="-2"/>
          <w:kern w:val="22"/>
        </w:rPr>
        <w:t xml:space="preserve">lobal </w:t>
      </w:r>
      <w:r w:rsidR="00B81C73" w:rsidRPr="00780276">
        <w:rPr>
          <w:rFonts w:cs="Times New Roman"/>
          <w:spacing w:val="-2"/>
          <w:kern w:val="22"/>
        </w:rPr>
        <w:t>B</w:t>
      </w:r>
      <w:r w:rsidR="00821A72" w:rsidRPr="00780276">
        <w:rPr>
          <w:rFonts w:cs="Times New Roman"/>
          <w:spacing w:val="-2"/>
          <w:kern w:val="22"/>
        </w:rPr>
        <w:t xml:space="preserve">iodiversity </w:t>
      </w:r>
      <w:r w:rsidR="00B81C73" w:rsidRPr="00780276">
        <w:rPr>
          <w:rFonts w:cs="Times New Roman"/>
          <w:spacing w:val="-2"/>
          <w:kern w:val="22"/>
        </w:rPr>
        <w:t>F</w:t>
      </w:r>
      <w:r w:rsidR="00821A72" w:rsidRPr="00780276">
        <w:rPr>
          <w:rFonts w:cs="Times New Roman"/>
          <w:spacing w:val="-2"/>
          <w:kern w:val="22"/>
        </w:rPr>
        <w:t xml:space="preserve">ramework </w:t>
      </w:r>
      <w:r w:rsidRPr="00780276">
        <w:rPr>
          <w:rFonts w:cs="Times New Roman"/>
          <w:spacing w:val="-2"/>
          <w:kern w:val="22"/>
        </w:rPr>
        <w:t>when preparing further documentation related to the post</w:t>
      </w:r>
      <w:r w:rsidRPr="00780276">
        <w:rPr>
          <w:rFonts w:cs="Times New Roman"/>
          <w:spacing w:val="-2"/>
          <w:kern w:val="22"/>
        </w:rPr>
        <w:noBreakHyphen/>
        <w:t xml:space="preserve">2020 global biodiversity framework for the Working Group. However, the issues raised in the present note should not be taken to mean that an agreement was reached on any </w:t>
      </w:r>
      <w:proofErr w:type="gramStart"/>
      <w:r w:rsidRPr="00780276">
        <w:rPr>
          <w:rFonts w:cs="Times New Roman"/>
          <w:spacing w:val="-2"/>
          <w:kern w:val="22"/>
        </w:rPr>
        <w:t>particular issue</w:t>
      </w:r>
      <w:proofErr w:type="gramEnd"/>
      <w:r w:rsidRPr="00780276">
        <w:rPr>
          <w:rFonts w:cs="Times New Roman"/>
          <w:spacing w:val="-2"/>
          <w:kern w:val="22"/>
        </w:rPr>
        <w:t>. Further, the present note should be considered alongside the official statements made by Parties during the first meeting of the Working Group and is not intended to replace them.</w:t>
      </w:r>
    </w:p>
    <w:p w14:paraId="58C19DF1" w14:textId="77777777" w:rsidR="00AC37F8" w:rsidRPr="00780276" w:rsidRDefault="00AC37F8" w:rsidP="00780276">
      <w:pPr>
        <w:pStyle w:val="Para1"/>
        <w:tabs>
          <w:tab w:val="clear" w:pos="360"/>
        </w:tabs>
        <w:rPr>
          <w:kern w:val="22"/>
        </w:rPr>
      </w:pPr>
      <w:r w:rsidRPr="00780276">
        <w:rPr>
          <w:rFonts w:cs="Times New Roman"/>
          <w:kern w:val="22"/>
        </w:rPr>
        <w:t xml:space="preserve">Some of the issues raised under the sections below could be relevant and/or placed under different headings depending on how the discussions on the post-2020 global biodiversity framework </w:t>
      </w:r>
      <w:proofErr w:type="gramStart"/>
      <w:r w:rsidRPr="00780276">
        <w:rPr>
          <w:rFonts w:cs="Times New Roman"/>
          <w:kern w:val="22"/>
        </w:rPr>
        <w:t>evolve</w:t>
      </w:r>
      <w:proofErr w:type="gramEnd"/>
      <w:r w:rsidRPr="00780276">
        <w:rPr>
          <w:rFonts w:cs="Times New Roman"/>
          <w:kern w:val="22"/>
        </w:rPr>
        <w:t>. To facilitate future discussions on the post-2020 global biodiversity framework an organizational structure for the possible elements of the framework should be developed.</w:t>
      </w:r>
    </w:p>
    <w:p w14:paraId="16D4FE25" w14:textId="13659558" w:rsidR="00AC37F8" w:rsidRPr="00780276" w:rsidRDefault="00AC37F8" w:rsidP="00780276">
      <w:pPr>
        <w:pStyle w:val="Heading1longmultiline"/>
        <w:numPr>
          <w:ilvl w:val="0"/>
          <w:numId w:val="81"/>
        </w:numPr>
        <w:tabs>
          <w:tab w:val="clear" w:pos="720"/>
        </w:tabs>
        <w:ind w:left="1843"/>
        <w:rPr>
          <w:kern w:val="22"/>
          <w:szCs w:val="22"/>
        </w:rPr>
      </w:pPr>
      <w:r w:rsidRPr="00780276">
        <w:rPr>
          <w:kern w:val="22"/>
          <w:szCs w:val="22"/>
        </w:rPr>
        <w:t>Possible Elements of a post-2020 global biodiversity framework for further discussion</w:t>
      </w:r>
    </w:p>
    <w:p w14:paraId="042691E2" w14:textId="18E00DAE" w:rsidR="00AC37F8" w:rsidRPr="00780276" w:rsidRDefault="00AC37F8" w:rsidP="00780276">
      <w:pPr>
        <w:pStyle w:val="Heading2"/>
        <w:numPr>
          <w:ilvl w:val="0"/>
          <w:numId w:val="78"/>
        </w:numPr>
        <w:rPr>
          <w:kern w:val="22"/>
          <w:szCs w:val="22"/>
        </w:rPr>
      </w:pPr>
      <w:r w:rsidRPr="00780276">
        <w:rPr>
          <w:kern w:val="22"/>
          <w:szCs w:val="22"/>
        </w:rPr>
        <w:t xml:space="preserve">Rationale and scope </w:t>
      </w:r>
    </w:p>
    <w:p w14:paraId="56B746AB" w14:textId="77777777" w:rsidR="00AC37F8" w:rsidRPr="00780276" w:rsidRDefault="00AC37F8" w:rsidP="00780276">
      <w:pPr>
        <w:pStyle w:val="Para2"/>
        <w:rPr>
          <w:kern w:val="22"/>
          <w:szCs w:val="22"/>
        </w:rPr>
      </w:pPr>
      <w:r w:rsidRPr="00780276">
        <w:rPr>
          <w:kern w:val="22"/>
          <w:szCs w:val="22"/>
        </w:rPr>
        <w:t>Possible issues to reflect:</w:t>
      </w:r>
    </w:p>
    <w:p w14:paraId="501EF778"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 xml:space="preserve">The importance of biodiversity and ecosystem services; </w:t>
      </w:r>
    </w:p>
    <w:p w14:paraId="4F089F45"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 xml:space="preserve">The current state of biodiversity and the implications of this for human well-being; </w:t>
      </w:r>
    </w:p>
    <w:p w14:paraId="18D2EA64"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The need for ambition in addressing the current challenges facing biodiversity;</w:t>
      </w:r>
    </w:p>
    <w:p w14:paraId="6E76CD60"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The direct and indirect drivers of biodiversity loss;</w:t>
      </w:r>
    </w:p>
    <w:p w14:paraId="5EB1CDEA"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Transformative change;</w:t>
      </w:r>
      <w:r w:rsidRPr="00225964">
        <w:rPr>
          <w:rStyle w:val="FootnoteReference"/>
          <w:iCs/>
          <w:kern w:val="22"/>
          <w:szCs w:val="22"/>
        </w:rPr>
        <w:footnoteReference w:id="2"/>
      </w:r>
    </w:p>
    <w:p w14:paraId="66357587"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Theory of change;</w:t>
      </w:r>
      <w:r w:rsidRPr="00225964">
        <w:rPr>
          <w:rStyle w:val="FootnoteReference"/>
          <w:iCs/>
          <w:kern w:val="22"/>
          <w:szCs w:val="22"/>
        </w:rPr>
        <w:footnoteReference w:id="3"/>
      </w:r>
    </w:p>
    <w:p w14:paraId="2BEAAEFC"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Principles;</w:t>
      </w:r>
      <w:r w:rsidRPr="00225964">
        <w:rPr>
          <w:rStyle w:val="FootnoteReference"/>
          <w:iCs/>
          <w:kern w:val="22"/>
          <w:szCs w:val="22"/>
        </w:rPr>
        <w:footnoteReference w:id="4"/>
      </w:r>
    </w:p>
    <w:p w14:paraId="6547C573" w14:textId="77777777" w:rsidR="00AC37F8" w:rsidRPr="00225964" w:rsidRDefault="00AC37F8" w:rsidP="00780276">
      <w:pPr>
        <w:pStyle w:val="Para10"/>
        <w:numPr>
          <w:ilvl w:val="2"/>
          <w:numId w:val="86"/>
        </w:numPr>
        <w:ind w:left="1985" w:hanging="284"/>
        <w:rPr>
          <w:iCs/>
          <w:kern w:val="22"/>
          <w:szCs w:val="22"/>
        </w:rPr>
      </w:pPr>
      <w:r w:rsidRPr="00225964">
        <w:rPr>
          <w:iCs/>
          <w:kern w:val="22"/>
          <w:szCs w:val="22"/>
        </w:rPr>
        <w:t>The challenges for implementation;</w:t>
      </w:r>
    </w:p>
    <w:p w14:paraId="0D6EA6B2" w14:textId="747F2E9E" w:rsidR="00AC37F8" w:rsidRPr="00225964" w:rsidRDefault="00AC37F8" w:rsidP="00780276">
      <w:pPr>
        <w:pStyle w:val="Para10"/>
        <w:numPr>
          <w:ilvl w:val="2"/>
          <w:numId w:val="86"/>
        </w:numPr>
        <w:ind w:left="1985" w:hanging="284"/>
        <w:rPr>
          <w:iCs/>
          <w:kern w:val="22"/>
          <w:szCs w:val="22"/>
        </w:rPr>
      </w:pPr>
      <w:r w:rsidRPr="00225964">
        <w:rPr>
          <w:iCs/>
          <w:kern w:val="22"/>
          <w:szCs w:val="22"/>
        </w:rPr>
        <w:t>The results of the</w:t>
      </w:r>
      <w:r w:rsidR="00DB4989" w:rsidRPr="00225964">
        <w:rPr>
          <w:iCs/>
          <w:kern w:val="22"/>
          <w:szCs w:val="22"/>
        </w:rPr>
        <w:t xml:space="preserve"> global assessment report on biodiversity and ecosystem services prepared by </w:t>
      </w:r>
      <w:r w:rsidRPr="00225964">
        <w:rPr>
          <w:iCs/>
          <w:kern w:val="22"/>
          <w:szCs w:val="22"/>
        </w:rPr>
        <w:t>the Intergovernmental Science-Policy Platform on Biodiversity and Ecosystem Services (IPBES) and other relevant assessments.</w:t>
      </w:r>
    </w:p>
    <w:p w14:paraId="68FDACF0" w14:textId="1F160BDA" w:rsidR="00AC37F8" w:rsidRPr="00780276" w:rsidRDefault="00AC37F8" w:rsidP="00780276">
      <w:pPr>
        <w:pStyle w:val="Heading2"/>
        <w:numPr>
          <w:ilvl w:val="0"/>
          <w:numId w:val="78"/>
        </w:numPr>
        <w:rPr>
          <w:kern w:val="22"/>
          <w:szCs w:val="22"/>
        </w:rPr>
      </w:pPr>
      <w:r w:rsidRPr="00780276">
        <w:rPr>
          <w:kern w:val="22"/>
          <w:szCs w:val="22"/>
        </w:rPr>
        <w:t>2050 Vision</w:t>
      </w:r>
    </w:p>
    <w:p w14:paraId="66E06ED1" w14:textId="77777777" w:rsidR="00AC37F8" w:rsidRPr="00780276" w:rsidRDefault="00AC37F8" w:rsidP="00780276">
      <w:pPr>
        <w:pStyle w:val="Para2"/>
        <w:numPr>
          <w:ilvl w:val="0"/>
          <w:numId w:val="82"/>
        </w:numPr>
        <w:tabs>
          <w:tab w:val="clear" w:pos="1080"/>
        </w:tabs>
        <w:ind w:left="0" w:firstLine="709"/>
        <w:rPr>
          <w:kern w:val="22"/>
          <w:szCs w:val="22"/>
        </w:rPr>
      </w:pPr>
      <w:r w:rsidRPr="00780276">
        <w:rPr>
          <w:kern w:val="22"/>
          <w:szCs w:val="22"/>
        </w:rPr>
        <w:t>Possible issues to reflect:</w:t>
      </w:r>
    </w:p>
    <w:p w14:paraId="4B083CE3" w14:textId="77777777" w:rsidR="00AC37F8" w:rsidRPr="00225964" w:rsidRDefault="00AC37F8" w:rsidP="00780276">
      <w:pPr>
        <w:pStyle w:val="Para10"/>
        <w:numPr>
          <w:ilvl w:val="2"/>
          <w:numId w:val="87"/>
        </w:numPr>
        <w:ind w:left="1985" w:hanging="284"/>
        <w:rPr>
          <w:iCs/>
          <w:kern w:val="22"/>
          <w:szCs w:val="22"/>
        </w:rPr>
      </w:pPr>
      <w:r w:rsidRPr="00225964">
        <w:rPr>
          <w:iCs/>
          <w:kern w:val="22"/>
          <w:szCs w:val="22"/>
        </w:rPr>
        <w:t>The 2050 Vision for Biodiversity remains relevant and will be a part of the post</w:t>
      </w:r>
      <w:r w:rsidRPr="00225964">
        <w:rPr>
          <w:iCs/>
          <w:kern w:val="22"/>
          <w:szCs w:val="22"/>
        </w:rPr>
        <w:noBreakHyphen/>
        <w:t>2020 global biodiversity framework (as per decision 14/2);</w:t>
      </w:r>
    </w:p>
    <w:p w14:paraId="1614BF10" w14:textId="77777777" w:rsidR="00AC37F8" w:rsidRPr="00225964" w:rsidRDefault="00AC37F8" w:rsidP="00780276">
      <w:pPr>
        <w:pStyle w:val="Para10"/>
        <w:numPr>
          <w:ilvl w:val="2"/>
          <w:numId w:val="87"/>
        </w:numPr>
        <w:ind w:left="1985" w:hanging="284"/>
        <w:rPr>
          <w:iCs/>
          <w:kern w:val="22"/>
          <w:szCs w:val="22"/>
        </w:rPr>
      </w:pPr>
      <w:r w:rsidRPr="00225964">
        <w:rPr>
          <w:iCs/>
          <w:kern w:val="22"/>
          <w:szCs w:val="22"/>
        </w:rPr>
        <w:t>The elements of the 2050 Vision could be used to inform the development of other parts of the post-2020 global biodiversity framework;</w:t>
      </w:r>
    </w:p>
    <w:p w14:paraId="34F2802F" w14:textId="77777777" w:rsidR="00AC37F8" w:rsidRPr="00225964" w:rsidRDefault="00AC37F8" w:rsidP="00780276">
      <w:pPr>
        <w:pStyle w:val="Para10"/>
        <w:numPr>
          <w:ilvl w:val="2"/>
          <w:numId w:val="87"/>
        </w:numPr>
        <w:ind w:left="1985" w:hanging="284"/>
        <w:rPr>
          <w:iCs/>
          <w:kern w:val="22"/>
          <w:szCs w:val="22"/>
        </w:rPr>
      </w:pPr>
      <w:r w:rsidRPr="00225964">
        <w:rPr>
          <w:iCs/>
          <w:kern w:val="22"/>
          <w:szCs w:val="22"/>
        </w:rPr>
        <w:t>Linking other elements of the post-2020 global biodiversity to the 2050 Vision may require the consideration of timeframes beyond 2030;</w:t>
      </w:r>
    </w:p>
    <w:p w14:paraId="562C6DD4" w14:textId="77777777" w:rsidR="00AC37F8" w:rsidRPr="00225964" w:rsidRDefault="00AC37F8" w:rsidP="00780276">
      <w:pPr>
        <w:pStyle w:val="Para10"/>
        <w:numPr>
          <w:ilvl w:val="2"/>
          <w:numId w:val="87"/>
        </w:numPr>
        <w:ind w:left="1985" w:hanging="284"/>
        <w:rPr>
          <w:iCs/>
          <w:kern w:val="22"/>
          <w:szCs w:val="22"/>
        </w:rPr>
      </w:pPr>
      <w:r w:rsidRPr="00225964">
        <w:rPr>
          <w:iCs/>
          <w:kern w:val="22"/>
          <w:szCs w:val="22"/>
        </w:rPr>
        <w:t>A better understanding of the 2050 Vision for Biodiversity may require an unpacking of the different issues it addresses.</w:t>
      </w:r>
      <w:r w:rsidRPr="00225964">
        <w:rPr>
          <w:rStyle w:val="FootnoteReference"/>
          <w:iCs/>
          <w:kern w:val="22"/>
          <w:szCs w:val="22"/>
        </w:rPr>
        <w:footnoteReference w:id="5"/>
      </w:r>
    </w:p>
    <w:p w14:paraId="017E474B" w14:textId="5E934148" w:rsidR="00AC37F8" w:rsidRPr="00780276" w:rsidRDefault="00AC37F8" w:rsidP="00780276">
      <w:pPr>
        <w:pStyle w:val="Heading2"/>
        <w:numPr>
          <w:ilvl w:val="0"/>
          <w:numId w:val="78"/>
        </w:numPr>
        <w:ind w:hanging="578"/>
        <w:rPr>
          <w:kern w:val="22"/>
          <w:szCs w:val="22"/>
        </w:rPr>
      </w:pPr>
      <w:r w:rsidRPr="00780276">
        <w:rPr>
          <w:kern w:val="22"/>
          <w:szCs w:val="22"/>
        </w:rPr>
        <w:t>2030 Mission and/or apex goal and milestones</w:t>
      </w:r>
      <w:r w:rsidRPr="00780276">
        <w:rPr>
          <w:rStyle w:val="FootnoteReference"/>
          <w:b w:val="0"/>
          <w:iCs w:val="0"/>
          <w:kern w:val="22"/>
          <w:szCs w:val="22"/>
        </w:rPr>
        <w:footnoteReference w:id="6"/>
      </w:r>
    </w:p>
    <w:p w14:paraId="6481C396" w14:textId="77777777" w:rsidR="00AC37F8" w:rsidRPr="00780276" w:rsidRDefault="00AC37F8" w:rsidP="00780276">
      <w:pPr>
        <w:pStyle w:val="Para2"/>
        <w:numPr>
          <w:ilvl w:val="0"/>
          <w:numId w:val="83"/>
        </w:numPr>
        <w:tabs>
          <w:tab w:val="clear" w:pos="1080"/>
        </w:tabs>
        <w:ind w:left="0" w:firstLine="763"/>
        <w:rPr>
          <w:kern w:val="22"/>
          <w:szCs w:val="22"/>
        </w:rPr>
      </w:pPr>
      <w:r w:rsidRPr="00780276">
        <w:rPr>
          <w:kern w:val="22"/>
          <w:szCs w:val="22"/>
        </w:rPr>
        <w:t>Possible issues to reflect:</w:t>
      </w:r>
    </w:p>
    <w:p w14:paraId="61394C4D"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Statement on the status</w:t>
      </w:r>
      <w:r w:rsidRPr="00225964">
        <w:rPr>
          <w:rStyle w:val="FootnoteReference"/>
          <w:iCs/>
          <w:kern w:val="22"/>
          <w:szCs w:val="22"/>
        </w:rPr>
        <w:footnoteReference w:id="7"/>
      </w:r>
      <w:r w:rsidRPr="00225964">
        <w:rPr>
          <w:iCs/>
          <w:kern w:val="22"/>
          <w:szCs w:val="22"/>
        </w:rPr>
        <w:t xml:space="preserve"> of biodiversity by 2030;</w:t>
      </w:r>
    </w:p>
    <w:p w14:paraId="6E31001C"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Action oriented statement related to a desired change;</w:t>
      </w:r>
    </w:p>
    <w:p w14:paraId="68DE1FB7"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Milestones;</w:t>
      </w:r>
      <w:r w:rsidRPr="00225964">
        <w:rPr>
          <w:rStyle w:val="FootnoteReference"/>
          <w:iCs/>
          <w:kern w:val="22"/>
          <w:szCs w:val="22"/>
        </w:rPr>
        <w:footnoteReference w:id="8"/>
      </w:r>
    </w:p>
    <w:p w14:paraId="2C739EE6"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 xml:space="preserve">The three objectives of the Convention and the Protocols; </w:t>
      </w:r>
    </w:p>
    <w:p w14:paraId="6AA3BB36" w14:textId="4E2C6088" w:rsidR="00AC37F8" w:rsidRPr="00225964" w:rsidRDefault="00AC37F8" w:rsidP="00780276">
      <w:pPr>
        <w:pStyle w:val="Para10"/>
        <w:numPr>
          <w:ilvl w:val="2"/>
          <w:numId w:val="88"/>
        </w:numPr>
        <w:ind w:left="1985" w:hanging="284"/>
        <w:rPr>
          <w:iCs/>
          <w:kern w:val="22"/>
          <w:szCs w:val="22"/>
        </w:rPr>
      </w:pPr>
      <w:r w:rsidRPr="00225964">
        <w:rPr>
          <w:iCs/>
          <w:kern w:val="22"/>
          <w:szCs w:val="22"/>
        </w:rPr>
        <w:t>Based on the elements of the 2050 Vision (biodiversity</w:t>
      </w:r>
      <w:r w:rsidR="00821A72" w:rsidRPr="00225964">
        <w:rPr>
          <w:iCs/>
          <w:kern w:val="22"/>
          <w:szCs w:val="22"/>
        </w:rPr>
        <w:t xml:space="preserve"> valued, </w:t>
      </w:r>
      <w:r w:rsidRPr="00225964">
        <w:rPr>
          <w:iCs/>
          <w:kern w:val="22"/>
          <w:szCs w:val="22"/>
        </w:rPr>
        <w:t>conserved, wisely used, restored, and ecosystem service maintained);</w:t>
      </w:r>
      <w:r w:rsidRPr="00225964">
        <w:rPr>
          <w:rStyle w:val="FootnoteReference"/>
          <w:iCs/>
          <w:kern w:val="22"/>
          <w:szCs w:val="22"/>
        </w:rPr>
        <w:footnoteReference w:id="9"/>
      </w:r>
    </w:p>
    <w:p w14:paraId="265208C5"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Desired state of biodiversity in 2030;</w:t>
      </w:r>
    </w:p>
    <w:p w14:paraId="34273499"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Sustainable use;</w:t>
      </w:r>
    </w:p>
    <w:p w14:paraId="5F19B2EA"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Sustainable consumption and production;</w:t>
      </w:r>
      <w:r w:rsidRPr="00225964">
        <w:rPr>
          <w:rStyle w:val="FootnoteReference"/>
          <w:iCs/>
          <w:kern w:val="22"/>
          <w:szCs w:val="22"/>
        </w:rPr>
        <w:footnoteReference w:id="10"/>
      </w:r>
    </w:p>
    <w:p w14:paraId="77F192F8"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The Sustainable Development Goals;</w:t>
      </w:r>
      <w:r w:rsidRPr="00225964">
        <w:rPr>
          <w:rStyle w:val="FootnoteReference"/>
          <w:iCs/>
          <w:kern w:val="22"/>
          <w:szCs w:val="22"/>
        </w:rPr>
        <w:footnoteReference w:id="11"/>
      </w:r>
    </w:p>
    <w:p w14:paraId="09A03DBE"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Addressing the drivers of biodiversity loss;</w:t>
      </w:r>
    </w:p>
    <w:p w14:paraId="636D490F"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Effective adaptation to climate change;</w:t>
      </w:r>
    </w:p>
    <w:p w14:paraId="7298B6A3"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Simple, easy to communicate, actionable and measurable;</w:t>
      </w:r>
    </w:p>
    <w:p w14:paraId="67A38486" w14:textId="77777777" w:rsidR="00AC37F8" w:rsidRPr="00225964" w:rsidRDefault="00AC37F8" w:rsidP="00780276">
      <w:pPr>
        <w:pStyle w:val="Para10"/>
        <w:numPr>
          <w:ilvl w:val="2"/>
          <w:numId w:val="88"/>
        </w:numPr>
        <w:ind w:left="1985" w:hanging="284"/>
        <w:rPr>
          <w:iCs/>
          <w:kern w:val="22"/>
          <w:szCs w:val="22"/>
        </w:rPr>
      </w:pPr>
      <w:r w:rsidRPr="00225964">
        <w:rPr>
          <w:iCs/>
          <w:kern w:val="22"/>
          <w:szCs w:val="22"/>
        </w:rPr>
        <w:t>A pressure state impact response model.</w:t>
      </w:r>
    </w:p>
    <w:p w14:paraId="071FE585" w14:textId="3B2DB158" w:rsidR="00AC37F8" w:rsidRPr="00780276" w:rsidRDefault="00AC37F8" w:rsidP="00780276">
      <w:pPr>
        <w:pStyle w:val="Heading2"/>
        <w:numPr>
          <w:ilvl w:val="0"/>
          <w:numId w:val="78"/>
        </w:numPr>
        <w:rPr>
          <w:kern w:val="22"/>
          <w:szCs w:val="22"/>
        </w:rPr>
      </w:pPr>
      <w:r w:rsidRPr="00780276">
        <w:rPr>
          <w:kern w:val="22"/>
          <w:szCs w:val="22"/>
        </w:rPr>
        <w:t>Goals, targets, sub-targets, and indicators</w:t>
      </w:r>
    </w:p>
    <w:p w14:paraId="6DB4D4D0" w14:textId="17800D76" w:rsidR="00AC37F8" w:rsidRPr="00780276" w:rsidRDefault="00AC37F8" w:rsidP="00780276">
      <w:pPr>
        <w:pStyle w:val="Para2"/>
        <w:numPr>
          <w:ilvl w:val="0"/>
          <w:numId w:val="84"/>
        </w:numPr>
        <w:tabs>
          <w:tab w:val="clear" w:pos="1080"/>
        </w:tabs>
        <w:ind w:left="0" w:firstLine="763"/>
        <w:rPr>
          <w:kern w:val="22"/>
          <w:szCs w:val="22"/>
        </w:rPr>
      </w:pPr>
      <w:r w:rsidRPr="00780276">
        <w:rPr>
          <w:kern w:val="22"/>
          <w:szCs w:val="22"/>
        </w:rPr>
        <w:t xml:space="preserve">Possible issues that could be reflected in </w:t>
      </w:r>
      <w:r w:rsidR="00915CAB" w:rsidRPr="00780276">
        <w:rPr>
          <w:kern w:val="22"/>
          <w:szCs w:val="22"/>
        </w:rPr>
        <w:t>g</w:t>
      </w:r>
      <w:r w:rsidRPr="00780276">
        <w:rPr>
          <w:kern w:val="22"/>
          <w:szCs w:val="22"/>
        </w:rPr>
        <w:t>oals:</w:t>
      </w:r>
      <w:r w:rsidRPr="00225964">
        <w:rPr>
          <w:rStyle w:val="FootnoteReference"/>
          <w:iCs/>
          <w:kern w:val="22"/>
          <w:szCs w:val="22"/>
        </w:rPr>
        <w:footnoteReference w:id="12"/>
      </w:r>
      <w:r w:rsidRPr="00780276">
        <w:rPr>
          <w:kern w:val="22"/>
          <w:szCs w:val="22"/>
          <w:vertAlign w:val="superscript"/>
        </w:rPr>
        <w:t>,</w:t>
      </w:r>
      <w:r w:rsidRPr="00225964">
        <w:rPr>
          <w:rStyle w:val="FootnoteReference"/>
          <w:iCs/>
          <w:kern w:val="22"/>
          <w:szCs w:val="22"/>
        </w:rPr>
        <w:footnoteReference w:id="13"/>
      </w:r>
    </w:p>
    <w:p w14:paraId="4D5523ED" w14:textId="77777777" w:rsidR="00AC37F8" w:rsidRPr="00225964" w:rsidRDefault="00AC37F8" w:rsidP="00780276">
      <w:pPr>
        <w:pStyle w:val="Para10"/>
        <w:numPr>
          <w:ilvl w:val="2"/>
          <w:numId w:val="89"/>
        </w:numPr>
        <w:ind w:left="1985" w:hanging="284"/>
        <w:rPr>
          <w:iCs/>
          <w:kern w:val="22"/>
          <w:szCs w:val="22"/>
        </w:rPr>
      </w:pPr>
      <w:r w:rsidRPr="00225964">
        <w:rPr>
          <w:iCs/>
          <w:kern w:val="22"/>
          <w:szCs w:val="22"/>
        </w:rPr>
        <w:t>Three objectives of the Convention (conservation, sustainable use, and access and benefit-sharing);</w:t>
      </w:r>
    </w:p>
    <w:p w14:paraId="56501862" w14:textId="77777777" w:rsidR="00AC37F8" w:rsidRPr="00225964" w:rsidRDefault="00AC37F8" w:rsidP="00780276">
      <w:pPr>
        <w:pStyle w:val="Para10"/>
        <w:numPr>
          <w:ilvl w:val="2"/>
          <w:numId w:val="89"/>
        </w:numPr>
        <w:ind w:left="1985" w:hanging="284"/>
        <w:rPr>
          <w:iCs/>
          <w:kern w:val="22"/>
          <w:szCs w:val="22"/>
        </w:rPr>
      </w:pPr>
      <w:r w:rsidRPr="00225964">
        <w:rPr>
          <w:iCs/>
          <w:kern w:val="22"/>
          <w:szCs w:val="22"/>
        </w:rPr>
        <w:t>The Protocols;</w:t>
      </w:r>
    </w:p>
    <w:p w14:paraId="59C446E9" w14:textId="77777777" w:rsidR="00AC37F8" w:rsidRPr="00225964" w:rsidRDefault="00AC37F8" w:rsidP="00780276">
      <w:pPr>
        <w:pStyle w:val="Para10"/>
        <w:numPr>
          <w:ilvl w:val="2"/>
          <w:numId w:val="89"/>
        </w:numPr>
        <w:ind w:left="1985" w:hanging="284"/>
        <w:rPr>
          <w:iCs/>
          <w:kern w:val="22"/>
          <w:szCs w:val="22"/>
        </w:rPr>
      </w:pPr>
      <w:r w:rsidRPr="00225964">
        <w:rPr>
          <w:iCs/>
          <w:kern w:val="22"/>
          <w:szCs w:val="22"/>
        </w:rPr>
        <w:t>Based on the elements of the 2050 Vision (biodiversity valued, conserved, restored, wisely used, and ecosystem service maintained);</w:t>
      </w:r>
    </w:p>
    <w:p w14:paraId="59E13448" w14:textId="2691295B" w:rsidR="00AC37F8" w:rsidRPr="00225964" w:rsidRDefault="00AC37F8" w:rsidP="00780276">
      <w:pPr>
        <w:pStyle w:val="Para10"/>
        <w:numPr>
          <w:ilvl w:val="2"/>
          <w:numId w:val="89"/>
        </w:numPr>
        <w:ind w:left="1985" w:hanging="284"/>
        <w:rPr>
          <w:iCs/>
          <w:kern w:val="22"/>
          <w:szCs w:val="22"/>
        </w:rPr>
      </w:pPr>
      <w:r w:rsidRPr="00225964">
        <w:rPr>
          <w:iCs/>
          <w:kern w:val="22"/>
          <w:szCs w:val="22"/>
        </w:rPr>
        <w:t xml:space="preserve">Five direct drivers of biodiversity loss (changes in land and sea use; direct exploitation of organisms; climate change; pollution; and invasion of alien species) noted in the </w:t>
      </w:r>
      <w:r w:rsidR="00DB4989" w:rsidRPr="00225964">
        <w:rPr>
          <w:iCs/>
          <w:kern w:val="22"/>
          <w:szCs w:val="22"/>
        </w:rPr>
        <w:t>global assessment report on biodiversity and ecosystem services prepared by IPBES</w:t>
      </w:r>
      <w:r w:rsidRPr="00225964">
        <w:rPr>
          <w:iCs/>
          <w:kern w:val="22"/>
          <w:szCs w:val="22"/>
        </w:rPr>
        <w:t>;</w:t>
      </w:r>
      <w:r w:rsidRPr="00225964">
        <w:rPr>
          <w:rStyle w:val="FootnoteReference"/>
          <w:snapToGrid/>
          <w:kern w:val="22"/>
          <w:szCs w:val="22"/>
        </w:rPr>
        <w:footnoteReference w:id="14"/>
      </w:r>
    </w:p>
    <w:p w14:paraId="2F9F8D9E" w14:textId="29EC5875" w:rsidR="00AC37F8" w:rsidRPr="00225964" w:rsidRDefault="00AC37F8" w:rsidP="00780276">
      <w:pPr>
        <w:pStyle w:val="Para10"/>
        <w:numPr>
          <w:ilvl w:val="2"/>
          <w:numId w:val="89"/>
        </w:numPr>
        <w:ind w:left="1985" w:hanging="284"/>
        <w:rPr>
          <w:iCs/>
          <w:kern w:val="22"/>
          <w:szCs w:val="22"/>
        </w:rPr>
      </w:pPr>
      <w:r w:rsidRPr="00225964">
        <w:rPr>
          <w:iCs/>
          <w:kern w:val="22"/>
          <w:szCs w:val="22"/>
        </w:rPr>
        <w:t xml:space="preserve">Indirect drivers of biodiversity loss, including those noted in the </w:t>
      </w:r>
      <w:r w:rsidR="00DB4989" w:rsidRPr="00225964">
        <w:rPr>
          <w:iCs/>
          <w:kern w:val="22"/>
          <w:szCs w:val="22"/>
        </w:rPr>
        <w:t>global assessment report on biodiversity and ecosystem services prepared by IPBES</w:t>
      </w:r>
      <w:r w:rsidRPr="00225964">
        <w:rPr>
          <w:iCs/>
          <w:kern w:val="22"/>
          <w:szCs w:val="22"/>
        </w:rPr>
        <w:t xml:space="preserve"> (</w:t>
      </w:r>
      <w:r w:rsidRPr="00225964">
        <w:rPr>
          <w:bCs/>
          <w:kern w:val="22"/>
          <w:szCs w:val="22"/>
        </w:rPr>
        <w:t>production and consumption patterns, human population dynamics, and trends, trade, technological innovations and local through global governance</w:t>
      </w:r>
      <w:r w:rsidRPr="00225964">
        <w:rPr>
          <w:iCs/>
          <w:kern w:val="22"/>
          <w:szCs w:val="22"/>
        </w:rPr>
        <w:t>);</w:t>
      </w:r>
      <w:r w:rsidRPr="00225964">
        <w:rPr>
          <w:rStyle w:val="FootnoteReference"/>
          <w:snapToGrid/>
          <w:kern w:val="22"/>
          <w:szCs w:val="22"/>
        </w:rPr>
        <w:footnoteReference w:id="15"/>
      </w:r>
    </w:p>
    <w:p w14:paraId="1708A99D" w14:textId="77777777" w:rsidR="00AC37F8" w:rsidRPr="00225964" w:rsidRDefault="00AC37F8" w:rsidP="00780276">
      <w:pPr>
        <w:pStyle w:val="Para10"/>
        <w:numPr>
          <w:ilvl w:val="2"/>
          <w:numId w:val="89"/>
        </w:numPr>
        <w:ind w:left="1985" w:hanging="284"/>
        <w:rPr>
          <w:iCs/>
          <w:kern w:val="22"/>
          <w:szCs w:val="22"/>
        </w:rPr>
      </w:pPr>
      <w:r w:rsidRPr="00225964">
        <w:rPr>
          <w:iCs/>
          <w:kern w:val="22"/>
          <w:szCs w:val="22"/>
        </w:rPr>
        <w:t>Facilitating/enabling implementation;</w:t>
      </w:r>
      <w:r w:rsidRPr="00225964">
        <w:rPr>
          <w:rStyle w:val="FootnoteReference"/>
          <w:snapToGrid/>
          <w:kern w:val="22"/>
          <w:szCs w:val="22"/>
        </w:rPr>
        <w:footnoteReference w:id="16"/>
      </w:r>
    </w:p>
    <w:p w14:paraId="425F9CE3" w14:textId="77777777" w:rsidR="00AC37F8" w:rsidRPr="00225964" w:rsidRDefault="00AC37F8" w:rsidP="00780276">
      <w:pPr>
        <w:pStyle w:val="Para10"/>
        <w:numPr>
          <w:ilvl w:val="2"/>
          <w:numId w:val="89"/>
        </w:numPr>
        <w:ind w:left="1985" w:hanging="284"/>
        <w:rPr>
          <w:iCs/>
          <w:kern w:val="22"/>
          <w:szCs w:val="22"/>
        </w:rPr>
      </w:pPr>
      <w:r w:rsidRPr="00225964">
        <w:rPr>
          <w:iCs/>
          <w:kern w:val="22"/>
          <w:szCs w:val="22"/>
        </w:rPr>
        <w:t xml:space="preserve">Be informed by the conclusions of the fifth edition of the </w:t>
      </w:r>
      <w:r w:rsidRPr="00225964">
        <w:rPr>
          <w:i/>
          <w:iCs/>
          <w:kern w:val="22"/>
          <w:szCs w:val="22"/>
        </w:rPr>
        <w:t>Global Biodiversity Outlook</w:t>
      </w:r>
      <w:r w:rsidRPr="00225964">
        <w:rPr>
          <w:iCs/>
          <w:kern w:val="22"/>
          <w:szCs w:val="22"/>
        </w:rPr>
        <w:t>;</w:t>
      </w:r>
    </w:p>
    <w:p w14:paraId="69129AC9" w14:textId="77777777" w:rsidR="00AC37F8" w:rsidRPr="00225964" w:rsidRDefault="00AC37F8" w:rsidP="00780276">
      <w:pPr>
        <w:pStyle w:val="Para10"/>
        <w:numPr>
          <w:ilvl w:val="2"/>
          <w:numId w:val="89"/>
        </w:numPr>
        <w:ind w:left="1985" w:hanging="284"/>
        <w:rPr>
          <w:iCs/>
          <w:kern w:val="22"/>
          <w:szCs w:val="22"/>
        </w:rPr>
      </w:pPr>
      <w:r w:rsidRPr="00225964">
        <w:rPr>
          <w:iCs/>
          <w:kern w:val="22"/>
          <w:szCs w:val="22"/>
        </w:rPr>
        <w:t>Implementation.</w:t>
      </w:r>
    </w:p>
    <w:p w14:paraId="09C9078F" w14:textId="77777777" w:rsidR="00AC37F8" w:rsidRPr="00780276" w:rsidRDefault="00AC37F8" w:rsidP="00780276">
      <w:pPr>
        <w:pStyle w:val="Para2"/>
        <w:rPr>
          <w:kern w:val="22"/>
          <w:szCs w:val="22"/>
        </w:rPr>
      </w:pPr>
      <w:r w:rsidRPr="00780276">
        <w:rPr>
          <w:kern w:val="22"/>
          <w:szCs w:val="22"/>
        </w:rPr>
        <w:t>Possible issues that could be reflected in targets:</w:t>
      </w:r>
    </w:p>
    <w:p w14:paraId="0033BA11" w14:textId="77777777" w:rsidR="00AC37F8" w:rsidRPr="00225964" w:rsidRDefault="00AC37F8" w:rsidP="00780276">
      <w:pPr>
        <w:pStyle w:val="Para10"/>
        <w:numPr>
          <w:ilvl w:val="2"/>
          <w:numId w:val="90"/>
        </w:numPr>
        <w:ind w:left="1985" w:hanging="284"/>
        <w:rPr>
          <w:iCs/>
          <w:kern w:val="22"/>
          <w:szCs w:val="22"/>
        </w:rPr>
      </w:pPr>
      <w:r w:rsidRPr="00225964">
        <w:rPr>
          <w:iCs/>
          <w:kern w:val="22"/>
          <w:szCs w:val="22"/>
        </w:rPr>
        <w:t>Themes from the Aichi Biodiversity Targets as a starting point but potentially simplified;</w:t>
      </w:r>
    </w:p>
    <w:p w14:paraId="5B75CBBB" w14:textId="6F57D379" w:rsidR="00AC37F8" w:rsidRPr="00225964" w:rsidRDefault="00AC37F8" w:rsidP="00780276">
      <w:pPr>
        <w:pStyle w:val="Para10"/>
        <w:numPr>
          <w:ilvl w:val="2"/>
          <w:numId w:val="90"/>
        </w:numPr>
        <w:ind w:left="1985" w:hanging="284"/>
        <w:rPr>
          <w:iCs/>
          <w:kern w:val="22"/>
          <w:szCs w:val="22"/>
        </w:rPr>
      </w:pPr>
      <w:r w:rsidRPr="00225964">
        <w:rPr>
          <w:iCs/>
          <w:kern w:val="22"/>
          <w:szCs w:val="22"/>
        </w:rPr>
        <w:t>Targets should be specific, measurable, achievable, results-based, and time-bound (SMART);</w:t>
      </w:r>
    </w:p>
    <w:p w14:paraId="5115AF8F" w14:textId="77777777" w:rsidR="00AC37F8" w:rsidRPr="00225964" w:rsidRDefault="00AC37F8" w:rsidP="00780276">
      <w:pPr>
        <w:pStyle w:val="Para10"/>
        <w:numPr>
          <w:ilvl w:val="2"/>
          <w:numId w:val="90"/>
        </w:numPr>
        <w:ind w:left="1985" w:hanging="284"/>
        <w:rPr>
          <w:iCs/>
          <w:kern w:val="22"/>
          <w:szCs w:val="22"/>
        </w:rPr>
      </w:pPr>
      <w:r w:rsidRPr="00225964">
        <w:rPr>
          <w:iCs/>
          <w:kern w:val="22"/>
          <w:szCs w:val="22"/>
        </w:rPr>
        <w:t>Consistent, coherent, compatible and mutual supportive of other relevant multilateral environmental agreements and processes;</w:t>
      </w:r>
    </w:p>
    <w:p w14:paraId="47FCD505" w14:textId="77777777" w:rsidR="00AC37F8" w:rsidRPr="00225964" w:rsidRDefault="00AC37F8" w:rsidP="00780276">
      <w:pPr>
        <w:pStyle w:val="Para10"/>
        <w:numPr>
          <w:ilvl w:val="2"/>
          <w:numId w:val="90"/>
        </w:numPr>
        <w:ind w:left="1985" w:hanging="284"/>
        <w:rPr>
          <w:iCs/>
          <w:kern w:val="22"/>
          <w:szCs w:val="22"/>
        </w:rPr>
      </w:pPr>
      <w:r w:rsidRPr="00225964">
        <w:rPr>
          <w:iCs/>
          <w:kern w:val="22"/>
          <w:szCs w:val="22"/>
        </w:rPr>
        <w:t>Not duplicative of other processes;</w:t>
      </w:r>
    </w:p>
    <w:p w14:paraId="4984F303" w14:textId="77777777" w:rsidR="00AC37F8" w:rsidRPr="00225964" w:rsidRDefault="00AC37F8" w:rsidP="00780276">
      <w:pPr>
        <w:pStyle w:val="Para10"/>
        <w:numPr>
          <w:ilvl w:val="2"/>
          <w:numId w:val="90"/>
        </w:numPr>
        <w:ind w:left="1985" w:hanging="284"/>
        <w:rPr>
          <w:iCs/>
          <w:kern w:val="22"/>
          <w:szCs w:val="22"/>
        </w:rPr>
      </w:pPr>
      <w:r w:rsidRPr="00225964">
        <w:rPr>
          <w:iCs/>
          <w:kern w:val="22"/>
          <w:szCs w:val="22"/>
        </w:rPr>
        <w:t xml:space="preserve">Informed by the fifth edition of the </w:t>
      </w:r>
      <w:r w:rsidRPr="00225964">
        <w:rPr>
          <w:i/>
          <w:iCs/>
          <w:kern w:val="22"/>
          <w:szCs w:val="22"/>
        </w:rPr>
        <w:t>Global Biodiversity Outlook</w:t>
      </w:r>
      <w:r w:rsidRPr="00225964">
        <w:rPr>
          <w:iCs/>
          <w:kern w:val="22"/>
          <w:szCs w:val="22"/>
        </w:rPr>
        <w:t>;</w:t>
      </w:r>
    </w:p>
    <w:p w14:paraId="0C6B9DE6" w14:textId="77777777" w:rsidR="00AC37F8" w:rsidRPr="00780276" w:rsidRDefault="00AC37F8" w:rsidP="00780276">
      <w:pPr>
        <w:pStyle w:val="Para2"/>
        <w:rPr>
          <w:kern w:val="22"/>
          <w:szCs w:val="22"/>
        </w:rPr>
      </w:pPr>
      <w:r w:rsidRPr="00780276">
        <w:rPr>
          <w:kern w:val="22"/>
          <w:szCs w:val="22"/>
        </w:rPr>
        <w:t>Possible issues that could be reflected in sub-targets:</w:t>
      </w:r>
      <w:r w:rsidRPr="00225964">
        <w:rPr>
          <w:rStyle w:val="FootnoteReference"/>
          <w:iCs/>
          <w:kern w:val="22"/>
          <w:szCs w:val="22"/>
        </w:rPr>
        <w:footnoteReference w:id="17"/>
      </w:r>
    </w:p>
    <w:p w14:paraId="179531EF" w14:textId="77777777" w:rsidR="00AC37F8" w:rsidRPr="00225964" w:rsidRDefault="00AC37F8" w:rsidP="00780276">
      <w:pPr>
        <w:pStyle w:val="Para10"/>
        <w:numPr>
          <w:ilvl w:val="2"/>
          <w:numId w:val="91"/>
        </w:numPr>
        <w:ind w:left="1985" w:hanging="284"/>
        <w:rPr>
          <w:iCs/>
          <w:kern w:val="22"/>
          <w:szCs w:val="22"/>
        </w:rPr>
      </w:pPr>
      <w:r w:rsidRPr="00225964">
        <w:rPr>
          <w:iCs/>
          <w:kern w:val="22"/>
          <w:szCs w:val="22"/>
        </w:rPr>
        <w:t>Address more specific elements of the targets;</w:t>
      </w:r>
    </w:p>
    <w:p w14:paraId="51A96C33" w14:textId="77777777" w:rsidR="00AC37F8" w:rsidRPr="00780276" w:rsidRDefault="00AC37F8" w:rsidP="00780276">
      <w:pPr>
        <w:pStyle w:val="Para2"/>
        <w:rPr>
          <w:kern w:val="22"/>
          <w:szCs w:val="22"/>
        </w:rPr>
      </w:pPr>
      <w:r w:rsidRPr="00780276">
        <w:rPr>
          <w:kern w:val="22"/>
          <w:szCs w:val="22"/>
        </w:rPr>
        <w:t>Possible issues that could be reflected in indicators:</w:t>
      </w:r>
    </w:p>
    <w:p w14:paraId="6BA8BA37" w14:textId="77777777" w:rsidR="00AC37F8" w:rsidRPr="00225964" w:rsidRDefault="00AC37F8" w:rsidP="00780276">
      <w:pPr>
        <w:pStyle w:val="Para10"/>
        <w:numPr>
          <w:ilvl w:val="2"/>
          <w:numId w:val="92"/>
        </w:numPr>
        <w:ind w:left="1985" w:hanging="284"/>
        <w:rPr>
          <w:iCs/>
          <w:kern w:val="22"/>
          <w:szCs w:val="22"/>
        </w:rPr>
      </w:pPr>
      <w:r w:rsidRPr="00225964">
        <w:rPr>
          <w:rFonts w:eastAsia="Malgun Gothic"/>
          <w:kern w:val="22"/>
          <w:szCs w:val="22"/>
        </w:rPr>
        <w:t>Use the existing indicators identified by the Conference of the Parties, those for the 2030 Agenda for Sustainable Development, those used in the IPBES assessments, indicators identified through the Biodiversity Indicators Partnership and by other relevant processes as a starting point in order to monitor progress;</w:t>
      </w:r>
    </w:p>
    <w:p w14:paraId="42FCBA14" w14:textId="77777777" w:rsidR="00AC37F8" w:rsidRPr="00225964" w:rsidRDefault="00AC37F8" w:rsidP="00780276">
      <w:pPr>
        <w:pStyle w:val="Para10"/>
        <w:numPr>
          <w:ilvl w:val="2"/>
          <w:numId w:val="92"/>
        </w:numPr>
        <w:ind w:left="1985" w:hanging="284"/>
        <w:rPr>
          <w:iCs/>
          <w:kern w:val="22"/>
          <w:szCs w:val="22"/>
        </w:rPr>
      </w:pPr>
      <w:r w:rsidRPr="00225964">
        <w:rPr>
          <w:rFonts w:eastAsia="Malgun Gothic"/>
          <w:kern w:val="22"/>
          <w:szCs w:val="22"/>
        </w:rPr>
        <w:t>Indicators and baselines should be identified at the same time as the targets of the post</w:t>
      </w:r>
      <w:r w:rsidRPr="00225964">
        <w:rPr>
          <w:rFonts w:eastAsia="Malgun Gothic"/>
          <w:kern w:val="22"/>
          <w:szCs w:val="22"/>
        </w:rPr>
        <w:noBreakHyphen/>
        <w:t>2020 global biodiversity framework;</w:t>
      </w:r>
    </w:p>
    <w:p w14:paraId="747B72E5" w14:textId="77777777" w:rsidR="00AC37F8" w:rsidRPr="00225964" w:rsidRDefault="00AC37F8" w:rsidP="00780276">
      <w:pPr>
        <w:pStyle w:val="Para10"/>
        <w:numPr>
          <w:ilvl w:val="2"/>
          <w:numId w:val="92"/>
        </w:numPr>
        <w:ind w:left="1985" w:hanging="284"/>
        <w:rPr>
          <w:iCs/>
          <w:kern w:val="22"/>
          <w:szCs w:val="22"/>
        </w:rPr>
      </w:pPr>
      <w:r w:rsidRPr="00225964">
        <w:rPr>
          <w:rFonts w:eastAsia="Malgun Gothic"/>
          <w:kern w:val="22"/>
          <w:szCs w:val="22"/>
        </w:rPr>
        <w:t>Provisions should be made to review the list of indicators and baselines once the post</w:t>
      </w:r>
      <w:r w:rsidRPr="00225964">
        <w:rPr>
          <w:rFonts w:eastAsia="Malgun Gothic"/>
          <w:kern w:val="22"/>
          <w:szCs w:val="22"/>
        </w:rPr>
        <w:noBreakHyphen/>
        <w:t>2020 global biodiversity framework is adopted in order to make any necessary refinements.</w:t>
      </w:r>
    </w:p>
    <w:p w14:paraId="3EF3AF08" w14:textId="3B04AC22" w:rsidR="00AC37F8" w:rsidRPr="00780276" w:rsidRDefault="00AC37F8" w:rsidP="00780276">
      <w:pPr>
        <w:pStyle w:val="Heading2"/>
        <w:numPr>
          <w:ilvl w:val="0"/>
          <w:numId w:val="78"/>
        </w:numPr>
        <w:rPr>
          <w:kern w:val="22"/>
          <w:szCs w:val="22"/>
        </w:rPr>
      </w:pPr>
      <w:r w:rsidRPr="00780276">
        <w:rPr>
          <w:kern w:val="22"/>
          <w:szCs w:val="22"/>
        </w:rPr>
        <w:t>Means of implementation and enabling conditions</w:t>
      </w:r>
      <w:r w:rsidRPr="00780276">
        <w:rPr>
          <w:rStyle w:val="FootnoteReference"/>
          <w:b w:val="0"/>
          <w:iCs w:val="0"/>
          <w:kern w:val="22"/>
          <w:szCs w:val="22"/>
        </w:rPr>
        <w:footnoteReference w:id="18"/>
      </w:r>
    </w:p>
    <w:p w14:paraId="258E98DB" w14:textId="77777777" w:rsidR="00AC37F8" w:rsidRPr="00780276" w:rsidRDefault="00AC37F8" w:rsidP="00780276">
      <w:pPr>
        <w:pStyle w:val="Para2"/>
        <w:numPr>
          <w:ilvl w:val="0"/>
          <w:numId w:val="85"/>
        </w:numPr>
        <w:tabs>
          <w:tab w:val="clear" w:pos="1080"/>
        </w:tabs>
        <w:ind w:left="0" w:firstLine="709"/>
        <w:rPr>
          <w:kern w:val="22"/>
          <w:szCs w:val="22"/>
        </w:rPr>
      </w:pPr>
      <w:r w:rsidRPr="00780276">
        <w:rPr>
          <w:kern w:val="22"/>
          <w:szCs w:val="22"/>
        </w:rPr>
        <w:t>Possible issues to reflect:</w:t>
      </w:r>
    </w:p>
    <w:p w14:paraId="6A8ABFF4"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Resource mobilization;</w:t>
      </w:r>
    </w:p>
    <w:p w14:paraId="67F2EEE5"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Provision of financial resources;</w:t>
      </w:r>
    </w:p>
    <w:p w14:paraId="6DC3BFAC"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Financial mechanism;</w:t>
      </w:r>
    </w:p>
    <w:p w14:paraId="099D2CB0"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Capacity-building;</w:t>
      </w:r>
    </w:p>
    <w:p w14:paraId="6DC81182" w14:textId="77777777" w:rsidR="00AC37F8" w:rsidRPr="00225964" w:rsidRDefault="00AC37F8" w:rsidP="00780276">
      <w:pPr>
        <w:pStyle w:val="Para10"/>
        <w:numPr>
          <w:ilvl w:val="2"/>
          <w:numId w:val="93"/>
        </w:numPr>
        <w:ind w:left="1985" w:hanging="284"/>
        <w:rPr>
          <w:iCs/>
          <w:kern w:val="22"/>
          <w:szCs w:val="22"/>
        </w:rPr>
      </w:pPr>
      <w:r w:rsidRPr="00225964">
        <w:rPr>
          <w:iCs/>
          <w:kern w:val="22"/>
          <w:szCs w:val="22"/>
        </w:rPr>
        <w:t>Traditional knowledge and customary sustainable use;</w:t>
      </w:r>
    </w:p>
    <w:p w14:paraId="2F54A38F" w14:textId="77777777" w:rsidR="00AC37F8" w:rsidRPr="00225964" w:rsidRDefault="00AC37F8" w:rsidP="00780276">
      <w:pPr>
        <w:pStyle w:val="Para10"/>
        <w:numPr>
          <w:ilvl w:val="2"/>
          <w:numId w:val="93"/>
        </w:numPr>
        <w:ind w:left="1985" w:hanging="284"/>
        <w:rPr>
          <w:iCs/>
          <w:kern w:val="22"/>
          <w:szCs w:val="22"/>
        </w:rPr>
      </w:pPr>
      <w:r w:rsidRPr="00225964">
        <w:rPr>
          <w:kern w:val="22"/>
          <w:szCs w:val="22"/>
        </w:rPr>
        <w:t>Science and evidence from relevant knowledge systems, including the natural and social sciences and lessons learned from the implementation to date of the Convention and its Protocols;</w:t>
      </w:r>
    </w:p>
    <w:p w14:paraId="5D137E30"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Technical and scientific cooperation and technology transfer;</w:t>
      </w:r>
    </w:p>
    <w:p w14:paraId="4FDCDE17"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Knowledge generation, management and information sharing;</w:t>
      </w:r>
    </w:p>
    <w:p w14:paraId="6740EC59"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Communication and awareness-raising;</w:t>
      </w:r>
    </w:p>
    <w:p w14:paraId="40B803EC"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 xml:space="preserve">Promoting synergies with other relevant multilateral environmental agreements and processes; </w:t>
      </w:r>
    </w:p>
    <w:p w14:paraId="6E7B5CA8"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Promoting the greater participation of indigenous peoples and local communities, women, youth, civil society, local and subnational authorities, the private sector and academia and scientific institutions in implementation;</w:t>
      </w:r>
    </w:p>
    <w:p w14:paraId="0D9E96C4" w14:textId="6B0A5685" w:rsidR="00AC37F8" w:rsidRPr="00225964" w:rsidRDefault="00AC37F8" w:rsidP="00780276">
      <w:pPr>
        <w:pStyle w:val="Para10"/>
        <w:numPr>
          <w:ilvl w:val="2"/>
          <w:numId w:val="93"/>
        </w:numPr>
        <w:ind w:left="1985" w:hanging="284"/>
        <w:rPr>
          <w:iCs/>
          <w:kern w:val="22"/>
          <w:szCs w:val="22"/>
        </w:rPr>
      </w:pPr>
      <w:r w:rsidRPr="00225964">
        <w:rPr>
          <w:iCs/>
          <w:kern w:val="22"/>
          <w:szCs w:val="22"/>
        </w:rPr>
        <w:t>Science based and standardize measures, natural capital accounting</w:t>
      </w:r>
      <w:r w:rsidRPr="00225964">
        <w:rPr>
          <w:rStyle w:val="FootnoteReference"/>
          <w:iCs/>
          <w:kern w:val="22"/>
          <w:szCs w:val="22"/>
        </w:rPr>
        <w:footnoteReference w:id="19"/>
      </w:r>
      <w:r w:rsidRPr="00225964">
        <w:rPr>
          <w:iCs/>
          <w:kern w:val="22"/>
          <w:szCs w:val="22"/>
        </w:rPr>
        <w:t xml:space="preserve"> and holistic approaches to valuation;</w:t>
      </w:r>
    </w:p>
    <w:p w14:paraId="180A88E4"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Strengthened environmental governance, and policy processes;</w:t>
      </w:r>
      <w:r w:rsidRPr="00225964">
        <w:rPr>
          <w:rStyle w:val="FootnoteReference"/>
          <w:rFonts w:eastAsia="Malgun Gothic"/>
          <w:kern w:val="22"/>
          <w:szCs w:val="22"/>
        </w:rPr>
        <w:footnoteReference w:id="20"/>
      </w:r>
    </w:p>
    <w:p w14:paraId="67324255"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Ecosystem based management;</w:t>
      </w:r>
    </w:p>
    <w:p w14:paraId="0E2796DE" w14:textId="77777777"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National biodiversity strategies and action plans;</w:t>
      </w:r>
    </w:p>
    <w:p w14:paraId="1FD369EA" w14:textId="2D495B9F" w:rsidR="00AC37F8" w:rsidRPr="00225964" w:rsidRDefault="00AC37F8" w:rsidP="00780276">
      <w:pPr>
        <w:pStyle w:val="Para10"/>
        <w:numPr>
          <w:ilvl w:val="2"/>
          <w:numId w:val="93"/>
        </w:numPr>
        <w:ind w:left="1985" w:hanging="284"/>
        <w:rPr>
          <w:iCs/>
          <w:kern w:val="22"/>
          <w:szCs w:val="22"/>
        </w:rPr>
      </w:pPr>
      <w:r w:rsidRPr="00225964">
        <w:rPr>
          <w:rFonts w:eastAsia="Malgun Gothic"/>
          <w:kern w:val="22"/>
          <w:szCs w:val="22"/>
        </w:rPr>
        <w:t>Levers of transformati</w:t>
      </w:r>
      <w:r w:rsidR="00821A72" w:rsidRPr="00225964">
        <w:rPr>
          <w:rFonts w:eastAsia="Malgun Gothic"/>
          <w:kern w:val="22"/>
          <w:szCs w:val="22"/>
        </w:rPr>
        <w:t>ve</w:t>
      </w:r>
      <w:r w:rsidRPr="00225964">
        <w:rPr>
          <w:rFonts w:eastAsia="Malgun Gothic"/>
          <w:kern w:val="22"/>
          <w:szCs w:val="22"/>
        </w:rPr>
        <w:t xml:space="preserve"> change</w:t>
      </w:r>
      <w:r w:rsidR="00821A72" w:rsidRPr="00225964">
        <w:rPr>
          <w:rFonts w:eastAsia="Malgun Gothic"/>
          <w:kern w:val="22"/>
          <w:szCs w:val="22"/>
        </w:rPr>
        <w:t>, with</w:t>
      </w:r>
      <w:r w:rsidRPr="00225964">
        <w:rPr>
          <w:rFonts w:eastAsia="Malgun Gothic"/>
          <w:kern w:val="22"/>
          <w:szCs w:val="22"/>
        </w:rPr>
        <w:t>in the scope of the Convention.</w:t>
      </w:r>
    </w:p>
    <w:p w14:paraId="0C92F061" w14:textId="77777777" w:rsidR="00AC37F8" w:rsidRPr="00225964" w:rsidRDefault="00AC37F8" w:rsidP="00821A72">
      <w:pPr>
        <w:pStyle w:val="Para10"/>
        <w:numPr>
          <w:ilvl w:val="0"/>
          <w:numId w:val="0"/>
        </w:numPr>
        <w:ind w:left="1843"/>
        <w:rPr>
          <w:iCs/>
          <w:kern w:val="22"/>
          <w:szCs w:val="22"/>
        </w:rPr>
      </w:pPr>
    </w:p>
    <w:p w14:paraId="7C1C7FD1" w14:textId="5AA3CAED" w:rsidR="00AC37F8" w:rsidRPr="00780276" w:rsidRDefault="00AC37F8" w:rsidP="00780276">
      <w:pPr>
        <w:pStyle w:val="Heading2"/>
        <w:numPr>
          <w:ilvl w:val="0"/>
          <w:numId w:val="78"/>
        </w:numPr>
        <w:tabs>
          <w:tab w:val="clear" w:pos="720"/>
        </w:tabs>
        <w:rPr>
          <w:kern w:val="22"/>
          <w:szCs w:val="22"/>
        </w:rPr>
      </w:pPr>
      <w:r w:rsidRPr="00780276">
        <w:rPr>
          <w:kern w:val="22"/>
          <w:szCs w:val="22"/>
        </w:rPr>
        <w:t>Cross-cutting issues and approaches</w:t>
      </w:r>
      <w:r w:rsidRPr="00780276">
        <w:rPr>
          <w:rStyle w:val="FootnoteReference"/>
          <w:b w:val="0"/>
          <w:iCs w:val="0"/>
          <w:kern w:val="22"/>
          <w:szCs w:val="22"/>
        </w:rPr>
        <w:footnoteReference w:id="21"/>
      </w:r>
      <w:r w:rsidRPr="00780276">
        <w:rPr>
          <w:kern w:val="22"/>
          <w:szCs w:val="22"/>
          <w:vertAlign w:val="superscript"/>
        </w:rPr>
        <w:t>,</w:t>
      </w:r>
      <w:r w:rsidRPr="00780276">
        <w:rPr>
          <w:rStyle w:val="FootnoteReference"/>
          <w:b w:val="0"/>
          <w:iCs w:val="0"/>
          <w:kern w:val="22"/>
          <w:szCs w:val="22"/>
        </w:rPr>
        <w:footnoteReference w:id="22"/>
      </w:r>
    </w:p>
    <w:p w14:paraId="6C60792C" w14:textId="77777777" w:rsidR="00AC37F8" w:rsidRPr="00780276" w:rsidRDefault="00AC37F8" w:rsidP="00780276">
      <w:pPr>
        <w:pStyle w:val="Para2"/>
        <w:numPr>
          <w:ilvl w:val="0"/>
          <w:numId w:val="94"/>
        </w:numPr>
        <w:tabs>
          <w:tab w:val="clear" w:pos="1080"/>
        </w:tabs>
        <w:ind w:left="0" w:firstLine="709"/>
        <w:rPr>
          <w:kern w:val="22"/>
          <w:szCs w:val="22"/>
        </w:rPr>
      </w:pPr>
      <w:r w:rsidRPr="00780276">
        <w:rPr>
          <w:kern w:val="22"/>
          <w:szCs w:val="22"/>
        </w:rPr>
        <w:t>Possible issues to reflect:</w:t>
      </w:r>
    </w:p>
    <w:p w14:paraId="4C157DC0" w14:textId="7CA1ADC4" w:rsidR="00AC37F8" w:rsidRPr="00225964" w:rsidRDefault="00AC37F8" w:rsidP="00780276">
      <w:pPr>
        <w:pStyle w:val="Para10"/>
        <w:numPr>
          <w:ilvl w:val="2"/>
          <w:numId w:val="95"/>
        </w:numPr>
        <w:ind w:left="1985" w:hanging="317"/>
        <w:rPr>
          <w:iCs/>
          <w:kern w:val="22"/>
          <w:szCs w:val="22"/>
        </w:rPr>
      </w:pPr>
      <w:r w:rsidRPr="00225964">
        <w:rPr>
          <w:rFonts w:eastAsia="Malgun Gothic"/>
          <w:kern w:val="22"/>
          <w:szCs w:val="22"/>
        </w:rPr>
        <w:t>Mainstreaming, particularly for issues related to agriculture, forestry, fisheries, aquaculture, tourism, energy and mining, infrastructure, manufacturing and processing sectors</w:t>
      </w:r>
      <w:r w:rsidR="00821A72" w:rsidRPr="00225964">
        <w:rPr>
          <w:rFonts w:eastAsia="Malgun Gothic"/>
          <w:kern w:val="22"/>
          <w:szCs w:val="22"/>
        </w:rPr>
        <w:t>,</w:t>
      </w:r>
      <w:r w:rsidRPr="00225964">
        <w:rPr>
          <w:rFonts w:eastAsia="Malgun Gothic"/>
          <w:kern w:val="22"/>
          <w:szCs w:val="22"/>
        </w:rPr>
        <w:t xml:space="preserve"> and could address both the direct and indirect pressures on biodiversity;</w:t>
      </w:r>
    </w:p>
    <w:p w14:paraId="6F8616D3" w14:textId="77777777" w:rsidR="00AC37F8" w:rsidRPr="00225964" w:rsidRDefault="00AC37F8" w:rsidP="00780276">
      <w:pPr>
        <w:pStyle w:val="Para10"/>
        <w:numPr>
          <w:ilvl w:val="2"/>
          <w:numId w:val="95"/>
        </w:numPr>
        <w:ind w:left="1985" w:hanging="317"/>
        <w:rPr>
          <w:iCs/>
          <w:kern w:val="22"/>
          <w:szCs w:val="22"/>
        </w:rPr>
      </w:pPr>
      <w:r w:rsidRPr="00225964">
        <w:rPr>
          <w:iCs/>
          <w:kern w:val="22"/>
          <w:szCs w:val="22"/>
        </w:rPr>
        <w:t>Gender equality, women’s empowerment and gender responsive approaches;</w:t>
      </w:r>
    </w:p>
    <w:p w14:paraId="062681F6" w14:textId="77777777" w:rsidR="00AC37F8" w:rsidRPr="00225964" w:rsidRDefault="00AC37F8" w:rsidP="00780276">
      <w:pPr>
        <w:pStyle w:val="Para10"/>
        <w:numPr>
          <w:ilvl w:val="2"/>
          <w:numId w:val="95"/>
        </w:numPr>
        <w:ind w:left="1985" w:hanging="317"/>
        <w:rPr>
          <w:iCs/>
          <w:kern w:val="22"/>
          <w:szCs w:val="22"/>
        </w:rPr>
      </w:pPr>
      <w:r w:rsidRPr="00225964">
        <w:rPr>
          <w:rFonts w:eastAsia="Malgun Gothic"/>
          <w:kern w:val="22"/>
          <w:szCs w:val="22"/>
        </w:rPr>
        <w:t>Indigenous peoples and local communities;</w:t>
      </w:r>
    </w:p>
    <w:p w14:paraId="0E545DA9" w14:textId="77777777" w:rsidR="00AC37F8" w:rsidRPr="00225964" w:rsidRDefault="00AC37F8" w:rsidP="00780276">
      <w:pPr>
        <w:pStyle w:val="Para10"/>
        <w:numPr>
          <w:ilvl w:val="2"/>
          <w:numId w:val="95"/>
        </w:numPr>
        <w:ind w:left="1985" w:hanging="317"/>
        <w:rPr>
          <w:iCs/>
          <w:kern w:val="22"/>
          <w:szCs w:val="22"/>
        </w:rPr>
      </w:pPr>
      <w:r w:rsidRPr="00225964">
        <w:rPr>
          <w:rFonts w:eastAsia="Malgun Gothic"/>
          <w:kern w:val="22"/>
          <w:szCs w:val="22"/>
        </w:rPr>
        <w:t>Rights based approaches;</w:t>
      </w:r>
    </w:p>
    <w:p w14:paraId="5599E513" w14:textId="77777777" w:rsidR="00AC37F8" w:rsidRPr="00225964" w:rsidRDefault="00AC37F8" w:rsidP="00780276">
      <w:pPr>
        <w:pStyle w:val="Para10"/>
        <w:numPr>
          <w:ilvl w:val="2"/>
          <w:numId w:val="95"/>
        </w:numPr>
        <w:ind w:left="1985" w:hanging="317"/>
        <w:rPr>
          <w:iCs/>
          <w:kern w:val="22"/>
          <w:szCs w:val="22"/>
        </w:rPr>
      </w:pPr>
      <w:r w:rsidRPr="00225964">
        <w:rPr>
          <w:rFonts w:eastAsia="Malgun Gothic"/>
          <w:kern w:val="22"/>
          <w:szCs w:val="22"/>
        </w:rPr>
        <w:t>Partnerships;</w:t>
      </w:r>
    </w:p>
    <w:p w14:paraId="0BF5EB16" w14:textId="77777777" w:rsidR="00AC37F8" w:rsidRPr="00225964" w:rsidRDefault="00AC37F8" w:rsidP="00780276">
      <w:pPr>
        <w:pStyle w:val="Para10"/>
        <w:numPr>
          <w:ilvl w:val="2"/>
          <w:numId w:val="95"/>
        </w:numPr>
        <w:ind w:left="1985" w:hanging="317"/>
        <w:rPr>
          <w:iCs/>
          <w:kern w:val="22"/>
          <w:szCs w:val="22"/>
        </w:rPr>
      </w:pPr>
      <w:r w:rsidRPr="00225964">
        <w:rPr>
          <w:rFonts w:eastAsia="Malgun Gothic"/>
          <w:kern w:val="22"/>
          <w:szCs w:val="22"/>
        </w:rPr>
        <w:t>Intergenerational equity;</w:t>
      </w:r>
    </w:p>
    <w:p w14:paraId="74487505" w14:textId="77777777" w:rsidR="00AC37F8" w:rsidRPr="00225964" w:rsidRDefault="00AC37F8" w:rsidP="00780276">
      <w:pPr>
        <w:pStyle w:val="Para10"/>
        <w:numPr>
          <w:ilvl w:val="2"/>
          <w:numId w:val="95"/>
        </w:numPr>
        <w:ind w:left="1985" w:hanging="317"/>
        <w:rPr>
          <w:iCs/>
          <w:kern w:val="22"/>
          <w:szCs w:val="22"/>
        </w:rPr>
      </w:pPr>
      <w:r w:rsidRPr="00225964">
        <w:rPr>
          <w:rFonts w:eastAsia="Malgun Gothic"/>
          <w:kern w:val="22"/>
          <w:szCs w:val="22"/>
        </w:rPr>
        <w:t>Connectivity.</w:t>
      </w:r>
    </w:p>
    <w:p w14:paraId="1ABE2C57" w14:textId="2B28F67F" w:rsidR="00AC37F8" w:rsidRPr="00780276" w:rsidRDefault="00AC37F8" w:rsidP="00780276">
      <w:pPr>
        <w:pStyle w:val="Heading2"/>
        <w:numPr>
          <w:ilvl w:val="0"/>
          <w:numId w:val="78"/>
        </w:numPr>
        <w:tabs>
          <w:tab w:val="clear" w:pos="720"/>
          <w:tab w:val="left" w:pos="426"/>
        </w:tabs>
        <w:ind w:left="0" w:firstLine="0"/>
        <w:rPr>
          <w:kern w:val="22"/>
          <w:szCs w:val="22"/>
        </w:rPr>
      </w:pPr>
      <w:r w:rsidRPr="00780276">
        <w:rPr>
          <w:kern w:val="22"/>
          <w:szCs w:val="22"/>
        </w:rPr>
        <w:t>Transparent implementation, monitoring and reporting mechanism</w:t>
      </w:r>
      <w:r w:rsidRPr="00780276">
        <w:rPr>
          <w:rStyle w:val="FootnoteReference"/>
          <w:b w:val="0"/>
          <w:iCs w:val="0"/>
          <w:kern w:val="22"/>
          <w:szCs w:val="22"/>
        </w:rPr>
        <w:footnoteReference w:id="23"/>
      </w:r>
    </w:p>
    <w:p w14:paraId="0CB7D243" w14:textId="77777777" w:rsidR="00AC37F8" w:rsidRPr="00225964" w:rsidRDefault="00AC37F8" w:rsidP="00780276">
      <w:pPr>
        <w:pStyle w:val="Para10"/>
        <w:numPr>
          <w:ilvl w:val="1"/>
          <w:numId w:val="96"/>
        </w:numPr>
        <w:ind w:left="0" w:firstLine="687"/>
        <w:rPr>
          <w:iCs/>
          <w:kern w:val="22"/>
          <w:szCs w:val="22"/>
        </w:rPr>
      </w:pPr>
      <w:r w:rsidRPr="00225964">
        <w:rPr>
          <w:iCs/>
          <w:kern w:val="22"/>
          <w:szCs w:val="22"/>
        </w:rPr>
        <w:t>Possible issues to reflect:</w:t>
      </w:r>
    </w:p>
    <w:p w14:paraId="030A00DA" w14:textId="724CA4D9" w:rsidR="00AC37F8" w:rsidRPr="00225964" w:rsidRDefault="00AC37F8" w:rsidP="00780276">
      <w:pPr>
        <w:pStyle w:val="Para10"/>
        <w:numPr>
          <w:ilvl w:val="2"/>
          <w:numId w:val="97"/>
        </w:numPr>
        <w:ind w:left="1985" w:hanging="284"/>
        <w:rPr>
          <w:iCs/>
          <w:kern w:val="22"/>
          <w:szCs w:val="22"/>
        </w:rPr>
      </w:pPr>
      <w:r w:rsidRPr="00225964">
        <w:rPr>
          <w:rFonts w:eastAsia="Malgun Gothic"/>
          <w:kern w:val="22"/>
          <w:szCs w:val="22"/>
        </w:rPr>
        <w:t xml:space="preserve">Keep and strengthen </w:t>
      </w:r>
      <w:r w:rsidR="00F6647E" w:rsidRPr="00225964">
        <w:rPr>
          <w:rFonts w:eastAsia="Malgun Gothic"/>
          <w:kern w:val="22"/>
          <w:szCs w:val="22"/>
        </w:rPr>
        <w:t>national biodiversity strategies and action plans</w:t>
      </w:r>
      <w:r w:rsidRPr="00225964">
        <w:rPr>
          <w:rFonts w:eastAsia="Malgun Gothic"/>
          <w:kern w:val="22"/>
          <w:szCs w:val="22"/>
        </w:rPr>
        <w:t xml:space="preserve"> as the main mechanism for implementing the Convention at the national level;</w:t>
      </w:r>
    </w:p>
    <w:p w14:paraId="31CF5AA0" w14:textId="77777777" w:rsidR="00AC37F8" w:rsidRPr="00225964" w:rsidRDefault="00AC37F8" w:rsidP="00780276">
      <w:pPr>
        <w:pStyle w:val="Para10"/>
        <w:numPr>
          <w:ilvl w:val="2"/>
          <w:numId w:val="97"/>
        </w:numPr>
        <w:ind w:left="1985" w:hanging="284"/>
        <w:rPr>
          <w:iCs/>
          <w:kern w:val="22"/>
          <w:szCs w:val="22"/>
        </w:rPr>
      </w:pPr>
      <w:r w:rsidRPr="00225964">
        <w:rPr>
          <w:rFonts w:eastAsia="Malgun Gothic"/>
          <w:kern w:val="22"/>
          <w:szCs w:val="22"/>
        </w:rPr>
        <w:t>Enhance guidance for national biodiversity strategies and action plans;</w:t>
      </w:r>
    </w:p>
    <w:p w14:paraId="7AD48524" w14:textId="77777777" w:rsidR="00AC37F8" w:rsidRPr="00225964" w:rsidRDefault="00AC37F8" w:rsidP="00780276">
      <w:pPr>
        <w:pStyle w:val="Para10"/>
        <w:numPr>
          <w:ilvl w:val="2"/>
          <w:numId w:val="97"/>
        </w:numPr>
        <w:ind w:left="1985" w:hanging="284"/>
        <w:rPr>
          <w:iCs/>
          <w:kern w:val="22"/>
          <w:szCs w:val="22"/>
        </w:rPr>
      </w:pPr>
      <w:r w:rsidRPr="00225964">
        <w:rPr>
          <w:rFonts w:eastAsia="Malgun Gothic"/>
          <w:kern w:val="22"/>
          <w:szCs w:val="22"/>
        </w:rPr>
        <w:t>Build from and strengthen the national reports;</w:t>
      </w:r>
    </w:p>
    <w:p w14:paraId="46049ED4" w14:textId="77777777" w:rsidR="00AC37F8" w:rsidRPr="00225964" w:rsidRDefault="00AC37F8" w:rsidP="00780276">
      <w:pPr>
        <w:pStyle w:val="Para10"/>
        <w:numPr>
          <w:ilvl w:val="2"/>
          <w:numId w:val="97"/>
        </w:numPr>
        <w:ind w:left="1985" w:hanging="284"/>
        <w:rPr>
          <w:iCs/>
          <w:kern w:val="22"/>
          <w:szCs w:val="22"/>
        </w:rPr>
      </w:pPr>
      <w:r w:rsidRPr="00225964">
        <w:rPr>
          <w:rFonts w:eastAsia="Malgun Gothic"/>
          <w:kern w:val="22"/>
          <w:szCs w:val="22"/>
        </w:rPr>
        <w:t>Improve comparability and the quality of the national reports and national biodiversity strategies and action plans;</w:t>
      </w:r>
    </w:p>
    <w:p w14:paraId="3A4E0275" w14:textId="77777777" w:rsidR="00AC37F8" w:rsidRPr="00225964" w:rsidRDefault="00AC37F8" w:rsidP="00780276">
      <w:pPr>
        <w:pStyle w:val="Para10"/>
        <w:numPr>
          <w:ilvl w:val="2"/>
          <w:numId w:val="97"/>
        </w:numPr>
        <w:ind w:left="1985" w:hanging="284"/>
        <w:rPr>
          <w:iCs/>
          <w:kern w:val="22"/>
          <w:szCs w:val="22"/>
        </w:rPr>
      </w:pPr>
      <w:r w:rsidRPr="00225964">
        <w:rPr>
          <w:rFonts w:eastAsia="Malgun Gothic"/>
          <w:kern w:val="22"/>
          <w:szCs w:val="22"/>
        </w:rPr>
        <w:t>Improve consistency/synergy across reporting processes within and outside the Convention;</w:t>
      </w:r>
    </w:p>
    <w:p w14:paraId="5DC11B5E" w14:textId="77777777" w:rsidR="00AC37F8" w:rsidRPr="00225964" w:rsidRDefault="00AC37F8" w:rsidP="00780276">
      <w:pPr>
        <w:pStyle w:val="Para10"/>
        <w:numPr>
          <w:ilvl w:val="2"/>
          <w:numId w:val="97"/>
        </w:numPr>
        <w:ind w:left="1985" w:hanging="284"/>
        <w:rPr>
          <w:iCs/>
          <w:kern w:val="22"/>
          <w:szCs w:val="22"/>
        </w:rPr>
      </w:pPr>
      <w:r w:rsidRPr="00225964">
        <w:rPr>
          <w:iCs/>
          <w:kern w:val="22"/>
          <w:szCs w:val="22"/>
        </w:rPr>
        <w:t>Improved collaboration among Conventions for the development of common reporting frameworks, and modular reporting systems;</w:t>
      </w:r>
    </w:p>
    <w:p w14:paraId="5443CF52" w14:textId="77777777" w:rsidR="00AC37F8" w:rsidRPr="00225964" w:rsidRDefault="00AC37F8" w:rsidP="00780276">
      <w:pPr>
        <w:pStyle w:val="Para10"/>
        <w:numPr>
          <w:ilvl w:val="2"/>
          <w:numId w:val="97"/>
        </w:numPr>
        <w:ind w:left="1985" w:hanging="284"/>
        <w:rPr>
          <w:iCs/>
          <w:kern w:val="22"/>
          <w:szCs w:val="22"/>
        </w:rPr>
      </w:pPr>
      <w:r w:rsidRPr="00225964">
        <w:rPr>
          <w:iCs/>
          <w:kern w:val="22"/>
          <w:szCs w:val="22"/>
        </w:rPr>
        <w:t>Lessons learned from the Convention and other international environmental instruments;</w:t>
      </w:r>
    </w:p>
    <w:p w14:paraId="48756564" w14:textId="015CFA9E" w:rsidR="00AC37F8" w:rsidRPr="00225964" w:rsidRDefault="00AC37F8" w:rsidP="00780276">
      <w:pPr>
        <w:pStyle w:val="Para10"/>
        <w:numPr>
          <w:ilvl w:val="2"/>
          <w:numId w:val="97"/>
        </w:numPr>
        <w:ind w:left="1985" w:hanging="284"/>
        <w:rPr>
          <w:iCs/>
          <w:kern w:val="22"/>
          <w:szCs w:val="22"/>
        </w:rPr>
      </w:pPr>
      <w:r w:rsidRPr="00225964">
        <w:rPr>
          <w:iCs/>
          <w:kern w:val="22"/>
          <w:szCs w:val="22"/>
        </w:rPr>
        <w:t>The relationship between this element and the other elements of the post-2020 global biodiversity</w:t>
      </w:r>
      <w:r w:rsidR="00845A1D" w:rsidRPr="00225964">
        <w:rPr>
          <w:iCs/>
          <w:kern w:val="22"/>
          <w:szCs w:val="22"/>
        </w:rPr>
        <w:t xml:space="preserve"> framework</w:t>
      </w:r>
      <w:r w:rsidRPr="00225964">
        <w:rPr>
          <w:iCs/>
          <w:kern w:val="22"/>
          <w:szCs w:val="22"/>
        </w:rPr>
        <w:t>;</w:t>
      </w:r>
    </w:p>
    <w:p w14:paraId="5ABF76AE" w14:textId="77777777" w:rsidR="00AC37F8" w:rsidRPr="00225964" w:rsidRDefault="00AC37F8" w:rsidP="00780276">
      <w:pPr>
        <w:pStyle w:val="Para10"/>
        <w:numPr>
          <w:ilvl w:val="2"/>
          <w:numId w:val="97"/>
        </w:numPr>
        <w:ind w:left="1985" w:hanging="284"/>
        <w:rPr>
          <w:iCs/>
          <w:kern w:val="22"/>
          <w:szCs w:val="22"/>
        </w:rPr>
      </w:pPr>
      <w:r w:rsidRPr="00225964">
        <w:rPr>
          <w:iCs/>
          <w:kern w:val="22"/>
          <w:szCs w:val="22"/>
        </w:rPr>
        <w:t>Monitoring;</w:t>
      </w:r>
    </w:p>
    <w:p w14:paraId="7E38EABE" w14:textId="77777777" w:rsidR="00AC37F8" w:rsidRPr="00225964" w:rsidRDefault="00AC37F8" w:rsidP="00780276">
      <w:pPr>
        <w:pStyle w:val="Para10"/>
        <w:numPr>
          <w:ilvl w:val="2"/>
          <w:numId w:val="97"/>
        </w:numPr>
        <w:ind w:left="1985" w:hanging="284"/>
        <w:rPr>
          <w:iCs/>
          <w:kern w:val="22"/>
          <w:szCs w:val="22"/>
        </w:rPr>
      </w:pPr>
      <w:r w:rsidRPr="00225964">
        <w:rPr>
          <w:kern w:val="22"/>
          <w:szCs w:val="22"/>
        </w:rPr>
        <w:t>Voluntary commitments;</w:t>
      </w:r>
      <w:r w:rsidRPr="00225964">
        <w:rPr>
          <w:rStyle w:val="FootnoteReference"/>
          <w:kern w:val="22"/>
          <w:szCs w:val="22"/>
        </w:rPr>
        <w:footnoteReference w:id="24"/>
      </w:r>
    </w:p>
    <w:p w14:paraId="68926CB0" w14:textId="67073485" w:rsidR="00AC37F8" w:rsidRPr="00225964" w:rsidRDefault="00AC37F8" w:rsidP="00780276">
      <w:pPr>
        <w:pStyle w:val="Para10"/>
        <w:numPr>
          <w:ilvl w:val="2"/>
          <w:numId w:val="97"/>
        </w:numPr>
        <w:ind w:left="1985" w:hanging="284"/>
        <w:rPr>
          <w:iCs/>
          <w:kern w:val="22"/>
          <w:szCs w:val="22"/>
        </w:rPr>
      </w:pPr>
      <w:r w:rsidRPr="00225964">
        <w:rPr>
          <w:iCs/>
          <w:kern w:val="22"/>
          <w:szCs w:val="22"/>
        </w:rPr>
        <w:t>Compliance mechanisms and transparency;</w:t>
      </w:r>
      <w:r w:rsidRPr="00225964">
        <w:rPr>
          <w:rStyle w:val="FootnoteReference"/>
          <w:iCs/>
          <w:kern w:val="22"/>
          <w:szCs w:val="22"/>
        </w:rPr>
        <w:footnoteReference w:id="25"/>
      </w:r>
    </w:p>
    <w:p w14:paraId="54608AE8" w14:textId="1A76CA35" w:rsidR="00AC37F8" w:rsidRPr="00225964" w:rsidRDefault="00AC37F8" w:rsidP="00780276">
      <w:pPr>
        <w:pStyle w:val="Para10"/>
        <w:numPr>
          <w:ilvl w:val="2"/>
          <w:numId w:val="97"/>
        </w:numPr>
        <w:ind w:left="1985" w:hanging="284"/>
        <w:rPr>
          <w:iCs/>
          <w:kern w:val="22"/>
          <w:szCs w:val="22"/>
        </w:rPr>
      </w:pPr>
      <w:r w:rsidRPr="00225964">
        <w:rPr>
          <w:iCs/>
          <w:kern w:val="22"/>
          <w:szCs w:val="22"/>
        </w:rPr>
        <w:t>Measurements, reporting, review, and verification system, transparent and global biodiversity stock take, iterative</w:t>
      </w:r>
      <w:r w:rsidR="00845A1D" w:rsidRPr="00225964">
        <w:rPr>
          <w:iCs/>
          <w:kern w:val="22"/>
          <w:szCs w:val="22"/>
        </w:rPr>
        <w:t>,</w:t>
      </w:r>
      <w:r w:rsidRPr="00225964">
        <w:rPr>
          <w:iCs/>
          <w:kern w:val="22"/>
          <w:szCs w:val="22"/>
        </w:rPr>
        <w:t xml:space="preserve"> synchronized</w:t>
      </w:r>
      <w:r w:rsidR="00845A1D" w:rsidRPr="00225964">
        <w:rPr>
          <w:iCs/>
          <w:kern w:val="22"/>
          <w:szCs w:val="22"/>
        </w:rPr>
        <w:t xml:space="preserve"> and</w:t>
      </w:r>
      <w:r w:rsidRPr="00225964">
        <w:rPr>
          <w:iCs/>
          <w:kern w:val="22"/>
          <w:szCs w:val="22"/>
        </w:rPr>
        <w:t xml:space="preserve"> coordinated review process and ratcheting mechanism;</w:t>
      </w:r>
      <w:r w:rsidRPr="00225964">
        <w:rPr>
          <w:rStyle w:val="FootnoteReference"/>
          <w:iCs/>
          <w:kern w:val="22"/>
          <w:szCs w:val="22"/>
        </w:rPr>
        <w:footnoteReference w:id="26"/>
      </w:r>
    </w:p>
    <w:p w14:paraId="16BDC07F" w14:textId="77777777" w:rsidR="00AC37F8" w:rsidRPr="00225964" w:rsidRDefault="00AC37F8" w:rsidP="00780276">
      <w:pPr>
        <w:pStyle w:val="Para10"/>
        <w:numPr>
          <w:ilvl w:val="2"/>
          <w:numId w:val="97"/>
        </w:numPr>
        <w:ind w:left="1985" w:hanging="284"/>
        <w:rPr>
          <w:iCs/>
          <w:kern w:val="22"/>
          <w:szCs w:val="22"/>
        </w:rPr>
      </w:pPr>
      <w:r w:rsidRPr="00225964">
        <w:rPr>
          <w:iCs/>
          <w:kern w:val="22"/>
          <w:szCs w:val="22"/>
        </w:rPr>
        <w:t>Existing review processes, including peer review, under the Convention;</w:t>
      </w:r>
    </w:p>
    <w:p w14:paraId="088E964A" w14:textId="77777777" w:rsidR="00AC37F8" w:rsidRPr="00225964" w:rsidRDefault="00AC37F8" w:rsidP="00780276">
      <w:pPr>
        <w:pStyle w:val="Para10"/>
        <w:numPr>
          <w:ilvl w:val="2"/>
          <w:numId w:val="97"/>
        </w:numPr>
        <w:ind w:left="1985" w:hanging="284"/>
        <w:rPr>
          <w:iCs/>
          <w:kern w:val="22"/>
          <w:szCs w:val="22"/>
        </w:rPr>
      </w:pPr>
      <w:r w:rsidRPr="00225964">
        <w:rPr>
          <w:iCs/>
          <w:kern w:val="22"/>
          <w:szCs w:val="22"/>
        </w:rPr>
        <w:t>Guidance.</w:t>
      </w:r>
    </w:p>
    <w:p w14:paraId="6404C538" w14:textId="58DCC7A4" w:rsidR="00AC37F8" w:rsidRPr="00780276" w:rsidRDefault="00AC37F8" w:rsidP="00780276">
      <w:pPr>
        <w:pStyle w:val="Heading2"/>
        <w:numPr>
          <w:ilvl w:val="0"/>
          <w:numId w:val="78"/>
        </w:numPr>
        <w:tabs>
          <w:tab w:val="clear" w:pos="720"/>
          <w:tab w:val="left" w:pos="426"/>
        </w:tabs>
        <w:ind w:left="0" w:firstLine="0"/>
        <w:rPr>
          <w:kern w:val="22"/>
          <w:szCs w:val="22"/>
        </w:rPr>
      </w:pPr>
      <w:r w:rsidRPr="00780276">
        <w:rPr>
          <w:kern w:val="22"/>
          <w:szCs w:val="22"/>
        </w:rPr>
        <w:t>Outreach</w:t>
      </w:r>
      <w:bookmarkEnd w:id="3"/>
      <w:r w:rsidRPr="00780276">
        <w:rPr>
          <w:kern w:val="22"/>
          <w:szCs w:val="22"/>
        </w:rPr>
        <w:t>, awareness and uptake</w:t>
      </w:r>
      <w:r w:rsidRPr="00780276">
        <w:rPr>
          <w:rStyle w:val="FootnoteReference"/>
          <w:b w:val="0"/>
          <w:iCs w:val="0"/>
          <w:kern w:val="22"/>
          <w:szCs w:val="22"/>
        </w:rPr>
        <w:footnoteReference w:id="27"/>
      </w:r>
      <w:r w:rsidRPr="00780276">
        <w:rPr>
          <w:kern w:val="22"/>
          <w:szCs w:val="22"/>
          <w:vertAlign w:val="superscript"/>
        </w:rPr>
        <w:t xml:space="preserve"> </w:t>
      </w:r>
    </w:p>
    <w:p w14:paraId="260ED5DA" w14:textId="77777777" w:rsidR="00AC37F8" w:rsidRPr="00225964" w:rsidRDefault="00AC37F8" w:rsidP="00780276">
      <w:pPr>
        <w:pStyle w:val="Para10"/>
        <w:numPr>
          <w:ilvl w:val="1"/>
          <w:numId w:val="98"/>
        </w:numPr>
        <w:ind w:left="0" w:firstLine="687"/>
        <w:rPr>
          <w:iCs/>
          <w:kern w:val="22"/>
          <w:szCs w:val="22"/>
        </w:rPr>
      </w:pPr>
      <w:r w:rsidRPr="00225964">
        <w:rPr>
          <w:iCs/>
          <w:kern w:val="22"/>
          <w:szCs w:val="22"/>
        </w:rPr>
        <w:t>Possible elements:</w:t>
      </w:r>
    </w:p>
    <w:p w14:paraId="222EE43D" w14:textId="77777777" w:rsidR="00AC37F8" w:rsidRPr="00225964" w:rsidRDefault="00AC37F8" w:rsidP="00780276">
      <w:pPr>
        <w:pStyle w:val="Para10"/>
        <w:numPr>
          <w:ilvl w:val="2"/>
          <w:numId w:val="99"/>
        </w:numPr>
        <w:ind w:left="1985" w:hanging="284"/>
        <w:rPr>
          <w:iCs/>
          <w:kern w:val="22"/>
          <w:szCs w:val="22"/>
        </w:rPr>
      </w:pPr>
      <w:r w:rsidRPr="00225964">
        <w:rPr>
          <w:kern w:val="22"/>
          <w:szCs w:val="22"/>
        </w:rPr>
        <w:t xml:space="preserve">A coherent, comprehensive, and innovative communication strategy </w:t>
      </w:r>
      <w:r w:rsidRPr="00225964">
        <w:rPr>
          <w:iCs/>
          <w:kern w:val="22"/>
          <w:szCs w:val="22"/>
        </w:rPr>
        <w:t>for the global biodiversity framework itself;</w:t>
      </w:r>
    </w:p>
    <w:p w14:paraId="7BF6BC0B" w14:textId="77777777" w:rsidR="00AC37F8" w:rsidRPr="00225964" w:rsidRDefault="00AC37F8" w:rsidP="00780276">
      <w:pPr>
        <w:pStyle w:val="Para10"/>
        <w:numPr>
          <w:ilvl w:val="2"/>
          <w:numId w:val="99"/>
        </w:numPr>
        <w:ind w:left="1985" w:hanging="284"/>
        <w:rPr>
          <w:iCs/>
          <w:kern w:val="22"/>
          <w:szCs w:val="22"/>
        </w:rPr>
      </w:pPr>
      <w:r w:rsidRPr="00225964">
        <w:rPr>
          <w:iCs/>
          <w:kern w:val="22"/>
          <w:szCs w:val="22"/>
        </w:rPr>
        <w:t>Raising awareness of the framework to ensure its alignment with other relevant international processes and strategies.</w:t>
      </w:r>
    </w:p>
    <w:p w14:paraId="7D5DD8CC" w14:textId="77777777" w:rsidR="005466C8" w:rsidRDefault="005466C8" w:rsidP="00D0282A">
      <w:pPr>
        <w:ind w:firstLine="709"/>
        <w:rPr>
          <w:kern w:val="22"/>
          <w:szCs w:val="22"/>
          <w:lang w:eastAsia="en-CA"/>
        </w:rPr>
        <w:sectPr w:rsidR="005466C8" w:rsidSect="006B5DD9">
          <w:headerReference w:type="even" r:id="rId18"/>
          <w:headerReference w:type="default" r:id="rId19"/>
          <w:footerReference w:type="even" r:id="rId20"/>
          <w:footerReference w:type="default" r:id="rId21"/>
          <w:headerReference w:type="first" r:id="rId22"/>
          <w:footerReference w:type="first" r:id="rId23"/>
          <w:pgSz w:w="12240" w:h="15840" w:code="1"/>
          <w:pgMar w:top="567" w:right="1440" w:bottom="1134" w:left="1440" w:header="454" w:footer="720" w:gutter="0"/>
          <w:cols w:space="720"/>
          <w:titlePg/>
          <w:docGrid w:linePitch="299"/>
        </w:sectPr>
      </w:pPr>
    </w:p>
    <w:p w14:paraId="4E89A8FC" w14:textId="2A78F50E" w:rsidR="00817C4B" w:rsidRPr="00780276" w:rsidRDefault="00817C4B" w:rsidP="00D0282A">
      <w:pPr>
        <w:ind w:firstLine="709"/>
        <w:rPr>
          <w:kern w:val="22"/>
          <w:szCs w:val="22"/>
          <w:lang w:eastAsia="en-CA"/>
        </w:rPr>
      </w:pPr>
    </w:p>
    <w:p w14:paraId="0C074E41" w14:textId="77777777" w:rsidR="001E2016" w:rsidRPr="00225964" w:rsidRDefault="001E2016" w:rsidP="00412F38">
      <w:pPr>
        <w:spacing w:after="120"/>
        <w:jc w:val="center"/>
        <w:rPr>
          <w:kern w:val="22"/>
          <w:szCs w:val="22"/>
        </w:rPr>
      </w:pPr>
      <w:bookmarkStart w:id="4" w:name="ConclusionsAnnexII"/>
      <w:r w:rsidRPr="00225964">
        <w:rPr>
          <w:i/>
          <w:kern w:val="22"/>
          <w:szCs w:val="22"/>
        </w:rPr>
        <w:t>Annex II</w:t>
      </w:r>
    </w:p>
    <w:p w14:paraId="0F51BFF9" w14:textId="77777777" w:rsidR="001E2016" w:rsidRPr="00225964" w:rsidRDefault="001E2016" w:rsidP="00412F38">
      <w:pPr>
        <w:pStyle w:val="Heading1"/>
        <w:spacing w:before="120"/>
        <w:rPr>
          <w:kern w:val="22"/>
          <w:szCs w:val="22"/>
        </w:rPr>
      </w:pPr>
      <w:bookmarkStart w:id="5" w:name="_Hlk17977802"/>
      <w:bookmarkEnd w:id="4"/>
      <w:r w:rsidRPr="00225964">
        <w:rPr>
          <w:kern w:val="22"/>
          <w:szCs w:val="22"/>
        </w:rPr>
        <w:t>PRELIMINARY List of meetings, consultations and workshops for the development of the post</w:t>
      </w:r>
      <w:r w:rsidRPr="00225964">
        <w:rPr>
          <w:kern w:val="22"/>
          <w:szCs w:val="22"/>
        </w:rPr>
        <w:noBreakHyphen/>
        <w:t>2020 global biodiversity framework</w:t>
      </w:r>
      <w:bookmarkEnd w:id="5"/>
    </w:p>
    <w:p w14:paraId="4E3E7B50" w14:textId="6256621A" w:rsidR="001E2016" w:rsidRPr="00780276" w:rsidRDefault="001E2016" w:rsidP="00780276">
      <w:pPr>
        <w:pStyle w:val="Heading2"/>
        <w:tabs>
          <w:tab w:val="clear" w:pos="720"/>
        </w:tabs>
        <w:spacing w:before="0"/>
        <w:rPr>
          <w:bCs w:val="0"/>
          <w:kern w:val="22"/>
          <w:szCs w:val="22"/>
        </w:rPr>
      </w:pPr>
      <w:r w:rsidRPr="00780276">
        <w:rPr>
          <w:bCs w:val="0"/>
          <w:kern w:val="22"/>
          <w:szCs w:val="22"/>
        </w:rPr>
        <w:t>Table 1</w:t>
      </w:r>
      <w:r w:rsidR="00364B85" w:rsidRPr="00225964">
        <w:rPr>
          <w:bCs w:val="0"/>
          <w:kern w:val="22"/>
          <w:szCs w:val="22"/>
        </w:rPr>
        <w:t>.</w:t>
      </w:r>
      <w:r w:rsidRPr="00780276">
        <w:rPr>
          <w:bCs w:val="0"/>
          <w:kern w:val="22"/>
          <w:szCs w:val="22"/>
        </w:rPr>
        <w:t xml:space="preserve"> Official meetings, mandated by </w:t>
      </w:r>
      <w:r w:rsidR="00364B85" w:rsidRPr="00225964">
        <w:rPr>
          <w:bCs w:val="0"/>
          <w:kern w:val="22"/>
          <w:szCs w:val="22"/>
        </w:rPr>
        <w:t>the Conference of the Parties</w:t>
      </w:r>
    </w:p>
    <w:tbl>
      <w:tblPr>
        <w:tblStyle w:val="TableGrid"/>
        <w:tblW w:w="5000" w:type="pct"/>
        <w:jc w:val="center"/>
        <w:tblLayout w:type="fixed"/>
        <w:tblLook w:val="04A0" w:firstRow="1" w:lastRow="0" w:firstColumn="1" w:lastColumn="0" w:noHBand="0" w:noVBand="1"/>
      </w:tblPr>
      <w:tblGrid>
        <w:gridCol w:w="2154"/>
        <w:gridCol w:w="2157"/>
        <w:gridCol w:w="3016"/>
        <w:gridCol w:w="1032"/>
        <w:gridCol w:w="3909"/>
        <w:gridCol w:w="1861"/>
      </w:tblGrid>
      <w:tr w:rsidR="001E2016" w:rsidRPr="00225964" w14:paraId="05FA1B19" w14:textId="77777777" w:rsidTr="00780276">
        <w:trPr>
          <w:cantSplit/>
          <w:tblHeader/>
          <w:jc w:val="center"/>
        </w:trPr>
        <w:tc>
          <w:tcPr>
            <w:tcW w:w="2154" w:type="dxa"/>
            <w:tcBorders>
              <w:bottom w:val="single" w:sz="4" w:space="0" w:color="auto"/>
            </w:tcBorders>
            <w:shd w:val="clear" w:color="auto" w:fill="auto"/>
          </w:tcPr>
          <w:p w14:paraId="4E0D8D52"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Date and location</w:t>
            </w:r>
          </w:p>
        </w:tc>
        <w:tc>
          <w:tcPr>
            <w:tcW w:w="2157" w:type="dxa"/>
            <w:tcBorders>
              <w:bottom w:val="single" w:sz="4" w:space="0" w:color="auto"/>
            </w:tcBorders>
            <w:shd w:val="clear" w:color="auto" w:fill="auto"/>
          </w:tcPr>
          <w:p w14:paraId="78F353C9"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Meeting</w:t>
            </w:r>
          </w:p>
        </w:tc>
        <w:tc>
          <w:tcPr>
            <w:tcW w:w="3016" w:type="dxa"/>
            <w:tcBorders>
              <w:bottom w:val="single" w:sz="4" w:space="0" w:color="auto"/>
            </w:tcBorders>
            <w:shd w:val="clear" w:color="auto" w:fill="auto"/>
          </w:tcPr>
          <w:p w14:paraId="29E22D6C"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Element of the post-2020 global biodiversity framework</w:t>
            </w:r>
          </w:p>
        </w:tc>
        <w:tc>
          <w:tcPr>
            <w:tcW w:w="1032" w:type="dxa"/>
            <w:tcBorders>
              <w:bottom w:val="single" w:sz="4" w:space="0" w:color="auto"/>
            </w:tcBorders>
            <w:shd w:val="clear" w:color="auto" w:fill="auto"/>
          </w:tcPr>
          <w:p w14:paraId="64F5552F"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Mandate</w:t>
            </w:r>
          </w:p>
        </w:tc>
        <w:tc>
          <w:tcPr>
            <w:tcW w:w="3909" w:type="dxa"/>
            <w:tcBorders>
              <w:bottom w:val="single" w:sz="4" w:space="0" w:color="auto"/>
            </w:tcBorders>
            <w:shd w:val="clear" w:color="auto" w:fill="auto"/>
          </w:tcPr>
          <w:p w14:paraId="32D1DAD2"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Role/modality</w:t>
            </w:r>
          </w:p>
        </w:tc>
        <w:tc>
          <w:tcPr>
            <w:tcW w:w="1861" w:type="dxa"/>
            <w:tcBorders>
              <w:bottom w:val="single" w:sz="4" w:space="0" w:color="auto"/>
            </w:tcBorders>
            <w:shd w:val="clear" w:color="auto" w:fill="auto"/>
          </w:tcPr>
          <w:p w14:paraId="37C46F99"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Type</w:t>
            </w:r>
            <w:r w:rsidRPr="00780276">
              <w:rPr>
                <w:rStyle w:val="FootnoteReference"/>
                <w:rFonts w:ascii="Times New Roman" w:hAnsi="Times New Roman" w:cs="Times New Roman"/>
                <w:i/>
                <w:color w:val="000000" w:themeColor="text1"/>
                <w:kern w:val="22"/>
                <w:szCs w:val="22"/>
              </w:rPr>
              <w:footnoteReference w:id="28"/>
            </w:r>
          </w:p>
        </w:tc>
      </w:tr>
      <w:tr w:rsidR="001E2016" w:rsidRPr="00225964" w14:paraId="572B429C" w14:textId="77777777" w:rsidTr="00780276">
        <w:trPr>
          <w:cantSplit/>
          <w:jc w:val="center"/>
        </w:trPr>
        <w:tc>
          <w:tcPr>
            <w:tcW w:w="2154" w:type="dxa"/>
            <w:tcBorders>
              <w:bottom w:val="single" w:sz="4" w:space="0" w:color="auto"/>
            </w:tcBorders>
            <w:shd w:val="clear" w:color="auto" w:fill="FFFFFF" w:themeFill="background1"/>
          </w:tcPr>
          <w:p w14:paraId="66EE51B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22-25 October 2019, Montreal, Canada</w:t>
            </w:r>
          </w:p>
        </w:tc>
        <w:tc>
          <w:tcPr>
            <w:tcW w:w="2157" w:type="dxa"/>
            <w:tcBorders>
              <w:bottom w:val="single" w:sz="4" w:space="0" w:color="auto"/>
            </w:tcBorders>
            <w:shd w:val="clear" w:color="auto" w:fill="FFFFFF" w:themeFill="background1"/>
          </w:tcPr>
          <w:p w14:paraId="5FC2C0A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Liaison Group on the Cartagena Protocol on Biosafety</w:t>
            </w:r>
          </w:p>
        </w:tc>
        <w:tc>
          <w:tcPr>
            <w:tcW w:w="3016" w:type="dxa"/>
            <w:tcBorders>
              <w:bottom w:val="single" w:sz="4" w:space="0" w:color="auto"/>
            </w:tcBorders>
            <w:shd w:val="clear" w:color="auto" w:fill="FFFFFF" w:themeFill="background1"/>
          </w:tcPr>
          <w:p w14:paraId="4D66F18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Biosafety</w:t>
            </w:r>
          </w:p>
        </w:tc>
        <w:tc>
          <w:tcPr>
            <w:tcW w:w="1032" w:type="dxa"/>
            <w:tcBorders>
              <w:bottom w:val="single" w:sz="4" w:space="0" w:color="auto"/>
            </w:tcBorders>
            <w:shd w:val="clear" w:color="auto" w:fill="FFFFFF" w:themeFill="background1"/>
          </w:tcPr>
          <w:p w14:paraId="014CE732"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iCs/>
                <w:snapToGrid w:val="0"/>
                <w:color w:val="000000" w:themeColor="text1"/>
                <w:kern w:val="22"/>
                <w:szCs w:val="22"/>
              </w:rPr>
              <w:t xml:space="preserve">Decision </w:t>
            </w:r>
            <w:hyperlink r:id="rId24" w:history="1">
              <w:r w:rsidRPr="00780276">
                <w:rPr>
                  <w:rStyle w:val="Hyperlink"/>
                  <w:rFonts w:ascii="Times New Roman" w:hAnsi="Times New Roman" w:cs="Times New Roman"/>
                  <w:iCs/>
                  <w:snapToGrid w:val="0"/>
                  <w:color w:val="000000" w:themeColor="text1"/>
                  <w:kern w:val="22"/>
                  <w:sz w:val="22"/>
                  <w:szCs w:val="22"/>
                  <w:u w:val="none"/>
                </w:rPr>
                <w:t>CP-9/7</w:t>
              </w:r>
            </w:hyperlink>
          </w:p>
        </w:tc>
        <w:tc>
          <w:tcPr>
            <w:tcW w:w="3909" w:type="dxa"/>
            <w:tcBorders>
              <w:bottom w:val="single" w:sz="4" w:space="0" w:color="auto"/>
            </w:tcBorders>
            <w:shd w:val="clear" w:color="auto" w:fill="FFFFFF" w:themeFill="background1"/>
          </w:tcPr>
          <w:p w14:paraId="7E4E1525"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iCs/>
                <w:snapToGrid w:val="0"/>
                <w:color w:val="000000" w:themeColor="text1"/>
                <w:kern w:val="22"/>
                <w:szCs w:val="22"/>
              </w:rPr>
              <w:t>The Liaison Group is to prepare a draft of the biosafety component of the post-2020 global biodiversity framework</w:t>
            </w:r>
            <w:r w:rsidRPr="00780276">
              <w:rPr>
                <w:rFonts w:ascii="Times New Roman" w:hAnsi="Times New Roman" w:cs="Times New Roman"/>
                <w:iCs/>
                <w:snapToGrid w:val="0"/>
                <w:kern w:val="22"/>
                <w:szCs w:val="22"/>
                <w:vertAlign w:val="superscript"/>
              </w:rPr>
              <w:footnoteReference w:id="29"/>
            </w:r>
            <w:r w:rsidRPr="00780276">
              <w:rPr>
                <w:rFonts w:ascii="Times New Roman" w:hAnsi="Times New Roman" w:cs="Times New Roman"/>
                <w:iCs/>
                <w:snapToGrid w:val="0"/>
                <w:color w:val="000000" w:themeColor="text1"/>
                <w:kern w:val="22"/>
                <w:szCs w:val="22"/>
              </w:rPr>
              <w:t xml:space="preserve"> which will be submitted to WG2020-2.</w:t>
            </w:r>
          </w:p>
        </w:tc>
        <w:tc>
          <w:tcPr>
            <w:tcW w:w="1861" w:type="dxa"/>
            <w:tcBorders>
              <w:bottom w:val="single" w:sz="4" w:space="0" w:color="auto"/>
            </w:tcBorders>
            <w:shd w:val="clear" w:color="auto" w:fill="FFFFFF" w:themeFill="background1"/>
          </w:tcPr>
          <w:p w14:paraId="148E1E3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Committee</w:t>
            </w:r>
          </w:p>
          <w:p w14:paraId="2B28CC1D"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color w:val="000000" w:themeColor="text1"/>
                <w:kern w:val="22"/>
                <w:szCs w:val="22"/>
              </w:rPr>
              <w:t>2</w:t>
            </w:r>
          </w:p>
        </w:tc>
      </w:tr>
      <w:tr w:rsidR="001E2016" w:rsidRPr="00225964" w14:paraId="42BC481D" w14:textId="77777777" w:rsidTr="00780276">
        <w:trPr>
          <w:cantSplit/>
          <w:jc w:val="center"/>
        </w:trPr>
        <w:tc>
          <w:tcPr>
            <w:tcW w:w="2154" w:type="dxa"/>
            <w:vMerge w:val="restart"/>
            <w:shd w:val="clear" w:color="auto" w:fill="FFFFFF" w:themeFill="background1"/>
          </w:tcPr>
          <w:p w14:paraId="31A73EDA" w14:textId="06F63438"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color w:val="000000" w:themeColor="text1"/>
                <w:kern w:val="22"/>
                <w:szCs w:val="22"/>
              </w:rPr>
              <w:t>20-22 November 2019, Montreal, Canada</w:t>
            </w:r>
          </w:p>
        </w:tc>
        <w:tc>
          <w:tcPr>
            <w:tcW w:w="2157" w:type="dxa"/>
            <w:vMerge w:val="restart"/>
            <w:shd w:val="clear" w:color="auto" w:fill="FFFFFF" w:themeFill="background1"/>
          </w:tcPr>
          <w:p w14:paraId="7823056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Eleventh meeting of the Ad Hoc Open-ended Working Group on Article 8(j) and Related Provisions of the Convention on Biological Diversity</w:t>
            </w:r>
            <w:r w:rsidRPr="00780276" w:rsidDel="00EE767C">
              <w:rPr>
                <w:rFonts w:ascii="Times New Roman" w:hAnsi="Times New Roman" w:cs="Times New Roman"/>
                <w:color w:val="000000" w:themeColor="text1"/>
                <w:kern w:val="22"/>
                <w:szCs w:val="22"/>
              </w:rPr>
              <w:t xml:space="preserve"> </w:t>
            </w:r>
            <w:r w:rsidRPr="00780276">
              <w:rPr>
                <w:rFonts w:ascii="Times New Roman" w:hAnsi="Times New Roman" w:cs="Times New Roman"/>
                <w:color w:val="000000" w:themeColor="text1"/>
                <w:kern w:val="22"/>
                <w:szCs w:val="22"/>
              </w:rPr>
              <w:t>(WG8J)</w:t>
            </w:r>
          </w:p>
        </w:tc>
        <w:tc>
          <w:tcPr>
            <w:tcW w:w="3016" w:type="dxa"/>
            <w:tcBorders>
              <w:bottom w:val="single" w:sz="4" w:space="0" w:color="auto"/>
            </w:tcBorders>
            <w:shd w:val="clear" w:color="auto" w:fill="FFFFFF" w:themeFill="background1"/>
          </w:tcPr>
          <w:p w14:paraId="729393A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Traditional knowledge, innovations and practices</w:t>
            </w:r>
          </w:p>
        </w:tc>
        <w:tc>
          <w:tcPr>
            <w:tcW w:w="1032" w:type="dxa"/>
            <w:tcBorders>
              <w:bottom w:val="single" w:sz="4" w:space="0" w:color="auto"/>
            </w:tcBorders>
            <w:shd w:val="clear" w:color="auto" w:fill="FFFFFF" w:themeFill="background1"/>
          </w:tcPr>
          <w:p w14:paraId="2293D63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Decision 14/34</w:t>
            </w:r>
          </w:p>
        </w:tc>
        <w:tc>
          <w:tcPr>
            <w:tcW w:w="3909" w:type="dxa"/>
            <w:tcBorders>
              <w:bottom w:val="single" w:sz="4" w:space="0" w:color="auto"/>
            </w:tcBorders>
            <w:shd w:val="clear" w:color="auto" w:fill="FFFFFF" w:themeFill="background1"/>
          </w:tcPr>
          <w:p w14:paraId="1C8DDB8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WG8J provides recommendations to the Working Group at its second meeting concerning the potential role of traditional knowledge, customary sustainable use and the contribution of the collective actions of indigenous peoples and local communities to the post-2020 global biodiversity framework</w:t>
            </w:r>
          </w:p>
        </w:tc>
        <w:tc>
          <w:tcPr>
            <w:tcW w:w="1861" w:type="dxa"/>
            <w:vMerge w:val="restart"/>
            <w:shd w:val="clear" w:color="auto" w:fill="FFFFFF" w:themeFill="background1"/>
          </w:tcPr>
          <w:p w14:paraId="092B212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Intergovernmental meeting</w:t>
            </w:r>
          </w:p>
          <w:p w14:paraId="56A2E872"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color w:val="000000" w:themeColor="text1"/>
                <w:kern w:val="22"/>
                <w:szCs w:val="22"/>
              </w:rPr>
              <w:t>1</w:t>
            </w:r>
          </w:p>
        </w:tc>
      </w:tr>
      <w:tr w:rsidR="001E2016" w:rsidRPr="00225964" w14:paraId="6AB4C06F" w14:textId="77777777" w:rsidTr="00780276">
        <w:trPr>
          <w:cantSplit/>
          <w:jc w:val="center"/>
        </w:trPr>
        <w:tc>
          <w:tcPr>
            <w:tcW w:w="2154" w:type="dxa"/>
            <w:vMerge/>
            <w:tcBorders>
              <w:bottom w:val="single" w:sz="4" w:space="0" w:color="auto"/>
            </w:tcBorders>
            <w:shd w:val="clear" w:color="auto" w:fill="auto"/>
          </w:tcPr>
          <w:p w14:paraId="4C274D30" w14:textId="77777777" w:rsidR="001E2016" w:rsidRPr="00225964" w:rsidRDefault="001E2016" w:rsidP="00412F38">
            <w:pPr>
              <w:spacing w:before="40" w:after="40"/>
              <w:jc w:val="left"/>
              <w:rPr>
                <w:rFonts w:ascii="Times New Roman" w:hAnsi="Times New Roman" w:cs="Times New Roman"/>
                <w:color w:val="000000" w:themeColor="text1"/>
                <w:kern w:val="22"/>
                <w:szCs w:val="22"/>
                <w:shd w:val="clear" w:color="auto" w:fill="FFFFFF"/>
              </w:rPr>
            </w:pPr>
          </w:p>
        </w:tc>
        <w:tc>
          <w:tcPr>
            <w:tcW w:w="2157" w:type="dxa"/>
            <w:vMerge/>
            <w:tcBorders>
              <w:bottom w:val="single" w:sz="4" w:space="0" w:color="auto"/>
            </w:tcBorders>
            <w:shd w:val="clear" w:color="auto" w:fill="auto"/>
          </w:tcPr>
          <w:p w14:paraId="1AC8FD50" w14:textId="77777777" w:rsidR="001E2016" w:rsidRPr="00225964" w:rsidRDefault="001E2016" w:rsidP="00412F38">
            <w:pPr>
              <w:spacing w:before="40" w:after="40"/>
              <w:jc w:val="left"/>
              <w:rPr>
                <w:rFonts w:ascii="Times New Roman" w:hAnsi="Times New Roman" w:cs="Times New Roman"/>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2BAA957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snapToGrid w:val="0"/>
                <w:color w:val="000000" w:themeColor="text1"/>
                <w:kern w:val="22"/>
                <w:szCs w:val="22"/>
              </w:rPr>
              <w:t>Requests from the first meeting of the Working Group</w:t>
            </w:r>
          </w:p>
        </w:tc>
        <w:tc>
          <w:tcPr>
            <w:tcW w:w="1032" w:type="dxa"/>
            <w:tcBorders>
              <w:bottom w:val="single" w:sz="4" w:space="0" w:color="auto"/>
            </w:tcBorders>
            <w:shd w:val="clear" w:color="auto" w:fill="FFFFFF" w:themeFill="background1"/>
          </w:tcPr>
          <w:p w14:paraId="4A35DBCA"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p>
        </w:tc>
        <w:tc>
          <w:tcPr>
            <w:tcW w:w="3909" w:type="dxa"/>
            <w:tcBorders>
              <w:bottom w:val="single" w:sz="4" w:space="0" w:color="auto"/>
            </w:tcBorders>
            <w:shd w:val="clear" w:color="auto" w:fill="FFFFFF" w:themeFill="background1"/>
          </w:tcPr>
          <w:p w14:paraId="0F3DA622"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iCs/>
                <w:snapToGrid w:val="0"/>
                <w:color w:val="000000" w:themeColor="text1"/>
                <w:kern w:val="22"/>
                <w:szCs w:val="22"/>
              </w:rPr>
              <w:t>WG8J will consider any additional requests resulting from the first meeting of the Working Group and provide its recommendation to the second meeting of the Working Group</w:t>
            </w:r>
          </w:p>
        </w:tc>
        <w:tc>
          <w:tcPr>
            <w:tcW w:w="1861" w:type="dxa"/>
            <w:vMerge/>
            <w:tcBorders>
              <w:bottom w:val="single" w:sz="4" w:space="0" w:color="auto"/>
            </w:tcBorders>
            <w:shd w:val="clear" w:color="auto" w:fill="auto"/>
          </w:tcPr>
          <w:p w14:paraId="4B1B2059" w14:textId="77777777" w:rsidR="001E2016" w:rsidRPr="00225964" w:rsidRDefault="001E2016" w:rsidP="00412F38">
            <w:pPr>
              <w:spacing w:before="40" w:after="40"/>
              <w:jc w:val="left"/>
              <w:rPr>
                <w:rFonts w:ascii="Times New Roman" w:hAnsi="Times New Roman" w:cs="Times New Roman"/>
                <w:bCs/>
                <w:color w:val="000000" w:themeColor="text1"/>
                <w:kern w:val="22"/>
                <w:szCs w:val="22"/>
                <w:shd w:val="clear" w:color="auto" w:fill="FFFFFF"/>
              </w:rPr>
            </w:pPr>
          </w:p>
        </w:tc>
      </w:tr>
      <w:tr w:rsidR="001E2016" w:rsidRPr="00225964" w14:paraId="507E4E8D" w14:textId="77777777" w:rsidTr="00780276">
        <w:trPr>
          <w:cantSplit/>
          <w:jc w:val="center"/>
        </w:trPr>
        <w:tc>
          <w:tcPr>
            <w:tcW w:w="2154" w:type="dxa"/>
            <w:vMerge w:val="restart"/>
            <w:shd w:val="clear" w:color="auto" w:fill="FFFFFF" w:themeFill="background1"/>
          </w:tcPr>
          <w:p w14:paraId="334754D1" w14:textId="1DEC36B1"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r w:rsidRPr="00780276">
              <w:rPr>
                <w:rFonts w:ascii="Times New Roman" w:hAnsi="Times New Roman" w:cs="Times New Roman"/>
                <w:iCs/>
                <w:snapToGrid w:val="0"/>
                <w:color w:val="000000" w:themeColor="text1"/>
                <w:kern w:val="22"/>
                <w:szCs w:val="22"/>
              </w:rPr>
              <w:t>25-29 November 2019, Montreal</w:t>
            </w:r>
            <w:r w:rsidRPr="00780276">
              <w:rPr>
                <w:rFonts w:ascii="Times New Roman" w:hAnsi="Times New Roman" w:cs="Times New Roman"/>
                <w:color w:val="000000" w:themeColor="text1"/>
                <w:kern w:val="22"/>
                <w:szCs w:val="22"/>
              </w:rPr>
              <w:t>, Canada</w:t>
            </w:r>
          </w:p>
        </w:tc>
        <w:tc>
          <w:tcPr>
            <w:tcW w:w="2157" w:type="dxa"/>
            <w:vMerge w:val="restart"/>
            <w:shd w:val="clear" w:color="auto" w:fill="FFFFFF" w:themeFill="background1"/>
          </w:tcPr>
          <w:p w14:paraId="528D9E6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Twenty-third meeting of the Subsidiary Body on Scientific, Technical and Technological Advice</w:t>
            </w:r>
            <w:r w:rsidRPr="00780276" w:rsidDel="00EE767C">
              <w:rPr>
                <w:rFonts w:ascii="Times New Roman" w:hAnsi="Times New Roman" w:cs="Times New Roman"/>
                <w:iCs/>
                <w:snapToGrid w:val="0"/>
                <w:color w:val="000000" w:themeColor="text1"/>
                <w:kern w:val="22"/>
                <w:szCs w:val="22"/>
              </w:rPr>
              <w:t xml:space="preserve"> </w:t>
            </w:r>
            <w:r w:rsidRPr="00780276">
              <w:rPr>
                <w:rFonts w:ascii="Times New Roman" w:hAnsi="Times New Roman" w:cs="Times New Roman"/>
                <w:iCs/>
                <w:snapToGrid w:val="0"/>
                <w:color w:val="000000" w:themeColor="text1"/>
                <w:kern w:val="22"/>
                <w:szCs w:val="22"/>
              </w:rPr>
              <w:t>(SBSTTA-23)</w:t>
            </w:r>
          </w:p>
        </w:tc>
        <w:tc>
          <w:tcPr>
            <w:tcW w:w="3016" w:type="dxa"/>
            <w:tcBorders>
              <w:bottom w:val="single" w:sz="4" w:space="0" w:color="auto"/>
            </w:tcBorders>
            <w:shd w:val="clear" w:color="auto" w:fill="FFFFFF" w:themeFill="background1"/>
          </w:tcPr>
          <w:p w14:paraId="1E01E1E2"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Science base and evidence</w:t>
            </w:r>
          </w:p>
        </w:tc>
        <w:tc>
          <w:tcPr>
            <w:tcW w:w="1032" w:type="dxa"/>
            <w:tcBorders>
              <w:bottom w:val="single" w:sz="4" w:space="0" w:color="auto"/>
            </w:tcBorders>
            <w:shd w:val="clear" w:color="auto" w:fill="FFFFFF" w:themeFill="background1"/>
          </w:tcPr>
          <w:p w14:paraId="49434B2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Decision </w:t>
            </w:r>
            <w:hyperlink r:id="rId25" w:history="1">
              <w:r w:rsidRPr="00780276">
                <w:rPr>
                  <w:rStyle w:val="Hyperlink"/>
                  <w:rFonts w:ascii="Times New Roman" w:hAnsi="Times New Roman" w:cs="Times New Roman"/>
                  <w:color w:val="000000" w:themeColor="text1"/>
                  <w:kern w:val="22"/>
                  <w:sz w:val="22"/>
                  <w:szCs w:val="22"/>
                  <w:u w:val="none"/>
                </w:rPr>
                <w:t>14/35</w:t>
              </w:r>
            </w:hyperlink>
          </w:p>
        </w:tc>
        <w:tc>
          <w:tcPr>
            <w:tcW w:w="3909" w:type="dxa"/>
            <w:tcBorders>
              <w:bottom w:val="single" w:sz="4" w:space="0" w:color="auto"/>
            </w:tcBorders>
            <w:shd w:val="clear" w:color="auto" w:fill="FFFFFF" w:themeFill="background1"/>
          </w:tcPr>
          <w:p w14:paraId="35A61B63" w14:textId="09FAEBC9"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The progress in preparing the fifth edition of the </w:t>
            </w:r>
            <w:r w:rsidRPr="00780276">
              <w:rPr>
                <w:rFonts w:ascii="Times New Roman" w:hAnsi="Times New Roman" w:cs="Times New Roman"/>
                <w:i/>
                <w:color w:val="000000" w:themeColor="text1"/>
                <w:kern w:val="22"/>
                <w:szCs w:val="22"/>
              </w:rPr>
              <w:t>Global Biodiversity Outlook</w:t>
            </w:r>
            <w:r w:rsidRPr="00780276">
              <w:rPr>
                <w:rFonts w:ascii="Times New Roman" w:hAnsi="Times New Roman" w:cs="Times New Roman"/>
                <w:color w:val="000000" w:themeColor="text1"/>
                <w:kern w:val="22"/>
                <w:szCs w:val="22"/>
              </w:rPr>
              <w:t xml:space="preserve"> and its draft messages and the conclusions from the IPBES </w:t>
            </w:r>
            <w:r w:rsidR="00BC2203" w:rsidRPr="00780276">
              <w:rPr>
                <w:rFonts w:ascii="Times New Roman" w:hAnsi="Times New Roman" w:cs="Times New Roman"/>
                <w:color w:val="000000" w:themeColor="text1"/>
                <w:kern w:val="22"/>
                <w:szCs w:val="22"/>
              </w:rPr>
              <w:t>a</w:t>
            </w:r>
            <w:r w:rsidRPr="00780276">
              <w:rPr>
                <w:rFonts w:ascii="Times New Roman" w:hAnsi="Times New Roman" w:cs="Times New Roman"/>
                <w:color w:val="000000" w:themeColor="text1"/>
                <w:kern w:val="22"/>
                <w:szCs w:val="22"/>
              </w:rPr>
              <w:t>ssessments will be considered. SBSTTA will transmit to the Working Group any results or conclusions from its deliberations which may be relevant to the development of the post-2020 global biodiversity framework for consideration by the Working Group.</w:t>
            </w:r>
          </w:p>
        </w:tc>
        <w:tc>
          <w:tcPr>
            <w:tcW w:w="1861" w:type="dxa"/>
            <w:vMerge w:val="restart"/>
            <w:shd w:val="clear" w:color="auto" w:fill="FFFFFF" w:themeFill="background1"/>
          </w:tcPr>
          <w:p w14:paraId="40757C1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Intergovernmental meeting</w:t>
            </w:r>
          </w:p>
          <w:p w14:paraId="7626FB2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1</w:t>
            </w:r>
          </w:p>
        </w:tc>
      </w:tr>
      <w:tr w:rsidR="001E2016" w:rsidRPr="00225964" w14:paraId="464D8E4D" w14:textId="77777777" w:rsidTr="00780276">
        <w:trPr>
          <w:cantSplit/>
          <w:jc w:val="center"/>
        </w:trPr>
        <w:tc>
          <w:tcPr>
            <w:tcW w:w="2154" w:type="dxa"/>
            <w:vMerge/>
            <w:tcBorders>
              <w:bottom w:val="single" w:sz="4" w:space="0" w:color="auto"/>
            </w:tcBorders>
            <w:shd w:val="clear" w:color="auto" w:fill="FFFFFF" w:themeFill="background1"/>
          </w:tcPr>
          <w:p w14:paraId="18985E67"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tcBorders>
              <w:bottom w:val="single" w:sz="4" w:space="0" w:color="auto"/>
            </w:tcBorders>
            <w:shd w:val="clear" w:color="auto" w:fill="FFFFFF" w:themeFill="background1"/>
          </w:tcPr>
          <w:p w14:paraId="286A4D77"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112AA2FA" w14:textId="77777777" w:rsidR="001E2016" w:rsidRPr="00780276" w:rsidRDefault="001E2016" w:rsidP="00412F38">
            <w:pPr>
              <w:pStyle w:val="Para3"/>
              <w:numPr>
                <w:ilvl w:val="0"/>
                <w:numId w:val="0"/>
              </w:num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snapToGrid w:val="0"/>
                <w:color w:val="000000" w:themeColor="text1"/>
                <w:kern w:val="22"/>
                <w:szCs w:val="22"/>
              </w:rPr>
              <w:t>Requests from the first meeting of the Working Group</w:t>
            </w:r>
          </w:p>
        </w:tc>
        <w:tc>
          <w:tcPr>
            <w:tcW w:w="1032" w:type="dxa"/>
            <w:tcBorders>
              <w:bottom w:val="single" w:sz="4" w:space="0" w:color="auto"/>
            </w:tcBorders>
            <w:shd w:val="clear" w:color="auto" w:fill="FFFFFF" w:themeFill="background1"/>
          </w:tcPr>
          <w:p w14:paraId="2BBB1502"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909" w:type="dxa"/>
            <w:tcBorders>
              <w:bottom w:val="single" w:sz="4" w:space="0" w:color="auto"/>
            </w:tcBorders>
            <w:shd w:val="clear" w:color="auto" w:fill="FFFFFF" w:themeFill="background1"/>
          </w:tcPr>
          <w:p w14:paraId="4321AC7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SBSTTA will consider any additional requests resulting from the first meeting of the Working Group and provide its recommendation to the second meeting of the Working Group</w:t>
            </w:r>
          </w:p>
        </w:tc>
        <w:tc>
          <w:tcPr>
            <w:tcW w:w="1861" w:type="dxa"/>
            <w:vMerge/>
            <w:tcBorders>
              <w:bottom w:val="single" w:sz="4" w:space="0" w:color="auto"/>
            </w:tcBorders>
            <w:shd w:val="clear" w:color="auto" w:fill="FFFFFF" w:themeFill="background1"/>
          </w:tcPr>
          <w:p w14:paraId="7DE1462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225964" w14:paraId="7E197060" w14:textId="77777777" w:rsidTr="00780276">
        <w:trPr>
          <w:cantSplit/>
          <w:jc w:val="center"/>
        </w:trPr>
        <w:tc>
          <w:tcPr>
            <w:tcW w:w="2154" w:type="dxa"/>
            <w:tcBorders>
              <w:bottom w:val="single" w:sz="4" w:space="0" w:color="auto"/>
            </w:tcBorders>
            <w:shd w:val="clear" w:color="auto" w:fill="FFFFFF" w:themeFill="background1"/>
          </w:tcPr>
          <w:p w14:paraId="2859001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24-28 February 2020, Kunming, China</w:t>
            </w:r>
          </w:p>
        </w:tc>
        <w:tc>
          <w:tcPr>
            <w:tcW w:w="2157" w:type="dxa"/>
            <w:tcBorders>
              <w:bottom w:val="single" w:sz="4" w:space="0" w:color="auto"/>
            </w:tcBorders>
            <w:shd w:val="clear" w:color="auto" w:fill="FFFFFF" w:themeFill="background1"/>
          </w:tcPr>
          <w:p w14:paraId="7965E75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Second meeting of the Working Group</w:t>
            </w:r>
          </w:p>
        </w:tc>
        <w:tc>
          <w:tcPr>
            <w:tcW w:w="3016" w:type="dxa"/>
            <w:tcBorders>
              <w:bottom w:val="single" w:sz="4" w:space="0" w:color="auto"/>
            </w:tcBorders>
            <w:shd w:val="clear" w:color="auto" w:fill="FFFFFF" w:themeFill="background1"/>
          </w:tcPr>
          <w:p w14:paraId="556A000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Scope and content of the post-2020 global biodiversity framework</w:t>
            </w:r>
          </w:p>
        </w:tc>
        <w:tc>
          <w:tcPr>
            <w:tcW w:w="1032" w:type="dxa"/>
            <w:tcBorders>
              <w:bottom w:val="single" w:sz="4" w:space="0" w:color="auto"/>
            </w:tcBorders>
            <w:shd w:val="clear" w:color="auto" w:fill="FFFFFF" w:themeFill="background1"/>
          </w:tcPr>
          <w:p w14:paraId="5E8EEDC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color w:val="000000" w:themeColor="text1"/>
                <w:kern w:val="22"/>
                <w:szCs w:val="22"/>
              </w:rPr>
              <w:t>Decision 14/34</w:t>
            </w:r>
          </w:p>
        </w:tc>
        <w:tc>
          <w:tcPr>
            <w:tcW w:w="3909" w:type="dxa"/>
            <w:tcBorders>
              <w:bottom w:val="single" w:sz="4" w:space="0" w:color="auto"/>
            </w:tcBorders>
            <w:shd w:val="clear" w:color="auto" w:fill="FFFFFF" w:themeFill="background1"/>
          </w:tcPr>
          <w:p w14:paraId="2C447C6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To initiate negotiations text on the post-2020 global biodiversity framework based on the co-chairs preliminary draft.</w:t>
            </w:r>
          </w:p>
        </w:tc>
        <w:tc>
          <w:tcPr>
            <w:tcW w:w="1861" w:type="dxa"/>
            <w:tcBorders>
              <w:bottom w:val="single" w:sz="4" w:space="0" w:color="auto"/>
            </w:tcBorders>
            <w:shd w:val="clear" w:color="auto" w:fill="FFFFFF" w:themeFill="background1"/>
          </w:tcPr>
          <w:p w14:paraId="5A64589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Intergovernmental meeting</w:t>
            </w:r>
          </w:p>
          <w:p w14:paraId="56A7CAB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1</w:t>
            </w:r>
          </w:p>
        </w:tc>
      </w:tr>
      <w:tr w:rsidR="001E2016" w:rsidRPr="00225964" w14:paraId="186AA484" w14:textId="77777777" w:rsidTr="00780276">
        <w:trPr>
          <w:cantSplit/>
          <w:jc w:val="center"/>
        </w:trPr>
        <w:tc>
          <w:tcPr>
            <w:tcW w:w="2154" w:type="dxa"/>
            <w:shd w:val="clear" w:color="auto" w:fill="FFFFFF" w:themeFill="background1"/>
          </w:tcPr>
          <w:p w14:paraId="30F90A29"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color w:val="000000" w:themeColor="text1"/>
                <w:kern w:val="22"/>
                <w:szCs w:val="22"/>
              </w:rPr>
              <w:t>17-20 March 2020, Montreal, Canada</w:t>
            </w:r>
          </w:p>
        </w:tc>
        <w:tc>
          <w:tcPr>
            <w:tcW w:w="2157" w:type="dxa"/>
            <w:shd w:val="clear" w:color="auto" w:fill="FFFFFF" w:themeFill="background1"/>
          </w:tcPr>
          <w:p w14:paraId="5D07A75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Ad Hoc Technical Expert Group on D</w:t>
            </w:r>
            <w:r w:rsidRPr="00780276">
              <w:rPr>
                <w:rFonts w:ascii="Times New Roman" w:hAnsi="Times New Roman" w:cs="Times New Roman"/>
                <w:color w:val="000000" w:themeColor="text1"/>
                <w:kern w:val="22"/>
                <w:szCs w:val="22"/>
              </w:rPr>
              <w:t>igital Sequence Information</w:t>
            </w:r>
          </w:p>
        </w:tc>
        <w:tc>
          <w:tcPr>
            <w:tcW w:w="3016" w:type="dxa"/>
            <w:shd w:val="clear" w:color="auto" w:fill="FFFFFF" w:themeFill="background1"/>
          </w:tcPr>
          <w:p w14:paraId="09AB129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Digital sequence information</w:t>
            </w:r>
          </w:p>
        </w:tc>
        <w:tc>
          <w:tcPr>
            <w:tcW w:w="1032" w:type="dxa"/>
            <w:shd w:val="clear" w:color="auto" w:fill="FFFFFF" w:themeFill="background1"/>
          </w:tcPr>
          <w:p w14:paraId="02F4F2D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 xml:space="preserve">Decision </w:t>
            </w:r>
            <w:hyperlink r:id="rId26" w:history="1">
              <w:r w:rsidRPr="00780276">
                <w:rPr>
                  <w:rStyle w:val="Hyperlink"/>
                  <w:rFonts w:ascii="Times New Roman" w:hAnsi="Times New Roman" w:cs="Times New Roman"/>
                  <w:iCs/>
                  <w:snapToGrid w:val="0"/>
                  <w:color w:val="000000" w:themeColor="text1"/>
                  <w:kern w:val="22"/>
                  <w:sz w:val="22"/>
                  <w:szCs w:val="22"/>
                  <w:u w:val="none"/>
                </w:rPr>
                <w:t>14/20</w:t>
              </w:r>
            </w:hyperlink>
          </w:p>
        </w:tc>
        <w:tc>
          <w:tcPr>
            <w:tcW w:w="3909" w:type="dxa"/>
            <w:shd w:val="clear" w:color="auto" w:fill="FFFFFF" w:themeFill="background1"/>
          </w:tcPr>
          <w:p w14:paraId="0A15D11E" w14:textId="77777777" w:rsidR="001E2016" w:rsidRPr="00780276" w:rsidRDefault="001E2016" w:rsidP="00412F38">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The extended Ad Hoc Technical Expert Group on D</w:t>
            </w:r>
            <w:r w:rsidRPr="00780276">
              <w:rPr>
                <w:rFonts w:ascii="Times New Roman" w:hAnsi="Times New Roman" w:cs="Times New Roman"/>
                <w:color w:val="000000" w:themeColor="text1"/>
                <w:kern w:val="22"/>
                <w:szCs w:val="22"/>
              </w:rPr>
              <w:t xml:space="preserve">igital Sequence Information </w:t>
            </w:r>
            <w:r w:rsidRPr="00780276">
              <w:rPr>
                <w:rFonts w:ascii="Times New Roman" w:hAnsi="Times New Roman" w:cs="Times New Roman"/>
                <w:iCs/>
                <w:snapToGrid w:val="0"/>
                <w:color w:val="000000" w:themeColor="text1"/>
                <w:kern w:val="22"/>
                <w:szCs w:val="22"/>
              </w:rPr>
              <w:t>makes recommendations to WG2020-3 on how to address digital sequence information on genetic resources in the context of the post-2020 global biodiversity framework</w:t>
            </w:r>
          </w:p>
        </w:tc>
        <w:tc>
          <w:tcPr>
            <w:tcW w:w="1861" w:type="dxa"/>
            <w:shd w:val="clear" w:color="auto" w:fill="FFFFFF" w:themeFill="background1"/>
          </w:tcPr>
          <w:p w14:paraId="020434A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Committee</w:t>
            </w:r>
          </w:p>
          <w:p w14:paraId="7664E9CF" w14:textId="77777777" w:rsidR="001E2016" w:rsidRPr="00780276" w:rsidRDefault="001E2016" w:rsidP="00412F38">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color w:val="000000" w:themeColor="text1"/>
                <w:kern w:val="22"/>
                <w:szCs w:val="22"/>
              </w:rPr>
              <w:t>2</w:t>
            </w:r>
          </w:p>
        </w:tc>
      </w:tr>
      <w:tr w:rsidR="001E2016" w:rsidRPr="00225964" w14:paraId="4FA2823F" w14:textId="77777777" w:rsidTr="00780276">
        <w:trPr>
          <w:cantSplit/>
          <w:jc w:val="center"/>
        </w:trPr>
        <w:tc>
          <w:tcPr>
            <w:tcW w:w="2154" w:type="dxa"/>
            <w:tcBorders>
              <w:bottom w:val="single" w:sz="4" w:space="0" w:color="auto"/>
            </w:tcBorders>
            <w:shd w:val="clear" w:color="auto" w:fill="FFFFFF" w:themeFill="background1"/>
          </w:tcPr>
          <w:p w14:paraId="4E36184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21-23 April 2020, Montreal, Canada</w:t>
            </w:r>
          </w:p>
        </w:tc>
        <w:tc>
          <w:tcPr>
            <w:tcW w:w="2157" w:type="dxa"/>
            <w:tcBorders>
              <w:bottom w:val="single" w:sz="4" w:space="0" w:color="auto"/>
            </w:tcBorders>
            <w:shd w:val="clear" w:color="auto" w:fill="FFFFFF" w:themeFill="background1"/>
          </w:tcPr>
          <w:p w14:paraId="0C4DF16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Compliance Committee under the Nagoya Protocol</w:t>
            </w:r>
          </w:p>
        </w:tc>
        <w:tc>
          <w:tcPr>
            <w:tcW w:w="3016" w:type="dxa"/>
            <w:tcBorders>
              <w:bottom w:val="single" w:sz="4" w:space="0" w:color="auto"/>
            </w:tcBorders>
            <w:shd w:val="clear" w:color="auto" w:fill="FFFFFF" w:themeFill="background1"/>
          </w:tcPr>
          <w:p w14:paraId="2531AF5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Nagoya Protocol/</w:t>
            </w:r>
            <w:r w:rsidRPr="00780276">
              <w:rPr>
                <w:rFonts w:ascii="Times New Roman" w:hAnsi="Times New Roman" w:cs="Times New Roman"/>
                <w:color w:val="000000" w:themeColor="text1"/>
                <w:kern w:val="22"/>
                <w:szCs w:val="22"/>
              </w:rPr>
              <w:br/>
              <w:t>Access and benefit-sharing</w:t>
            </w:r>
          </w:p>
        </w:tc>
        <w:tc>
          <w:tcPr>
            <w:tcW w:w="1032" w:type="dxa"/>
            <w:tcBorders>
              <w:bottom w:val="single" w:sz="4" w:space="0" w:color="auto"/>
            </w:tcBorders>
            <w:shd w:val="clear" w:color="auto" w:fill="FFFFFF" w:themeFill="background1"/>
          </w:tcPr>
          <w:p w14:paraId="7E2070A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 xml:space="preserve">Decision </w:t>
            </w:r>
            <w:hyperlink r:id="rId27" w:history="1">
              <w:r w:rsidRPr="00780276">
                <w:rPr>
                  <w:rStyle w:val="Hyperlink"/>
                  <w:rFonts w:ascii="Times New Roman" w:hAnsi="Times New Roman" w:cs="Times New Roman"/>
                  <w:iCs/>
                  <w:snapToGrid w:val="0"/>
                  <w:color w:val="000000" w:themeColor="text1"/>
                  <w:kern w:val="22"/>
                  <w:sz w:val="22"/>
                  <w:szCs w:val="22"/>
                  <w:u w:val="none"/>
                </w:rPr>
                <w:t>NP-3/15</w:t>
              </w:r>
            </w:hyperlink>
          </w:p>
        </w:tc>
        <w:tc>
          <w:tcPr>
            <w:tcW w:w="3909" w:type="dxa"/>
            <w:tcBorders>
              <w:bottom w:val="single" w:sz="4" w:space="0" w:color="auto"/>
            </w:tcBorders>
            <w:shd w:val="clear" w:color="auto" w:fill="FFFFFF" w:themeFill="background1"/>
          </w:tcPr>
          <w:p w14:paraId="3D8F6F0B" w14:textId="7A343C6E"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The Compliance Committee considers how to support and promote compliance with the Nagoya Protocol within the post</w:t>
            </w:r>
            <w:r w:rsidR="00F13D86" w:rsidRPr="00780276">
              <w:rPr>
                <w:rFonts w:ascii="Times New Roman" w:hAnsi="Times New Roman" w:cs="Times New Roman"/>
                <w:iCs/>
                <w:snapToGrid w:val="0"/>
                <w:color w:val="000000" w:themeColor="text1"/>
                <w:kern w:val="22"/>
                <w:szCs w:val="22"/>
              </w:rPr>
              <w:noBreakHyphen/>
            </w:r>
            <w:r w:rsidRPr="00780276">
              <w:rPr>
                <w:rFonts w:ascii="Times New Roman" w:hAnsi="Times New Roman" w:cs="Times New Roman"/>
                <w:iCs/>
                <w:snapToGrid w:val="0"/>
                <w:color w:val="000000" w:themeColor="text1"/>
                <w:kern w:val="22"/>
                <w:szCs w:val="22"/>
              </w:rPr>
              <w:t>2020 global biodiversity framework. The Committee may make recommendations to WG2020-3.</w:t>
            </w:r>
          </w:p>
        </w:tc>
        <w:tc>
          <w:tcPr>
            <w:tcW w:w="1861" w:type="dxa"/>
            <w:tcBorders>
              <w:bottom w:val="single" w:sz="4" w:space="0" w:color="auto"/>
            </w:tcBorders>
            <w:shd w:val="clear" w:color="auto" w:fill="FFFFFF" w:themeFill="background1"/>
          </w:tcPr>
          <w:p w14:paraId="42A3DCE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Committee</w:t>
            </w:r>
          </w:p>
          <w:p w14:paraId="235D5C16"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color w:val="000000" w:themeColor="text1"/>
                <w:kern w:val="22"/>
                <w:szCs w:val="22"/>
              </w:rPr>
              <w:t>2</w:t>
            </w:r>
          </w:p>
        </w:tc>
      </w:tr>
      <w:tr w:rsidR="001E2016" w:rsidRPr="00225964" w14:paraId="60E67D6E" w14:textId="77777777" w:rsidTr="00780276">
        <w:trPr>
          <w:cantSplit/>
          <w:jc w:val="center"/>
        </w:trPr>
        <w:tc>
          <w:tcPr>
            <w:tcW w:w="2154" w:type="dxa"/>
            <w:vMerge w:val="restart"/>
            <w:shd w:val="clear" w:color="auto" w:fill="FFFFFF" w:themeFill="background1"/>
          </w:tcPr>
          <w:p w14:paraId="286B84F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18-23 May 2020, Montreal, Canada</w:t>
            </w:r>
          </w:p>
        </w:tc>
        <w:tc>
          <w:tcPr>
            <w:tcW w:w="2157" w:type="dxa"/>
            <w:vMerge w:val="restart"/>
            <w:shd w:val="clear" w:color="auto" w:fill="FFFFFF" w:themeFill="background1"/>
          </w:tcPr>
          <w:p w14:paraId="3FD844D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Twenty-fourth meeting of the Subsidiary Body on Scientific, Technical and Technological Advice</w:t>
            </w:r>
            <w:r w:rsidRPr="00780276" w:rsidDel="00EE767C">
              <w:rPr>
                <w:rFonts w:ascii="Times New Roman" w:hAnsi="Times New Roman" w:cs="Times New Roman"/>
                <w:color w:val="000000" w:themeColor="text1"/>
                <w:kern w:val="22"/>
                <w:szCs w:val="22"/>
              </w:rPr>
              <w:t xml:space="preserve"> </w:t>
            </w:r>
            <w:r w:rsidRPr="00780276">
              <w:rPr>
                <w:rFonts w:ascii="Times New Roman" w:hAnsi="Times New Roman" w:cs="Times New Roman"/>
                <w:color w:val="000000" w:themeColor="text1"/>
                <w:kern w:val="22"/>
                <w:szCs w:val="22"/>
              </w:rPr>
              <w:t>(SBSTTA-24)</w:t>
            </w:r>
          </w:p>
        </w:tc>
        <w:tc>
          <w:tcPr>
            <w:tcW w:w="3016" w:type="dxa"/>
            <w:shd w:val="clear" w:color="auto" w:fill="FFFFFF" w:themeFill="background1"/>
          </w:tcPr>
          <w:p w14:paraId="66D6529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Validation of goals, targets, indicators, baselines and monitoring framework</w:t>
            </w:r>
          </w:p>
        </w:tc>
        <w:tc>
          <w:tcPr>
            <w:tcW w:w="1032" w:type="dxa"/>
            <w:shd w:val="clear" w:color="auto" w:fill="FFFFFF" w:themeFill="background1"/>
          </w:tcPr>
          <w:p w14:paraId="472B13D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Decision </w:t>
            </w:r>
            <w:hyperlink r:id="rId28" w:history="1">
              <w:r w:rsidRPr="00780276">
                <w:rPr>
                  <w:rStyle w:val="Hyperlink"/>
                  <w:rFonts w:ascii="Times New Roman" w:hAnsi="Times New Roman" w:cs="Times New Roman"/>
                  <w:color w:val="000000" w:themeColor="text1"/>
                  <w:kern w:val="22"/>
                  <w:sz w:val="22"/>
                  <w:szCs w:val="22"/>
                  <w:u w:val="none"/>
                </w:rPr>
                <w:t>14/35</w:t>
              </w:r>
            </w:hyperlink>
          </w:p>
        </w:tc>
        <w:tc>
          <w:tcPr>
            <w:tcW w:w="3909" w:type="dxa"/>
            <w:shd w:val="clear" w:color="auto" w:fill="FFFFFF" w:themeFill="background1"/>
          </w:tcPr>
          <w:p w14:paraId="5AA506A8" w14:textId="40FF53ED"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SBSTTA will consider the results of the first and second meetings of the Working Group and, on that basis, make recommendations regarding the scientific and technical elements of the post-2020 global biodiversity framework to WG2020-3</w:t>
            </w:r>
          </w:p>
        </w:tc>
        <w:tc>
          <w:tcPr>
            <w:tcW w:w="1861" w:type="dxa"/>
            <w:vMerge w:val="restart"/>
            <w:shd w:val="clear" w:color="auto" w:fill="FFFFFF" w:themeFill="background1"/>
          </w:tcPr>
          <w:p w14:paraId="07FD35E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Intergovernmental meeting</w:t>
            </w:r>
          </w:p>
          <w:p w14:paraId="180A5EE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1</w:t>
            </w:r>
          </w:p>
        </w:tc>
      </w:tr>
      <w:tr w:rsidR="001E2016" w:rsidRPr="00225964" w14:paraId="75FFBC37" w14:textId="77777777" w:rsidTr="00780276">
        <w:trPr>
          <w:cantSplit/>
          <w:jc w:val="center"/>
        </w:trPr>
        <w:tc>
          <w:tcPr>
            <w:tcW w:w="2154" w:type="dxa"/>
            <w:vMerge/>
            <w:shd w:val="clear" w:color="auto" w:fill="FFFFFF" w:themeFill="background1"/>
          </w:tcPr>
          <w:p w14:paraId="0566DECC"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FFFFFF" w:themeFill="background1"/>
          </w:tcPr>
          <w:p w14:paraId="567DF8EC"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39C35425" w14:textId="77777777" w:rsidR="001E2016" w:rsidRPr="00780276" w:rsidRDefault="001E2016" w:rsidP="00412F38">
            <w:pPr>
              <w:pStyle w:val="Para10"/>
              <w:numPr>
                <w:ilvl w:val="0"/>
                <w:numId w:val="0"/>
              </w:numPr>
              <w:spacing w:before="40" w:after="40"/>
              <w:jc w:val="left"/>
              <w:rPr>
                <w:rFonts w:ascii="Times New Roman" w:eastAsia="Malgun Gothic" w:hAnsi="Times New Roman" w:cs="Times New Roman"/>
                <w:color w:val="000000" w:themeColor="text1"/>
                <w:kern w:val="22"/>
                <w:szCs w:val="22"/>
              </w:rPr>
            </w:pPr>
            <w:r w:rsidRPr="00780276">
              <w:rPr>
                <w:rFonts w:ascii="Times New Roman" w:hAnsi="Times New Roman" w:cs="Times New Roman"/>
                <w:color w:val="000000" w:themeColor="text1"/>
                <w:kern w:val="22"/>
                <w:szCs w:val="22"/>
              </w:rPr>
              <w:t>Requests from the meetings of the Working Group</w:t>
            </w:r>
          </w:p>
        </w:tc>
        <w:tc>
          <w:tcPr>
            <w:tcW w:w="1032" w:type="dxa"/>
            <w:shd w:val="clear" w:color="auto" w:fill="FFFFFF" w:themeFill="background1"/>
          </w:tcPr>
          <w:p w14:paraId="157FE430"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p>
        </w:tc>
        <w:tc>
          <w:tcPr>
            <w:tcW w:w="3909" w:type="dxa"/>
            <w:shd w:val="clear" w:color="auto" w:fill="FFFFFF" w:themeFill="background1"/>
          </w:tcPr>
          <w:p w14:paraId="6661C99F" w14:textId="1E4390A1" w:rsidR="001E2016" w:rsidRPr="00780276" w:rsidRDefault="001E2016" w:rsidP="00412F38">
            <w:pPr>
              <w:pStyle w:val="Para10"/>
              <w:numPr>
                <w:ilvl w:val="0"/>
                <w:numId w:val="0"/>
              </w:num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SBSTTA will consider any requests resulting from the first and second meetings of the Working Group and provide its recommendation to WG2020</w:t>
            </w:r>
            <w:r w:rsidR="00F13D86" w:rsidRPr="00780276">
              <w:rPr>
                <w:rFonts w:ascii="Times New Roman" w:hAnsi="Times New Roman" w:cs="Times New Roman"/>
                <w:color w:val="000000" w:themeColor="text1"/>
                <w:kern w:val="22"/>
                <w:szCs w:val="22"/>
              </w:rPr>
              <w:noBreakHyphen/>
            </w:r>
            <w:r w:rsidRPr="00780276">
              <w:rPr>
                <w:rFonts w:ascii="Times New Roman" w:hAnsi="Times New Roman" w:cs="Times New Roman"/>
                <w:color w:val="000000" w:themeColor="text1"/>
                <w:kern w:val="22"/>
                <w:szCs w:val="22"/>
              </w:rPr>
              <w:t>3</w:t>
            </w:r>
          </w:p>
        </w:tc>
        <w:tc>
          <w:tcPr>
            <w:tcW w:w="1861" w:type="dxa"/>
            <w:vMerge/>
            <w:shd w:val="clear" w:color="auto" w:fill="FFFFFF" w:themeFill="background1"/>
          </w:tcPr>
          <w:p w14:paraId="5080BDD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225964" w14:paraId="1763CC3F" w14:textId="77777777" w:rsidTr="00780276">
        <w:trPr>
          <w:cantSplit/>
          <w:jc w:val="center"/>
        </w:trPr>
        <w:tc>
          <w:tcPr>
            <w:tcW w:w="2154" w:type="dxa"/>
            <w:vMerge w:val="restart"/>
            <w:shd w:val="clear" w:color="auto" w:fill="FFFFFF" w:themeFill="background1"/>
          </w:tcPr>
          <w:p w14:paraId="6EE48563"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color w:val="000000" w:themeColor="text1"/>
                <w:kern w:val="22"/>
                <w:szCs w:val="22"/>
              </w:rPr>
              <w:t>25-30 May 2020,</w:t>
            </w:r>
            <w:r w:rsidRPr="00780276">
              <w:rPr>
                <w:rFonts w:ascii="Times New Roman" w:hAnsi="Times New Roman" w:cs="Times New Roman"/>
                <w:color w:val="000000" w:themeColor="text1"/>
                <w:kern w:val="22"/>
                <w:szCs w:val="22"/>
                <w:shd w:val="clear" w:color="auto" w:fill="FFFFFF"/>
              </w:rPr>
              <w:t xml:space="preserve"> </w:t>
            </w:r>
            <w:r w:rsidRPr="00780276">
              <w:rPr>
                <w:rFonts w:ascii="Times New Roman" w:hAnsi="Times New Roman" w:cs="Times New Roman"/>
                <w:color w:val="000000" w:themeColor="text1"/>
                <w:kern w:val="22"/>
                <w:szCs w:val="22"/>
              </w:rPr>
              <w:t>Montreal, Canada</w:t>
            </w:r>
          </w:p>
        </w:tc>
        <w:tc>
          <w:tcPr>
            <w:tcW w:w="2157" w:type="dxa"/>
            <w:vMerge w:val="restart"/>
            <w:shd w:val="clear" w:color="auto" w:fill="FFFFFF" w:themeFill="background1"/>
          </w:tcPr>
          <w:p w14:paraId="4FDE071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Third meeting of the Subsidiary Body on Implementation (SBI</w:t>
            </w:r>
            <w:r w:rsidRPr="00780276">
              <w:rPr>
                <w:rFonts w:ascii="Times New Roman" w:hAnsi="Times New Roman" w:cs="Times New Roman"/>
                <w:color w:val="000000" w:themeColor="text1"/>
                <w:kern w:val="22"/>
                <w:szCs w:val="22"/>
              </w:rPr>
              <w:noBreakHyphen/>
              <w:t>3)</w:t>
            </w:r>
          </w:p>
        </w:tc>
        <w:tc>
          <w:tcPr>
            <w:tcW w:w="3016" w:type="dxa"/>
            <w:tcBorders>
              <w:bottom w:val="single" w:sz="4" w:space="0" w:color="auto"/>
            </w:tcBorders>
            <w:shd w:val="clear" w:color="auto" w:fill="FFFFFF" w:themeFill="background1"/>
          </w:tcPr>
          <w:p w14:paraId="13C325B9"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Resource mobilization</w:t>
            </w:r>
          </w:p>
        </w:tc>
        <w:tc>
          <w:tcPr>
            <w:tcW w:w="1032" w:type="dxa"/>
            <w:tcBorders>
              <w:bottom w:val="single" w:sz="4" w:space="0" w:color="auto"/>
            </w:tcBorders>
            <w:shd w:val="clear" w:color="auto" w:fill="FFFFFF" w:themeFill="background1"/>
          </w:tcPr>
          <w:p w14:paraId="408AE34D"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 xml:space="preserve">Decision </w:t>
            </w:r>
            <w:hyperlink r:id="rId29" w:history="1">
              <w:r w:rsidRPr="00780276">
                <w:rPr>
                  <w:rStyle w:val="Hyperlink"/>
                  <w:rFonts w:ascii="Times New Roman" w:hAnsi="Times New Roman" w:cs="Times New Roman"/>
                  <w:iCs/>
                  <w:snapToGrid w:val="0"/>
                  <w:color w:val="000000" w:themeColor="text1"/>
                  <w:kern w:val="22"/>
                  <w:sz w:val="22"/>
                  <w:szCs w:val="22"/>
                  <w:u w:val="none"/>
                </w:rPr>
                <w:t>14/22</w:t>
              </w:r>
            </w:hyperlink>
          </w:p>
        </w:tc>
        <w:tc>
          <w:tcPr>
            <w:tcW w:w="3909" w:type="dxa"/>
            <w:tcBorders>
              <w:bottom w:val="single" w:sz="4" w:space="0" w:color="auto"/>
            </w:tcBorders>
            <w:shd w:val="clear" w:color="auto" w:fill="FFFFFF" w:themeFill="background1"/>
          </w:tcPr>
          <w:p w14:paraId="2B3EEA8C" w14:textId="211028B0"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 xml:space="preserve">SBI will consider the results of the work of a panel of experts to prepare reports on several issues related to the resource mobilization component of the post-2020 global biodiversity framework and provide recommendations to </w:t>
            </w:r>
            <w:r w:rsidRPr="00780276">
              <w:rPr>
                <w:rFonts w:ascii="Times New Roman" w:hAnsi="Times New Roman" w:cs="Times New Roman"/>
                <w:iCs/>
                <w:color w:val="000000" w:themeColor="text1"/>
                <w:kern w:val="22"/>
                <w:szCs w:val="22"/>
              </w:rPr>
              <w:t>WG2020-3</w:t>
            </w:r>
          </w:p>
        </w:tc>
        <w:tc>
          <w:tcPr>
            <w:tcW w:w="1861" w:type="dxa"/>
            <w:vMerge w:val="restart"/>
            <w:shd w:val="clear" w:color="auto" w:fill="FFFFFF" w:themeFill="background1"/>
          </w:tcPr>
          <w:p w14:paraId="27B8D414"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Intergovernmental meeting</w:t>
            </w:r>
          </w:p>
          <w:p w14:paraId="78ACC739" w14:textId="77777777"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color w:val="000000" w:themeColor="text1"/>
                <w:kern w:val="22"/>
                <w:szCs w:val="22"/>
              </w:rPr>
              <w:t>1</w:t>
            </w:r>
          </w:p>
        </w:tc>
      </w:tr>
      <w:tr w:rsidR="001E2016" w:rsidRPr="00225964" w14:paraId="00334E08" w14:textId="77777777" w:rsidTr="00780276">
        <w:trPr>
          <w:cantSplit/>
          <w:jc w:val="center"/>
        </w:trPr>
        <w:tc>
          <w:tcPr>
            <w:tcW w:w="2154" w:type="dxa"/>
            <w:vMerge/>
            <w:shd w:val="clear" w:color="auto" w:fill="auto"/>
          </w:tcPr>
          <w:p w14:paraId="6A9F4E26"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7C85E9A8"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3861DAC7"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 financial mechanism</w:t>
            </w:r>
          </w:p>
        </w:tc>
        <w:tc>
          <w:tcPr>
            <w:tcW w:w="1032" w:type="dxa"/>
            <w:tcBorders>
              <w:bottom w:val="single" w:sz="4" w:space="0" w:color="auto"/>
            </w:tcBorders>
            <w:shd w:val="clear" w:color="auto" w:fill="FFFFFF" w:themeFill="background1"/>
          </w:tcPr>
          <w:p w14:paraId="1D12CACE" w14:textId="77777777" w:rsidR="001E2016" w:rsidRPr="00780276" w:rsidRDefault="001E2016" w:rsidP="00780276">
            <w:pPr>
              <w:keepNext/>
              <w:keepLines/>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iCs/>
                <w:snapToGrid w:val="0"/>
                <w:color w:val="000000" w:themeColor="text1"/>
                <w:kern w:val="22"/>
                <w:szCs w:val="22"/>
              </w:rPr>
              <w:t>Decision 14/23</w:t>
            </w:r>
          </w:p>
        </w:tc>
        <w:tc>
          <w:tcPr>
            <w:tcW w:w="3909" w:type="dxa"/>
            <w:tcBorders>
              <w:bottom w:val="single" w:sz="4" w:space="0" w:color="auto"/>
            </w:tcBorders>
            <w:shd w:val="clear" w:color="auto" w:fill="FFFFFF" w:themeFill="background1"/>
          </w:tcPr>
          <w:p w14:paraId="74FAF163" w14:textId="77777777"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iCs/>
                <w:color w:val="000000" w:themeColor="text1"/>
                <w:kern w:val="22"/>
                <w:szCs w:val="22"/>
              </w:rPr>
              <w:t xml:space="preserve">SBI will consider </w:t>
            </w:r>
            <w:r w:rsidRPr="00780276">
              <w:rPr>
                <w:rFonts w:ascii="Times New Roman" w:hAnsi="Times New Roman" w:cs="Times New Roman"/>
                <w:iCs/>
                <w:snapToGrid w:val="0"/>
                <w:color w:val="000000" w:themeColor="text1"/>
                <w:kern w:val="22"/>
                <w:szCs w:val="22"/>
              </w:rPr>
              <w:t>the reports of the expert panel established by decision 14/23 as well as views by Parties and provide recommendations to WG2020-3</w:t>
            </w:r>
          </w:p>
        </w:tc>
        <w:tc>
          <w:tcPr>
            <w:tcW w:w="1861" w:type="dxa"/>
            <w:vMerge/>
            <w:shd w:val="clear" w:color="auto" w:fill="auto"/>
          </w:tcPr>
          <w:p w14:paraId="5A0B57C7" w14:textId="77777777" w:rsidR="001E2016" w:rsidRPr="00225964"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color w:val="000000" w:themeColor="text1"/>
                <w:kern w:val="22"/>
                <w:szCs w:val="22"/>
              </w:rPr>
            </w:pPr>
          </w:p>
        </w:tc>
      </w:tr>
      <w:tr w:rsidR="001E2016" w:rsidRPr="00225964" w14:paraId="2661ECB6" w14:textId="77777777" w:rsidTr="00780276">
        <w:trPr>
          <w:jc w:val="center"/>
        </w:trPr>
        <w:tc>
          <w:tcPr>
            <w:tcW w:w="2154" w:type="dxa"/>
            <w:vMerge/>
            <w:shd w:val="clear" w:color="auto" w:fill="auto"/>
          </w:tcPr>
          <w:p w14:paraId="4B452920"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37478E83"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4F33104E"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Mainstreaming</w:t>
            </w:r>
          </w:p>
        </w:tc>
        <w:tc>
          <w:tcPr>
            <w:tcW w:w="1032" w:type="dxa"/>
            <w:shd w:val="clear" w:color="auto" w:fill="FFFFFF" w:themeFill="background1"/>
          </w:tcPr>
          <w:p w14:paraId="75055C92" w14:textId="77777777" w:rsidR="001E2016" w:rsidRPr="00780276" w:rsidRDefault="001E2016" w:rsidP="00780276">
            <w:pPr>
              <w:keepNext/>
              <w:keepLines/>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iCs/>
                <w:snapToGrid w:val="0"/>
                <w:color w:val="000000" w:themeColor="text1"/>
                <w:kern w:val="22"/>
                <w:szCs w:val="22"/>
              </w:rPr>
              <w:t xml:space="preserve">Decision </w:t>
            </w:r>
            <w:hyperlink r:id="rId30" w:history="1">
              <w:r w:rsidRPr="00780276">
                <w:rPr>
                  <w:rStyle w:val="Hyperlink"/>
                  <w:rFonts w:ascii="Times New Roman" w:hAnsi="Times New Roman" w:cs="Times New Roman"/>
                  <w:iCs/>
                  <w:snapToGrid w:val="0"/>
                  <w:color w:val="000000" w:themeColor="text1"/>
                  <w:kern w:val="22"/>
                  <w:sz w:val="22"/>
                  <w:szCs w:val="22"/>
                  <w:u w:val="none"/>
                </w:rPr>
                <w:t>14/3</w:t>
              </w:r>
            </w:hyperlink>
          </w:p>
        </w:tc>
        <w:tc>
          <w:tcPr>
            <w:tcW w:w="3909" w:type="dxa"/>
            <w:shd w:val="clear" w:color="auto" w:fill="FFFFFF" w:themeFill="background1"/>
          </w:tcPr>
          <w:p w14:paraId="69BD3DE1" w14:textId="01AB33EC"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color w:val="000000" w:themeColor="text1"/>
                <w:kern w:val="22"/>
                <w:szCs w:val="22"/>
              </w:rPr>
              <w:t>SBI will consider the report of the Informal Advisory Group on Mainstreaming of Biodiversity on a long</w:t>
            </w:r>
            <w:r w:rsidR="00945057" w:rsidRPr="00780276">
              <w:rPr>
                <w:rFonts w:ascii="Times New Roman" w:hAnsi="Times New Roman" w:cs="Times New Roman"/>
                <w:color w:val="000000" w:themeColor="text1"/>
                <w:kern w:val="22"/>
                <w:szCs w:val="22"/>
              </w:rPr>
              <w:noBreakHyphen/>
            </w:r>
            <w:r w:rsidRPr="00780276">
              <w:rPr>
                <w:rFonts w:ascii="Times New Roman" w:hAnsi="Times New Roman" w:cs="Times New Roman"/>
                <w:color w:val="000000" w:themeColor="text1"/>
                <w:kern w:val="22"/>
                <w:szCs w:val="22"/>
              </w:rPr>
              <w:t>term strategic approach to mainstreaming, and mainstreaming elements for the post-2020 global biodiversity framework, respond to any requests from WG2020-1 and WG2020</w:t>
            </w:r>
            <w:r w:rsidR="00D0282A" w:rsidRPr="00780276">
              <w:rPr>
                <w:rFonts w:ascii="Times New Roman" w:hAnsi="Times New Roman" w:cs="Times New Roman"/>
                <w:color w:val="000000" w:themeColor="text1"/>
                <w:kern w:val="22"/>
                <w:szCs w:val="22"/>
              </w:rPr>
              <w:noBreakHyphen/>
            </w:r>
            <w:r w:rsidRPr="00780276">
              <w:rPr>
                <w:rFonts w:ascii="Times New Roman" w:hAnsi="Times New Roman" w:cs="Times New Roman"/>
                <w:color w:val="000000" w:themeColor="text1"/>
                <w:kern w:val="22"/>
                <w:szCs w:val="22"/>
              </w:rPr>
              <w:t xml:space="preserve">2, and </w:t>
            </w:r>
            <w:r w:rsidRPr="00780276">
              <w:rPr>
                <w:rFonts w:ascii="Times New Roman" w:hAnsi="Times New Roman" w:cs="Times New Roman"/>
                <w:iCs/>
                <w:snapToGrid w:val="0"/>
                <w:color w:val="000000" w:themeColor="text1"/>
                <w:kern w:val="22"/>
                <w:szCs w:val="22"/>
              </w:rPr>
              <w:t>provide recommendations to WG2020-3</w:t>
            </w:r>
          </w:p>
        </w:tc>
        <w:tc>
          <w:tcPr>
            <w:tcW w:w="1861" w:type="dxa"/>
            <w:vMerge/>
            <w:shd w:val="clear" w:color="auto" w:fill="auto"/>
          </w:tcPr>
          <w:p w14:paraId="1BFBCFDC" w14:textId="77777777" w:rsidR="001E2016" w:rsidRPr="00225964"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rPr>
            </w:pPr>
          </w:p>
        </w:tc>
      </w:tr>
      <w:tr w:rsidR="001E2016" w:rsidRPr="00780276" w14:paraId="40973A4A" w14:textId="77777777" w:rsidTr="00780276">
        <w:trPr>
          <w:jc w:val="center"/>
        </w:trPr>
        <w:tc>
          <w:tcPr>
            <w:tcW w:w="2154" w:type="dxa"/>
            <w:vMerge/>
            <w:shd w:val="clear" w:color="auto" w:fill="auto"/>
          </w:tcPr>
          <w:p w14:paraId="15C2C807"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6C807A13"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17D81A53"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iCs/>
                <w:snapToGrid w:val="0"/>
                <w:color w:val="000000" w:themeColor="text1"/>
                <w:kern w:val="22"/>
                <w:szCs w:val="22"/>
              </w:rPr>
              <w:t>Gender mainstreaming</w:t>
            </w:r>
          </w:p>
        </w:tc>
        <w:tc>
          <w:tcPr>
            <w:tcW w:w="1032" w:type="dxa"/>
            <w:shd w:val="clear" w:color="auto" w:fill="FFFFFF" w:themeFill="background1"/>
          </w:tcPr>
          <w:p w14:paraId="58769986"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iCs/>
                <w:snapToGrid w:val="0"/>
                <w:color w:val="000000" w:themeColor="text1"/>
                <w:kern w:val="22"/>
                <w:szCs w:val="22"/>
              </w:rPr>
              <w:t>Decision 14/18</w:t>
            </w:r>
          </w:p>
        </w:tc>
        <w:tc>
          <w:tcPr>
            <w:tcW w:w="3909" w:type="dxa"/>
            <w:shd w:val="clear" w:color="auto" w:fill="FFFFFF" w:themeFill="background1"/>
          </w:tcPr>
          <w:p w14:paraId="58EC8C6F" w14:textId="60EF0C99" w:rsidR="001E2016" w:rsidRPr="00780276" w:rsidDel="00D1134E" w:rsidRDefault="001E2016" w:rsidP="00412F38">
            <w:pPr>
              <w:spacing w:before="40" w:after="40"/>
              <w:jc w:val="left"/>
              <w:rPr>
                <w:rFonts w:ascii="Times New Roman" w:hAnsi="Times New Roman" w:cs="Times New Roman"/>
                <w:iCs/>
                <w:snapToGrid w:val="0"/>
                <w:color w:val="000000" w:themeColor="text1"/>
                <w:kern w:val="22"/>
                <w:szCs w:val="22"/>
              </w:rPr>
            </w:pPr>
            <w:r w:rsidRPr="00780276">
              <w:rPr>
                <w:rFonts w:ascii="Times New Roman" w:hAnsi="Times New Roman" w:cs="Times New Roman"/>
                <w:iCs/>
                <w:snapToGrid w:val="0"/>
                <w:color w:val="000000" w:themeColor="text1"/>
                <w:kern w:val="22"/>
                <w:szCs w:val="22"/>
              </w:rPr>
              <w:t>SBI will consider the review of implementation of the 2015-2020 Gender Plan of Action. As part of these deliberations, SBI could also develop a recommendation on the preparation of a new gender strategy or plan for the post</w:t>
            </w:r>
            <w:r w:rsidR="00945057" w:rsidRPr="00780276">
              <w:rPr>
                <w:rFonts w:ascii="Times New Roman" w:hAnsi="Times New Roman" w:cs="Times New Roman"/>
                <w:iCs/>
                <w:snapToGrid w:val="0"/>
                <w:color w:val="000000" w:themeColor="text1"/>
                <w:kern w:val="22"/>
                <w:szCs w:val="22"/>
              </w:rPr>
              <w:noBreakHyphen/>
            </w:r>
            <w:r w:rsidRPr="00780276">
              <w:rPr>
                <w:rFonts w:ascii="Times New Roman" w:hAnsi="Times New Roman" w:cs="Times New Roman"/>
                <w:iCs/>
                <w:snapToGrid w:val="0"/>
                <w:color w:val="000000" w:themeColor="text1"/>
                <w:kern w:val="22"/>
                <w:szCs w:val="22"/>
              </w:rPr>
              <w:t>2020 period.</w:t>
            </w:r>
          </w:p>
        </w:tc>
        <w:tc>
          <w:tcPr>
            <w:tcW w:w="1861" w:type="dxa"/>
            <w:vMerge/>
            <w:shd w:val="clear" w:color="auto" w:fill="auto"/>
          </w:tcPr>
          <w:p w14:paraId="05D4679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1A549132" w14:textId="77777777" w:rsidTr="00780276">
        <w:trPr>
          <w:jc w:val="center"/>
        </w:trPr>
        <w:tc>
          <w:tcPr>
            <w:tcW w:w="2154" w:type="dxa"/>
            <w:vMerge/>
            <w:shd w:val="clear" w:color="auto" w:fill="auto"/>
          </w:tcPr>
          <w:p w14:paraId="04A3FD55"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223A4E31"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31D67D0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eastAsia="Malgun Gothic" w:hAnsi="Times New Roman" w:cs="Times New Roman"/>
                <w:color w:val="000000" w:themeColor="text1"/>
                <w:kern w:val="22"/>
                <w:szCs w:val="22"/>
              </w:rPr>
              <w:t>Knowledge management under the Convention and its Protocols</w:t>
            </w:r>
          </w:p>
        </w:tc>
        <w:tc>
          <w:tcPr>
            <w:tcW w:w="1032" w:type="dxa"/>
            <w:shd w:val="clear" w:color="auto" w:fill="FFFFFF" w:themeFill="background1"/>
          </w:tcPr>
          <w:p w14:paraId="0C86429E"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sidRPr="00780276">
              <w:rPr>
                <w:rFonts w:ascii="Times New Roman" w:eastAsia="Malgun Gothic" w:hAnsi="Times New Roman" w:cs="Times New Roman"/>
                <w:color w:val="000000" w:themeColor="text1"/>
                <w:kern w:val="22"/>
                <w:szCs w:val="22"/>
              </w:rPr>
              <w:t xml:space="preserve">Decision </w:t>
            </w:r>
            <w:hyperlink r:id="rId31" w:history="1">
              <w:r w:rsidRPr="00780276">
                <w:rPr>
                  <w:rStyle w:val="Hyperlink"/>
                  <w:rFonts w:ascii="Times New Roman" w:eastAsia="Malgun Gothic" w:hAnsi="Times New Roman" w:cs="Times New Roman"/>
                  <w:color w:val="000000" w:themeColor="text1"/>
                  <w:kern w:val="22"/>
                  <w:sz w:val="22"/>
                  <w:szCs w:val="22"/>
                  <w:u w:val="none"/>
                </w:rPr>
                <w:t>14/25</w:t>
              </w:r>
            </w:hyperlink>
          </w:p>
        </w:tc>
        <w:tc>
          <w:tcPr>
            <w:tcW w:w="3909" w:type="dxa"/>
            <w:shd w:val="clear" w:color="auto" w:fill="FFFFFF" w:themeFill="background1"/>
          </w:tcPr>
          <w:p w14:paraId="15B6642B" w14:textId="4DC332C8"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 xml:space="preserve">SBI is expected to consider potential elements related to </w:t>
            </w:r>
            <w:r w:rsidRPr="00780276">
              <w:rPr>
                <w:rFonts w:ascii="Times New Roman" w:eastAsia="Malgun Gothic" w:hAnsi="Times New Roman" w:cs="Times New Roman"/>
                <w:color w:val="000000" w:themeColor="text1"/>
                <w:kern w:val="22"/>
                <w:szCs w:val="22"/>
              </w:rPr>
              <w:t>knowledge management under the Convention and its Protocols and make recommendations to WG2020-3</w:t>
            </w:r>
          </w:p>
        </w:tc>
        <w:tc>
          <w:tcPr>
            <w:tcW w:w="1861" w:type="dxa"/>
            <w:vMerge/>
            <w:shd w:val="clear" w:color="auto" w:fill="auto"/>
          </w:tcPr>
          <w:p w14:paraId="112D850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5C34BF00" w14:textId="77777777" w:rsidTr="00780276">
        <w:trPr>
          <w:jc w:val="center"/>
        </w:trPr>
        <w:tc>
          <w:tcPr>
            <w:tcW w:w="2154" w:type="dxa"/>
            <w:vMerge/>
            <w:shd w:val="clear" w:color="auto" w:fill="auto"/>
          </w:tcPr>
          <w:p w14:paraId="3952DB1E"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3AACF154"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17B2FEC8"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sidRPr="00780276">
              <w:rPr>
                <w:rFonts w:ascii="Times New Roman" w:eastAsia="Malgun Gothic" w:hAnsi="Times New Roman" w:cs="Times New Roman"/>
                <w:color w:val="000000" w:themeColor="text1"/>
                <w:kern w:val="22"/>
                <w:szCs w:val="22"/>
              </w:rPr>
              <w:t>Aligning national reporting under the Convention and its Protocols</w:t>
            </w:r>
          </w:p>
        </w:tc>
        <w:tc>
          <w:tcPr>
            <w:tcW w:w="1032" w:type="dxa"/>
            <w:tcBorders>
              <w:bottom w:val="single" w:sz="4" w:space="0" w:color="auto"/>
            </w:tcBorders>
            <w:shd w:val="clear" w:color="auto" w:fill="FFFFFF" w:themeFill="background1"/>
          </w:tcPr>
          <w:p w14:paraId="48E4FB46"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sidRPr="00780276">
              <w:rPr>
                <w:rFonts w:ascii="Times New Roman" w:eastAsia="Malgun Gothic" w:hAnsi="Times New Roman" w:cs="Times New Roman"/>
                <w:color w:val="000000" w:themeColor="text1"/>
                <w:kern w:val="22"/>
                <w:szCs w:val="22"/>
              </w:rPr>
              <w:t xml:space="preserve">Decision </w:t>
            </w:r>
            <w:hyperlink r:id="rId32" w:history="1">
              <w:r w:rsidRPr="00780276">
                <w:rPr>
                  <w:rStyle w:val="Hyperlink"/>
                  <w:rFonts w:ascii="Times New Roman" w:eastAsia="Malgun Gothic" w:hAnsi="Times New Roman" w:cs="Times New Roman"/>
                  <w:color w:val="000000" w:themeColor="text1"/>
                  <w:kern w:val="22"/>
                  <w:sz w:val="22"/>
                  <w:szCs w:val="22"/>
                  <w:u w:val="none"/>
                </w:rPr>
                <w:t>14/27</w:t>
              </w:r>
            </w:hyperlink>
          </w:p>
        </w:tc>
        <w:tc>
          <w:tcPr>
            <w:tcW w:w="3909" w:type="dxa"/>
            <w:tcBorders>
              <w:bottom w:val="single" w:sz="4" w:space="0" w:color="auto"/>
            </w:tcBorders>
            <w:shd w:val="clear" w:color="auto" w:fill="FFFFFF" w:themeFill="background1"/>
          </w:tcPr>
          <w:p w14:paraId="13888440" w14:textId="547FFD65"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SBI is expected to consider a range of issues related to national reporting under the Convention and its Protocols. As part of these deliberations, SBI could also develop a recommendation on means to review the implementation of the post-2020 global biodiversity framework and to enhance accountability mechanisms.</w:t>
            </w:r>
          </w:p>
        </w:tc>
        <w:tc>
          <w:tcPr>
            <w:tcW w:w="1861" w:type="dxa"/>
            <w:vMerge/>
            <w:shd w:val="clear" w:color="auto" w:fill="auto"/>
          </w:tcPr>
          <w:p w14:paraId="77463A3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58747A94" w14:textId="77777777" w:rsidTr="00780276">
        <w:trPr>
          <w:cantSplit/>
          <w:jc w:val="center"/>
        </w:trPr>
        <w:tc>
          <w:tcPr>
            <w:tcW w:w="2154" w:type="dxa"/>
            <w:vMerge/>
            <w:shd w:val="clear" w:color="auto" w:fill="auto"/>
          </w:tcPr>
          <w:p w14:paraId="6E904D9F"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30FEB8CF"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3704B457"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sidRPr="00780276">
              <w:rPr>
                <w:rFonts w:ascii="Times New Roman" w:eastAsia="Malgun Gothic" w:hAnsi="Times New Roman" w:cs="Times New Roman"/>
                <w:color w:val="000000" w:themeColor="text1"/>
                <w:kern w:val="22"/>
                <w:szCs w:val="22"/>
              </w:rPr>
              <w:t>P</w:t>
            </w:r>
            <w:r w:rsidRPr="00780276">
              <w:rPr>
                <w:rFonts w:ascii="Times New Roman" w:hAnsi="Times New Roman" w:cs="Times New Roman"/>
                <w:color w:val="000000" w:themeColor="text1"/>
                <w:kern w:val="22"/>
                <w:szCs w:val="22"/>
              </w:rPr>
              <w:t>ossible review mechanisms</w:t>
            </w:r>
          </w:p>
        </w:tc>
        <w:tc>
          <w:tcPr>
            <w:tcW w:w="1032" w:type="dxa"/>
            <w:shd w:val="clear" w:color="auto" w:fill="FFFFFF" w:themeFill="background1"/>
          </w:tcPr>
          <w:p w14:paraId="4A8750F6"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sidRPr="00780276">
              <w:rPr>
                <w:rFonts w:ascii="Times New Roman" w:eastAsia="Malgun Gothic" w:hAnsi="Times New Roman" w:cs="Times New Roman"/>
                <w:color w:val="000000" w:themeColor="text1"/>
                <w:kern w:val="22"/>
                <w:szCs w:val="22"/>
              </w:rPr>
              <w:t xml:space="preserve">Decision </w:t>
            </w:r>
            <w:hyperlink r:id="rId33" w:history="1">
              <w:r w:rsidRPr="00780276">
                <w:rPr>
                  <w:rStyle w:val="Hyperlink"/>
                  <w:rFonts w:ascii="Times New Roman" w:hAnsi="Times New Roman" w:cs="Times New Roman"/>
                  <w:color w:val="000000" w:themeColor="text1"/>
                  <w:kern w:val="22"/>
                  <w:sz w:val="22"/>
                  <w:szCs w:val="22"/>
                  <w:u w:val="none"/>
                </w:rPr>
                <w:t>14/29</w:t>
              </w:r>
            </w:hyperlink>
          </w:p>
        </w:tc>
        <w:tc>
          <w:tcPr>
            <w:tcW w:w="3909" w:type="dxa"/>
            <w:shd w:val="clear" w:color="auto" w:fill="FFFFFF" w:themeFill="background1"/>
          </w:tcPr>
          <w:p w14:paraId="4439C1A9" w14:textId="4D28E442"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SBI will consider options for enhancing review mechanisms, with a view to strengthening the implementation of the Convention. SBI will also test</w:t>
            </w:r>
            <w:r w:rsidRPr="00780276">
              <w:rPr>
                <w:rFonts w:ascii="Times New Roman" w:hAnsi="Times New Roman" w:cs="Times New Roman"/>
                <w:color w:val="000000" w:themeColor="text1"/>
                <w:kern w:val="22"/>
                <w:szCs w:val="22"/>
              </w:rPr>
              <w:t xml:space="preserve"> a Party-led review process through an open-ended forum at SBI-3. </w:t>
            </w:r>
            <w:proofErr w:type="gramStart"/>
            <w:r w:rsidRPr="00780276">
              <w:rPr>
                <w:rFonts w:ascii="Times New Roman" w:hAnsi="Times New Roman" w:cs="Times New Roman"/>
                <w:color w:val="000000" w:themeColor="text1"/>
                <w:kern w:val="22"/>
                <w:szCs w:val="22"/>
              </w:rPr>
              <w:t>On the basis of</w:t>
            </w:r>
            <w:proofErr w:type="gramEnd"/>
            <w:r w:rsidRPr="00780276">
              <w:rPr>
                <w:rFonts w:ascii="Times New Roman" w:hAnsi="Times New Roman" w:cs="Times New Roman"/>
                <w:color w:val="000000" w:themeColor="text1"/>
                <w:kern w:val="22"/>
                <w:szCs w:val="22"/>
              </w:rPr>
              <w:t xml:space="preserve"> this, SBI may provide a recommendation to WG2020-3 on this issue for its consideration.</w:t>
            </w:r>
          </w:p>
        </w:tc>
        <w:tc>
          <w:tcPr>
            <w:tcW w:w="1861" w:type="dxa"/>
            <w:vMerge/>
            <w:shd w:val="clear" w:color="auto" w:fill="FFFFFF" w:themeFill="background1"/>
          </w:tcPr>
          <w:p w14:paraId="76C7577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2E319667" w14:textId="77777777" w:rsidTr="00780276">
        <w:trPr>
          <w:cantSplit/>
          <w:jc w:val="center"/>
        </w:trPr>
        <w:tc>
          <w:tcPr>
            <w:tcW w:w="2154" w:type="dxa"/>
            <w:vMerge/>
            <w:tcBorders>
              <w:bottom w:val="single" w:sz="4" w:space="0" w:color="auto"/>
            </w:tcBorders>
            <w:shd w:val="clear" w:color="auto" w:fill="auto"/>
          </w:tcPr>
          <w:p w14:paraId="078F58B6"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tcBorders>
              <w:bottom w:val="single" w:sz="4" w:space="0" w:color="auto"/>
            </w:tcBorders>
            <w:shd w:val="clear" w:color="auto" w:fill="auto"/>
          </w:tcPr>
          <w:p w14:paraId="214AE289"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50E15FE2" w14:textId="77777777" w:rsidR="001E2016" w:rsidRPr="00780276" w:rsidDel="00873F2D" w:rsidRDefault="001E2016" w:rsidP="00412F38">
            <w:pPr>
              <w:spacing w:before="40" w:after="40"/>
              <w:jc w:val="left"/>
              <w:rPr>
                <w:rFonts w:ascii="Times New Roman" w:eastAsia="Malgun Gothic" w:hAnsi="Times New Roman" w:cs="Times New Roman"/>
                <w:color w:val="000000" w:themeColor="text1"/>
                <w:kern w:val="22"/>
                <w:szCs w:val="22"/>
              </w:rPr>
            </w:pPr>
            <w:r w:rsidRPr="00780276">
              <w:rPr>
                <w:rFonts w:ascii="Times New Roman" w:hAnsi="Times New Roman" w:cs="Times New Roman"/>
                <w:color w:val="000000" w:themeColor="text1"/>
                <w:kern w:val="22"/>
                <w:szCs w:val="22"/>
              </w:rPr>
              <w:t>Requests from the first and second meetings of the Working Group</w:t>
            </w:r>
          </w:p>
        </w:tc>
        <w:tc>
          <w:tcPr>
            <w:tcW w:w="1032" w:type="dxa"/>
            <w:tcBorders>
              <w:bottom w:val="single" w:sz="4" w:space="0" w:color="auto"/>
            </w:tcBorders>
            <w:shd w:val="clear" w:color="auto" w:fill="FFFFFF" w:themeFill="background1"/>
          </w:tcPr>
          <w:p w14:paraId="71285131"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p>
        </w:tc>
        <w:tc>
          <w:tcPr>
            <w:tcW w:w="3909" w:type="dxa"/>
            <w:tcBorders>
              <w:bottom w:val="single" w:sz="4" w:space="0" w:color="auto"/>
            </w:tcBorders>
            <w:shd w:val="clear" w:color="auto" w:fill="FFFFFF" w:themeFill="background1"/>
          </w:tcPr>
          <w:p w14:paraId="32BFBAD0" w14:textId="34C98647" w:rsidR="001E2016" w:rsidRPr="00780276" w:rsidRDefault="001E2016" w:rsidP="00412F38">
            <w:pPr>
              <w:spacing w:before="40" w:after="40"/>
              <w:jc w:val="left"/>
              <w:rPr>
                <w:rFonts w:ascii="Times New Roman" w:hAnsi="Times New Roman" w:cs="Times New Roman"/>
                <w:color w:val="000000" w:themeColor="text1"/>
                <w:kern w:val="22"/>
                <w:szCs w:val="22"/>
                <w:shd w:val="clear" w:color="auto" w:fill="FFFFFF"/>
              </w:rPr>
            </w:pPr>
            <w:r w:rsidRPr="00780276">
              <w:rPr>
                <w:rFonts w:ascii="Times New Roman" w:hAnsi="Times New Roman" w:cs="Times New Roman"/>
                <w:color w:val="000000" w:themeColor="text1"/>
                <w:kern w:val="22"/>
                <w:szCs w:val="22"/>
              </w:rPr>
              <w:t>SBI</w:t>
            </w:r>
            <w:r w:rsidRPr="00780276">
              <w:rPr>
                <w:rFonts w:ascii="Times New Roman" w:hAnsi="Times New Roman" w:cs="Times New Roman"/>
                <w:snapToGrid w:val="0"/>
                <w:color w:val="000000" w:themeColor="text1"/>
                <w:kern w:val="22"/>
                <w:szCs w:val="22"/>
              </w:rPr>
              <w:t xml:space="preserve"> will consider any requests resulting from the first </w:t>
            </w:r>
            <w:r w:rsidRPr="00780276">
              <w:rPr>
                <w:rFonts w:ascii="Times New Roman" w:hAnsi="Times New Roman" w:cs="Times New Roman"/>
                <w:color w:val="000000" w:themeColor="text1"/>
                <w:kern w:val="22"/>
                <w:szCs w:val="22"/>
              </w:rPr>
              <w:t xml:space="preserve">and second </w:t>
            </w:r>
            <w:r w:rsidRPr="00780276">
              <w:rPr>
                <w:rFonts w:ascii="Times New Roman" w:hAnsi="Times New Roman" w:cs="Times New Roman"/>
                <w:snapToGrid w:val="0"/>
                <w:color w:val="000000" w:themeColor="text1"/>
                <w:kern w:val="22"/>
                <w:szCs w:val="22"/>
              </w:rPr>
              <w:t>meeting</w:t>
            </w:r>
            <w:r w:rsidRPr="00780276">
              <w:rPr>
                <w:rFonts w:ascii="Times New Roman" w:hAnsi="Times New Roman" w:cs="Times New Roman"/>
                <w:color w:val="000000" w:themeColor="text1"/>
                <w:kern w:val="22"/>
                <w:szCs w:val="22"/>
              </w:rPr>
              <w:t>s</w:t>
            </w:r>
            <w:r w:rsidRPr="00780276">
              <w:rPr>
                <w:rFonts w:ascii="Times New Roman" w:hAnsi="Times New Roman" w:cs="Times New Roman"/>
                <w:snapToGrid w:val="0"/>
                <w:color w:val="000000" w:themeColor="text1"/>
                <w:kern w:val="22"/>
                <w:szCs w:val="22"/>
              </w:rPr>
              <w:t xml:space="preserve"> of the Working Group and provide its recommendation to WG2020-3, including possible guidance on NBSAPS and addressing other implementation mechanisms</w:t>
            </w:r>
          </w:p>
        </w:tc>
        <w:tc>
          <w:tcPr>
            <w:tcW w:w="1861" w:type="dxa"/>
            <w:vMerge/>
            <w:tcBorders>
              <w:bottom w:val="single" w:sz="4" w:space="0" w:color="auto"/>
            </w:tcBorders>
            <w:shd w:val="clear" w:color="auto" w:fill="FFFFFF" w:themeFill="background1"/>
          </w:tcPr>
          <w:p w14:paraId="006E9AB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6B7A33C0" w14:textId="77777777" w:rsidTr="00780276">
        <w:trPr>
          <w:cantSplit/>
          <w:jc w:val="center"/>
        </w:trPr>
        <w:tc>
          <w:tcPr>
            <w:tcW w:w="2154" w:type="dxa"/>
            <w:shd w:val="clear" w:color="auto" w:fill="FFFFFF" w:themeFill="background1"/>
          </w:tcPr>
          <w:p w14:paraId="3F63AAF0"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color w:val="000000" w:themeColor="text1"/>
                <w:kern w:val="22"/>
                <w:szCs w:val="22"/>
              </w:rPr>
              <w:t>27-31 July 2020, Cali, Colombia</w:t>
            </w:r>
          </w:p>
        </w:tc>
        <w:tc>
          <w:tcPr>
            <w:tcW w:w="2157" w:type="dxa"/>
            <w:shd w:val="clear" w:color="auto" w:fill="FFFFFF" w:themeFill="background1"/>
          </w:tcPr>
          <w:p w14:paraId="6DA17D08"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sidRPr="00780276">
              <w:rPr>
                <w:rFonts w:ascii="Times New Roman" w:hAnsi="Times New Roman" w:cs="Times New Roman"/>
                <w:color w:val="000000" w:themeColor="text1"/>
                <w:kern w:val="22"/>
                <w:szCs w:val="22"/>
              </w:rPr>
              <w:t>Third meeting of the Working Group</w:t>
            </w:r>
          </w:p>
        </w:tc>
        <w:tc>
          <w:tcPr>
            <w:tcW w:w="3016" w:type="dxa"/>
            <w:shd w:val="clear" w:color="auto" w:fill="FFFFFF" w:themeFill="background1"/>
          </w:tcPr>
          <w:p w14:paraId="67469B22" w14:textId="77777777" w:rsidR="001E2016" w:rsidRPr="00780276" w:rsidDel="00873F2D" w:rsidRDefault="001E2016" w:rsidP="00412F38">
            <w:pPr>
              <w:pStyle w:val="Para3"/>
              <w:numPr>
                <w:ilvl w:val="0"/>
                <w:numId w:val="0"/>
              </w:numPr>
              <w:spacing w:before="40" w:after="40"/>
              <w:ind w:left="40"/>
              <w:jc w:val="left"/>
              <w:rPr>
                <w:rFonts w:ascii="Times New Roman" w:hAnsi="Times New Roman" w:cs="Times New Roman"/>
                <w:snapToGrid w:val="0"/>
                <w:color w:val="000000" w:themeColor="text1"/>
                <w:kern w:val="22"/>
                <w:szCs w:val="22"/>
              </w:rPr>
            </w:pPr>
          </w:p>
        </w:tc>
        <w:tc>
          <w:tcPr>
            <w:tcW w:w="1032" w:type="dxa"/>
            <w:shd w:val="clear" w:color="auto" w:fill="FFFFFF" w:themeFill="background1"/>
          </w:tcPr>
          <w:p w14:paraId="1ABA51A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color w:val="000000" w:themeColor="text1"/>
                <w:kern w:val="22"/>
                <w:szCs w:val="22"/>
              </w:rPr>
              <w:t>Decision 14/34</w:t>
            </w:r>
          </w:p>
        </w:tc>
        <w:tc>
          <w:tcPr>
            <w:tcW w:w="3909" w:type="dxa"/>
            <w:shd w:val="clear" w:color="auto" w:fill="FFFFFF" w:themeFill="background1"/>
          </w:tcPr>
          <w:p w14:paraId="78DC2A05"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proofErr w:type="gramStart"/>
            <w:r w:rsidRPr="00780276">
              <w:rPr>
                <w:rFonts w:ascii="Times New Roman" w:hAnsi="Times New Roman" w:cs="Times New Roman"/>
                <w:iCs/>
                <w:snapToGrid w:val="0"/>
                <w:color w:val="000000" w:themeColor="text1"/>
                <w:kern w:val="22"/>
                <w:szCs w:val="22"/>
              </w:rPr>
              <w:t>On the basis of</w:t>
            </w:r>
            <w:proofErr w:type="gramEnd"/>
            <w:r w:rsidRPr="00780276">
              <w:rPr>
                <w:rFonts w:ascii="Times New Roman" w:hAnsi="Times New Roman" w:cs="Times New Roman"/>
                <w:iCs/>
                <w:snapToGrid w:val="0"/>
                <w:color w:val="000000" w:themeColor="text1"/>
                <w:kern w:val="22"/>
                <w:szCs w:val="22"/>
              </w:rPr>
              <w:t xml:space="preserve"> its previous work and work of the subsidiary bodies and other consultations, the Working Group will develop a text of the post-2020 framework for consideration by the Conference of the Parties at its fifteenth meeting.</w:t>
            </w:r>
          </w:p>
        </w:tc>
        <w:tc>
          <w:tcPr>
            <w:tcW w:w="1861" w:type="dxa"/>
            <w:shd w:val="clear" w:color="auto" w:fill="FFFFFF" w:themeFill="background1"/>
          </w:tcPr>
          <w:p w14:paraId="3144E94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Intergovernmental meeting</w:t>
            </w:r>
          </w:p>
          <w:p w14:paraId="3BB6B63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1</w:t>
            </w:r>
          </w:p>
        </w:tc>
      </w:tr>
    </w:tbl>
    <w:p w14:paraId="5CD56C72" w14:textId="77777777" w:rsidR="001E2016" w:rsidRPr="00780276" w:rsidRDefault="001E2016" w:rsidP="00780276">
      <w:pPr>
        <w:pStyle w:val="Para10"/>
        <w:numPr>
          <w:ilvl w:val="0"/>
          <w:numId w:val="0"/>
        </w:numPr>
        <w:suppressLineNumbers/>
        <w:suppressAutoHyphens/>
        <w:rPr>
          <w:kern w:val="22"/>
          <w:szCs w:val="22"/>
        </w:rPr>
      </w:pPr>
    </w:p>
    <w:p w14:paraId="72DFFEB1" w14:textId="32312484" w:rsidR="001E2016" w:rsidRPr="00780276" w:rsidRDefault="001E2016" w:rsidP="00780276">
      <w:pPr>
        <w:pStyle w:val="Para10"/>
        <w:keepNext/>
        <w:keepLines/>
        <w:numPr>
          <w:ilvl w:val="0"/>
          <w:numId w:val="0"/>
        </w:numPr>
        <w:suppressLineNumbers/>
        <w:suppressAutoHyphens/>
        <w:jc w:val="center"/>
        <w:rPr>
          <w:b/>
          <w:bCs/>
          <w:kern w:val="22"/>
          <w:szCs w:val="22"/>
        </w:rPr>
      </w:pPr>
      <w:r w:rsidRPr="00780276">
        <w:rPr>
          <w:b/>
          <w:bCs/>
          <w:kern w:val="22"/>
          <w:szCs w:val="22"/>
        </w:rPr>
        <w:t>Table 2</w:t>
      </w:r>
      <w:r w:rsidR="00364B85" w:rsidRPr="00225964">
        <w:rPr>
          <w:b/>
          <w:bCs/>
          <w:kern w:val="22"/>
          <w:szCs w:val="22"/>
        </w:rPr>
        <w:t>.</w:t>
      </w:r>
      <w:r w:rsidRPr="00780276">
        <w:rPr>
          <w:b/>
          <w:bCs/>
          <w:kern w:val="22"/>
          <w:szCs w:val="22"/>
        </w:rPr>
        <w:t xml:space="preserve"> Other consultations and workshops</w:t>
      </w:r>
    </w:p>
    <w:tbl>
      <w:tblPr>
        <w:tblStyle w:val="TableGrid"/>
        <w:tblW w:w="5000" w:type="pct"/>
        <w:tblLayout w:type="fixed"/>
        <w:tblLook w:val="04A0" w:firstRow="1" w:lastRow="0" w:firstColumn="1" w:lastColumn="0" w:noHBand="0" w:noVBand="1"/>
      </w:tblPr>
      <w:tblGrid>
        <w:gridCol w:w="2154"/>
        <w:gridCol w:w="2157"/>
        <w:gridCol w:w="3016"/>
        <w:gridCol w:w="1297"/>
        <w:gridCol w:w="3644"/>
        <w:gridCol w:w="1861"/>
      </w:tblGrid>
      <w:tr w:rsidR="001E2016" w:rsidRPr="00225964" w14:paraId="52D8622E" w14:textId="77777777" w:rsidTr="00780276">
        <w:trPr>
          <w:tblHeader/>
        </w:trPr>
        <w:tc>
          <w:tcPr>
            <w:tcW w:w="2154" w:type="dxa"/>
          </w:tcPr>
          <w:p w14:paraId="163AB7AE"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Date and location</w:t>
            </w:r>
          </w:p>
        </w:tc>
        <w:tc>
          <w:tcPr>
            <w:tcW w:w="2157" w:type="dxa"/>
          </w:tcPr>
          <w:p w14:paraId="65A53D7D"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Meeting</w:t>
            </w:r>
          </w:p>
        </w:tc>
        <w:tc>
          <w:tcPr>
            <w:tcW w:w="3016" w:type="dxa"/>
          </w:tcPr>
          <w:p w14:paraId="0F34D5DB"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Element of the post-2020 global biodiversity framework</w:t>
            </w:r>
          </w:p>
        </w:tc>
        <w:tc>
          <w:tcPr>
            <w:tcW w:w="1297" w:type="dxa"/>
          </w:tcPr>
          <w:p w14:paraId="78FCE62E"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Mandate</w:t>
            </w:r>
          </w:p>
        </w:tc>
        <w:tc>
          <w:tcPr>
            <w:tcW w:w="3644" w:type="dxa"/>
          </w:tcPr>
          <w:p w14:paraId="191778AF"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Role/modality</w:t>
            </w:r>
          </w:p>
        </w:tc>
        <w:tc>
          <w:tcPr>
            <w:tcW w:w="1861" w:type="dxa"/>
          </w:tcPr>
          <w:p w14:paraId="347DA2B9"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sidRPr="00780276">
              <w:rPr>
                <w:rFonts w:ascii="Times New Roman" w:hAnsi="Times New Roman" w:cs="Times New Roman"/>
                <w:i/>
                <w:color w:val="000000" w:themeColor="text1"/>
                <w:kern w:val="22"/>
                <w:szCs w:val="22"/>
              </w:rPr>
              <w:t>Type</w:t>
            </w:r>
          </w:p>
        </w:tc>
      </w:tr>
      <w:tr w:rsidR="001E2016" w:rsidRPr="00225964" w14:paraId="34B75049"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523B69C8"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30 October to 1 November 2019 Rio de Janeiro, Brazil</w:t>
            </w:r>
          </w:p>
        </w:tc>
        <w:tc>
          <w:tcPr>
            <w:tcW w:w="2157" w:type="dxa"/>
            <w:tcBorders>
              <w:bottom w:val="single" w:sz="4" w:space="0" w:color="auto"/>
            </w:tcBorders>
            <w:shd w:val="clear" w:color="auto" w:fill="FFFFFF" w:themeFill="background1"/>
          </w:tcPr>
          <w:p w14:paraId="4C560D26"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 on ecosystem restoration</w:t>
            </w:r>
          </w:p>
        </w:tc>
        <w:tc>
          <w:tcPr>
            <w:tcW w:w="3016" w:type="dxa"/>
            <w:tcBorders>
              <w:bottom w:val="single" w:sz="4" w:space="0" w:color="auto"/>
            </w:tcBorders>
            <w:shd w:val="clear" w:color="auto" w:fill="FFFFFF" w:themeFill="background1"/>
          </w:tcPr>
          <w:p w14:paraId="1C434F70"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Ecosystem restoration</w:t>
            </w:r>
          </w:p>
        </w:tc>
        <w:tc>
          <w:tcPr>
            <w:tcW w:w="1297" w:type="dxa"/>
            <w:tcBorders>
              <w:bottom w:val="single" w:sz="4" w:space="0" w:color="auto"/>
            </w:tcBorders>
            <w:shd w:val="clear" w:color="auto" w:fill="FFFFFF" w:themeFill="background1"/>
          </w:tcPr>
          <w:p w14:paraId="5D4B2CFD"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2809D3AF"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A report of the workshop will be made available to WG2020-2.</w:t>
            </w:r>
          </w:p>
        </w:tc>
        <w:tc>
          <w:tcPr>
            <w:tcW w:w="1861" w:type="dxa"/>
            <w:tcBorders>
              <w:bottom w:val="single" w:sz="4" w:space="0" w:color="auto"/>
            </w:tcBorders>
            <w:shd w:val="clear" w:color="auto" w:fill="FFFFFF" w:themeFill="background1"/>
          </w:tcPr>
          <w:p w14:paraId="1C0A9806"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w:t>
            </w:r>
          </w:p>
          <w:p w14:paraId="5D76E18A"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4</w:t>
            </w:r>
          </w:p>
        </w:tc>
      </w:tr>
      <w:tr w:rsidR="001E2016" w:rsidRPr="00225964" w14:paraId="764CC4ED"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778FE299" w14:textId="2252A3D0"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13</w:t>
            </w:r>
            <w:r w:rsidR="00D0282A" w:rsidRPr="00780276">
              <w:rPr>
                <w:rFonts w:ascii="Times New Roman" w:hAnsi="Times New Roman" w:cs="Times New Roman"/>
                <w:color w:val="000000" w:themeColor="text1"/>
                <w:kern w:val="22"/>
                <w:szCs w:val="22"/>
              </w:rPr>
              <w:t>-</w:t>
            </w:r>
            <w:r w:rsidRPr="00780276">
              <w:rPr>
                <w:rFonts w:ascii="Times New Roman" w:hAnsi="Times New Roman" w:cs="Times New Roman"/>
                <w:color w:val="000000" w:themeColor="text1"/>
                <w:kern w:val="22"/>
                <w:szCs w:val="22"/>
              </w:rPr>
              <w:t>15 November 2019, Montreal, Canada</w:t>
            </w:r>
          </w:p>
        </w:tc>
        <w:tc>
          <w:tcPr>
            <w:tcW w:w="2157" w:type="dxa"/>
            <w:tcBorders>
              <w:bottom w:val="single" w:sz="4" w:space="0" w:color="auto"/>
            </w:tcBorders>
            <w:shd w:val="clear" w:color="auto" w:fill="FFFFFF" w:themeFill="background1"/>
          </w:tcPr>
          <w:p w14:paraId="65F4FED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 on marine environment</w:t>
            </w:r>
          </w:p>
        </w:tc>
        <w:tc>
          <w:tcPr>
            <w:tcW w:w="3016" w:type="dxa"/>
            <w:tcBorders>
              <w:bottom w:val="single" w:sz="4" w:space="0" w:color="auto"/>
            </w:tcBorders>
            <w:shd w:val="clear" w:color="auto" w:fill="FFFFFF" w:themeFill="background1"/>
          </w:tcPr>
          <w:p w14:paraId="02E26B1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Marine ecosystems</w:t>
            </w:r>
          </w:p>
        </w:tc>
        <w:tc>
          <w:tcPr>
            <w:tcW w:w="1297" w:type="dxa"/>
            <w:tcBorders>
              <w:bottom w:val="single" w:sz="4" w:space="0" w:color="auto"/>
            </w:tcBorders>
            <w:shd w:val="clear" w:color="auto" w:fill="FFFFFF" w:themeFill="background1"/>
          </w:tcPr>
          <w:p w14:paraId="4332D5B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103D226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A report of the workshop will be made available to WG2020-2.</w:t>
            </w:r>
          </w:p>
        </w:tc>
        <w:tc>
          <w:tcPr>
            <w:tcW w:w="1861" w:type="dxa"/>
            <w:tcBorders>
              <w:bottom w:val="single" w:sz="4" w:space="0" w:color="auto"/>
            </w:tcBorders>
            <w:shd w:val="clear" w:color="auto" w:fill="FFFFFF" w:themeFill="background1"/>
          </w:tcPr>
          <w:p w14:paraId="145D82E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w:t>
            </w:r>
          </w:p>
          <w:p w14:paraId="6273248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4</w:t>
            </w:r>
          </w:p>
        </w:tc>
      </w:tr>
      <w:tr w:rsidR="001E2016" w:rsidRPr="00225964" w14:paraId="5832AFCA"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6DFF9C4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24 November, Montreal, Canada (between WG8J-11 and SBSTTA-23)</w:t>
            </w:r>
          </w:p>
        </w:tc>
        <w:tc>
          <w:tcPr>
            <w:tcW w:w="2157" w:type="dxa"/>
            <w:tcBorders>
              <w:bottom w:val="single" w:sz="4" w:space="0" w:color="auto"/>
            </w:tcBorders>
            <w:shd w:val="clear" w:color="auto" w:fill="FFFFFF" w:themeFill="background1"/>
          </w:tcPr>
          <w:p w14:paraId="021BE32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Informal briefing by the Co-Chairs of the Working Group</w:t>
            </w:r>
          </w:p>
        </w:tc>
        <w:tc>
          <w:tcPr>
            <w:tcW w:w="3016" w:type="dxa"/>
            <w:tcBorders>
              <w:bottom w:val="single" w:sz="4" w:space="0" w:color="auto"/>
            </w:tcBorders>
            <w:shd w:val="clear" w:color="auto" w:fill="FFFFFF" w:themeFill="background1"/>
          </w:tcPr>
          <w:p w14:paraId="02E63D64" w14:textId="62CC70D8"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s="Times New Roman"/>
                <w:color w:val="000000" w:themeColor="text1"/>
                <w:kern w:val="22"/>
                <w:szCs w:val="22"/>
              </w:rPr>
              <w:t>Preparatory process</w:t>
            </w:r>
          </w:p>
        </w:tc>
        <w:tc>
          <w:tcPr>
            <w:tcW w:w="1297" w:type="dxa"/>
            <w:tcBorders>
              <w:bottom w:val="single" w:sz="4" w:space="0" w:color="auto"/>
            </w:tcBorders>
            <w:shd w:val="clear" w:color="auto" w:fill="FFFFFF" w:themeFill="background1"/>
          </w:tcPr>
          <w:p w14:paraId="55CDE03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561FD2B4" w14:textId="62972FE6"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The Co-Chairs of the Working Group will provide a briefing of the progress made under the </w:t>
            </w:r>
            <w:r w:rsidR="00B20504" w:rsidRPr="00780276">
              <w:rPr>
                <w:rFonts w:ascii="Times New Roman" w:hAnsi="Times New Roman" w:cs="Times New Roman"/>
                <w:color w:val="000000" w:themeColor="text1"/>
                <w:kern w:val="22"/>
                <w:szCs w:val="22"/>
              </w:rPr>
              <w:t>W</w:t>
            </w:r>
            <w:r w:rsidRPr="00780276">
              <w:rPr>
                <w:rFonts w:ascii="Times New Roman" w:hAnsi="Times New Roman" w:cs="Times New Roman"/>
                <w:color w:val="000000" w:themeColor="text1"/>
                <w:kern w:val="22"/>
                <w:szCs w:val="22"/>
              </w:rPr>
              <w:t xml:space="preserve">orking </w:t>
            </w:r>
            <w:r w:rsidR="00B20504" w:rsidRPr="00780276">
              <w:rPr>
                <w:rFonts w:ascii="Times New Roman" w:hAnsi="Times New Roman" w:cs="Times New Roman"/>
                <w:color w:val="000000" w:themeColor="text1"/>
                <w:kern w:val="22"/>
                <w:szCs w:val="22"/>
              </w:rPr>
              <w:t>G</w:t>
            </w:r>
            <w:r w:rsidRPr="00780276">
              <w:rPr>
                <w:rFonts w:ascii="Times New Roman" w:hAnsi="Times New Roman" w:cs="Times New Roman"/>
                <w:color w:val="000000" w:themeColor="text1"/>
                <w:kern w:val="22"/>
                <w:szCs w:val="22"/>
              </w:rPr>
              <w:t>roup during its first meeting and through subsequent consultations and submissions</w:t>
            </w:r>
          </w:p>
        </w:tc>
        <w:tc>
          <w:tcPr>
            <w:tcW w:w="1861" w:type="dxa"/>
            <w:tcBorders>
              <w:bottom w:val="single" w:sz="4" w:space="0" w:color="auto"/>
            </w:tcBorders>
            <w:shd w:val="clear" w:color="auto" w:fill="FFFFFF" w:themeFill="background1"/>
          </w:tcPr>
          <w:p w14:paraId="1DE31A1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consultation</w:t>
            </w:r>
          </w:p>
          <w:p w14:paraId="2C6C778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3</w:t>
            </w:r>
          </w:p>
        </w:tc>
      </w:tr>
      <w:tr w:rsidR="001E2016" w:rsidRPr="00225964" w14:paraId="4D24AEC7" w14:textId="77777777" w:rsidTr="00780276">
        <w:tblPrEx>
          <w:jc w:val="center"/>
        </w:tblPrEx>
        <w:trPr>
          <w:cantSplit/>
          <w:jc w:val="center"/>
        </w:trPr>
        <w:tc>
          <w:tcPr>
            <w:tcW w:w="2154" w:type="dxa"/>
            <w:shd w:val="clear" w:color="auto" w:fill="FFFFFF" w:themeFill="background1"/>
          </w:tcPr>
          <w:p w14:paraId="2B8EBD3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To be determined</w:t>
            </w:r>
          </w:p>
        </w:tc>
        <w:tc>
          <w:tcPr>
            <w:tcW w:w="2157" w:type="dxa"/>
            <w:shd w:val="clear" w:color="auto" w:fill="FFFFFF" w:themeFill="background1"/>
          </w:tcPr>
          <w:p w14:paraId="1DFE935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 on area-based conservation measures</w:t>
            </w:r>
          </w:p>
        </w:tc>
        <w:tc>
          <w:tcPr>
            <w:tcW w:w="3016" w:type="dxa"/>
            <w:shd w:val="clear" w:color="auto" w:fill="FFFFFF" w:themeFill="background1"/>
          </w:tcPr>
          <w:p w14:paraId="4A685E8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Protected areas and other area-based measures for management of habitats</w:t>
            </w:r>
          </w:p>
        </w:tc>
        <w:tc>
          <w:tcPr>
            <w:tcW w:w="1297" w:type="dxa"/>
            <w:shd w:val="clear" w:color="auto" w:fill="FFFFFF" w:themeFill="background1"/>
          </w:tcPr>
          <w:p w14:paraId="21004C8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2384697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A report of the workshop will be made available to WG2020-2.</w:t>
            </w:r>
          </w:p>
        </w:tc>
        <w:tc>
          <w:tcPr>
            <w:tcW w:w="1861" w:type="dxa"/>
            <w:shd w:val="clear" w:color="auto" w:fill="FFFFFF" w:themeFill="background1"/>
          </w:tcPr>
          <w:p w14:paraId="29CF3B0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w:t>
            </w:r>
          </w:p>
          <w:p w14:paraId="0E18168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4</w:t>
            </w:r>
          </w:p>
        </w:tc>
      </w:tr>
      <w:tr w:rsidR="001E2016" w:rsidRPr="00225964" w14:paraId="6099E670" w14:textId="77777777" w:rsidTr="00780276">
        <w:tblPrEx>
          <w:jc w:val="center"/>
        </w:tblPrEx>
        <w:trPr>
          <w:cantSplit/>
          <w:jc w:val="center"/>
        </w:trPr>
        <w:tc>
          <w:tcPr>
            <w:tcW w:w="2154" w:type="dxa"/>
            <w:shd w:val="clear" w:color="auto" w:fill="FFFFFF" w:themeFill="background1"/>
          </w:tcPr>
          <w:p w14:paraId="1351E68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January 2020 (to be confirmed)</w:t>
            </w:r>
          </w:p>
        </w:tc>
        <w:tc>
          <w:tcPr>
            <w:tcW w:w="2157" w:type="dxa"/>
            <w:shd w:val="clear" w:color="auto" w:fill="FFFFFF" w:themeFill="background1"/>
          </w:tcPr>
          <w:p w14:paraId="48069C6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Workshop and/or online consultations on review approaches and mechanisms</w:t>
            </w:r>
          </w:p>
        </w:tc>
        <w:tc>
          <w:tcPr>
            <w:tcW w:w="3016" w:type="dxa"/>
            <w:shd w:val="clear" w:color="auto" w:fill="FFFFFF" w:themeFill="background1"/>
          </w:tcPr>
          <w:p w14:paraId="40AA9B1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Mechanisms for review of implementation</w:t>
            </w:r>
          </w:p>
        </w:tc>
        <w:tc>
          <w:tcPr>
            <w:tcW w:w="1297" w:type="dxa"/>
            <w:shd w:val="clear" w:color="auto" w:fill="FFFFFF" w:themeFill="background1"/>
          </w:tcPr>
          <w:p w14:paraId="6C0DB23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Decision </w:t>
            </w:r>
            <w:hyperlink r:id="rId34" w:history="1">
              <w:r w:rsidRPr="00780276">
                <w:rPr>
                  <w:rStyle w:val="Hyperlink"/>
                  <w:rFonts w:ascii="Times New Roman" w:hAnsi="Times New Roman" w:cs="Times New Roman"/>
                  <w:color w:val="000000" w:themeColor="text1"/>
                  <w:kern w:val="22"/>
                  <w:sz w:val="22"/>
                  <w:szCs w:val="22"/>
                  <w:u w:val="none"/>
                </w:rPr>
                <w:t>14/29</w:t>
              </w:r>
            </w:hyperlink>
          </w:p>
        </w:tc>
        <w:tc>
          <w:tcPr>
            <w:tcW w:w="3644" w:type="dxa"/>
            <w:shd w:val="clear" w:color="auto" w:fill="FFFFFF" w:themeFill="background1"/>
          </w:tcPr>
          <w:p w14:paraId="647B3D3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 Workshop will develop options for mechanisms for review of implementation for further consultations and consideration by WG2020-2 and SBI-3</w:t>
            </w:r>
          </w:p>
        </w:tc>
        <w:tc>
          <w:tcPr>
            <w:tcW w:w="1861" w:type="dxa"/>
            <w:shd w:val="clear" w:color="auto" w:fill="FFFFFF" w:themeFill="background1"/>
          </w:tcPr>
          <w:p w14:paraId="66E8B21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w:t>
            </w:r>
          </w:p>
          <w:p w14:paraId="0805C66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4</w:t>
            </w:r>
          </w:p>
        </w:tc>
      </w:tr>
      <w:tr w:rsidR="001E2016" w:rsidRPr="00225964" w14:paraId="36A496FF"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0B2A424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January/February 2020 (to be confirmed)</w:t>
            </w:r>
          </w:p>
        </w:tc>
        <w:tc>
          <w:tcPr>
            <w:tcW w:w="2157" w:type="dxa"/>
            <w:tcBorders>
              <w:bottom w:val="single" w:sz="4" w:space="0" w:color="auto"/>
            </w:tcBorders>
            <w:shd w:val="clear" w:color="auto" w:fill="FFFFFF" w:themeFill="background1"/>
          </w:tcPr>
          <w:p w14:paraId="6F3DBE1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Consultation on resource mobilization</w:t>
            </w:r>
          </w:p>
        </w:tc>
        <w:tc>
          <w:tcPr>
            <w:tcW w:w="3016" w:type="dxa"/>
            <w:tcBorders>
              <w:bottom w:val="single" w:sz="4" w:space="0" w:color="auto"/>
            </w:tcBorders>
            <w:shd w:val="clear" w:color="auto" w:fill="FFFFFF" w:themeFill="background1"/>
          </w:tcPr>
          <w:p w14:paraId="2EB159F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Resource mobilization</w:t>
            </w:r>
          </w:p>
        </w:tc>
        <w:tc>
          <w:tcPr>
            <w:tcW w:w="1297" w:type="dxa"/>
            <w:tcBorders>
              <w:bottom w:val="single" w:sz="4" w:space="0" w:color="auto"/>
            </w:tcBorders>
            <w:shd w:val="clear" w:color="auto" w:fill="FFFFFF" w:themeFill="background1"/>
          </w:tcPr>
          <w:p w14:paraId="64D4E67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5699601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 report of the consultation will be made available to the WG2020-2</w:t>
            </w:r>
          </w:p>
        </w:tc>
        <w:tc>
          <w:tcPr>
            <w:tcW w:w="1861" w:type="dxa"/>
            <w:tcBorders>
              <w:bottom w:val="single" w:sz="4" w:space="0" w:color="auto"/>
            </w:tcBorders>
            <w:shd w:val="clear" w:color="auto" w:fill="FFFFFF" w:themeFill="background1"/>
          </w:tcPr>
          <w:p w14:paraId="5508CA9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workshop</w:t>
            </w:r>
          </w:p>
          <w:p w14:paraId="4D50FA7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4</w:t>
            </w:r>
          </w:p>
        </w:tc>
      </w:tr>
      <w:tr w:rsidR="001E2016" w:rsidRPr="00225964" w14:paraId="30A5E054"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6341753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21-22 February 2020 (to be confirmed), Kunming, China</w:t>
            </w:r>
          </w:p>
        </w:tc>
        <w:tc>
          <w:tcPr>
            <w:tcW w:w="2157" w:type="dxa"/>
            <w:tcBorders>
              <w:bottom w:val="single" w:sz="4" w:space="0" w:color="auto"/>
            </w:tcBorders>
            <w:shd w:val="clear" w:color="auto" w:fill="FFFFFF" w:themeFill="background1"/>
          </w:tcPr>
          <w:p w14:paraId="613AFB9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iCs/>
                <w:snapToGrid w:val="0"/>
                <w:color w:val="000000" w:themeColor="text1"/>
                <w:kern w:val="22"/>
                <w:szCs w:val="22"/>
              </w:rPr>
              <w:t>Consultation on review approaches and mechanisms</w:t>
            </w:r>
          </w:p>
        </w:tc>
        <w:tc>
          <w:tcPr>
            <w:tcW w:w="3016" w:type="dxa"/>
            <w:tcBorders>
              <w:bottom w:val="single" w:sz="4" w:space="0" w:color="auto"/>
            </w:tcBorders>
            <w:shd w:val="clear" w:color="auto" w:fill="FFFFFF" w:themeFill="background1"/>
          </w:tcPr>
          <w:p w14:paraId="2ED21783" w14:textId="77777777" w:rsidR="001E2016" w:rsidRPr="00780276" w:rsidRDefault="001E2016" w:rsidP="00412F38">
            <w:pPr>
              <w:spacing w:before="40" w:after="40"/>
              <w:jc w:val="left"/>
              <w:rPr>
                <w:rFonts w:ascii="Times New Roman" w:hAnsi="Times New Roman" w:cs="Times New Roman"/>
                <w:color w:val="000000" w:themeColor="text1"/>
                <w:kern w:val="22"/>
                <w:szCs w:val="22"/>
                <w:shd w:val="clear" w:color="auto" w:fill="FFFFFF"/>
              </w:rPr>
            </w:pPr>
            <w:r w:rsidRPr="00780276">
              <w:rPr>
                <w:rFonts w:ascii="Times New Roman" w:hAnsi="Times New Roman" w:cs="Times New Roman"/>
                <w:color w:val="000000" w:themeColor="text1"/>
                <w:kern w:val="22"/>
                <w:szCs w:val="22"/>
              </w:rPr>
              <w:t>Mechanisms for review of implementation</w:t>
            </w:r>
          </w:p>
        </w:tc>
        <w:tc>
          <w:tcPr>
            <w:tcW w:w="1297" w:type="dxa"/>
            <w:tcBorders>
              <w:bottom w:val="single" w:sz="4" w:space="0" w:color="auto"/>
            </w:tcBorders>
            <w:shd w:val="clear" w:color="auto" w:fill="FFFFFF" w:themeFill="background1"/>
          </w:tcPr>
          <w:p w14:paraId="4CDCBFA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Decision </w:t>
            </w:r>
            <w:hyperlink r:id="rId35" w:history="1">
              <w:r w:rsidRPr="00780276">
                <w:rPr>
                  <w:rStyle w:val="Hyperlink"/>
                  <w:rFonts w:ascii="Times New Roman" w:hAnsi="Times New Roman" w:cs="Times New Roman"/>
                  <w:color w:val="000000" w:themeColor="text1"/>
                  <w:kern w:val="22"/>
                  <w:sz w:val="22"/>
                  <w:szCs w:val="22"/>
                  <w:u w:val="none"/>
                </w:rPr>
                <w:t>14/29</w:t>
              </w:r>
            </w:hyperlink>
          </w:p>
        </w:tc>
        <w:tc>
          <w:tcPr>
            <w:tcW w:w="3644" w:type="dxa"/>
            <w:tcBorders>
              <w:bottom w:val="single" w:sz="4" w:space="0" w:color="auto"/>
            </w:tcBorders>
            <w:shd w:val="clear" w:color="auto" w:fill="FFFFFF" w:themeFill="background1"/>
          </w:tcPr>
          <w:p w14:paraId="4BB132F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 Workshop will consider options for mechanisms for review of implementation for further consideration by WG2020-2 and SBI</w:t>
            </w:r>
            <w:r w:rsidRPr="00780276">
              <w:rPr>
                <w:rFonts w:ascii="Times New Roman" w:hAnsi="Times New Roman" w:cs="Times New Roman"/>
                <w:color w:val="000000" w:themeColor="text1"/>
                <w:kern w:val="22"/>
                <w:szCs w:val="22"/>
              </w:rPr>
              <w:noBreakHyphen/>
              <w:t>3</w:t>
            </w:r>
          </w:p>
        </w:tc>
        <w:tc>
          <w:tcPr>
            <w:tcW w:w="1861" w:type="dxa"/>
            <w:tcBorders>
              <w:bottom w:val="single" w:sz="4" w:space="0" w:color="auto"/>
            </w:tcBorders>
            <w:shd w:val="clear" w:color="auto" w:fill="FFFFFF" w:themeFill="background1"/>
          </w:tcPr>
          <w:p w14:paraId="67FC607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consultation</w:t>
            </w:r>
          </w:p>
          <w:p w14:paraId="580E1E1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3</w:t>
            </w:r>
          </w:p>
        </w:tc>
      </w:tr>
      <w:tr w:rsidR="001E2016" w:rsidRPr="00225964" w14:paraId="08FDB1B5"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669BCD4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1 March 2020, Kunming, China</w:t>
            </w:r>
          </w:p>
        </w:tc>
        <w:tc>
          <w:tcPr>
            <w:tcW w:w="2157" w:type="dxa"/>
            <w:tcBorders>
              <w:bottom w:val="single" w:sz="4" w:space="0" w:color="auto"/>
            </w:tcBorders>
            <w:shd w:val="clear" w:color="auto" w:fill="FFFFFF" w:themeFill="background1"/>
          </w:tcPr>
          <w:p w14:paraId="021F2A0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Consultation on capacity</w:t>
            </w:r>
            <w:r w:rsidRPr="00780276">
              <w:rPr>
                <w:rFonts w:ascii="Times New Roman" w:hAnsi="Times New Roman" w:cs="Times New Roman"/>
                <w:color w:val="000000" w:themeColor="text1"/>
                <w:kern w:val="22"/>
                <w:szCs w:val="22"/>
              </w:rPr>
              <w:noBreakHyphen/>
              <w:t>building</w:t>
            </w:r>
          </w:p>
        </w:tc>
        <w:tc>
          <w:tcPr>
            <w:tcW w:w="3016" w:type="dxa"/>
            <w:tcBorders>
              <w:bottom w:val="single" w:sz="4" w:space="0" w:color="auto"/>
            </w:tcBorders>
            <w:shd w:val="clear" w:color="auto" w:fill="FFFFFF" w:themeFill="background1"/>
          </w:tcPr>
          <w:p w14:paraId="009C5DC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Capacity-building</w:t>
            </w:r>
          </w:p>
        </w:tc>
        <w:tc>
          <w:tcPr>
            <w:tcW w:w="1297" w:type="dxa"/>
            <w:tcBorders>
              <w:bottom w:val="single" w:sz="4" w:space="0" w:color="auto"/>
            </w:tcBorders>
            <w:shd w:val="clear" w:color="auto" w:fill="FFFFFF" w:themeFill="background1"/>
          </w:tcPr>
          <w:p w14:paraId="09C78D12"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477B9EDC" w14:textId="5D157DDE"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The report of the consultation will be made available to SBI-3 and </w:t>
            </w:r>
            <w:r w:rsidRPr="00780276">
              <w:rPr>
                <w:rFonts w:ascii="Times New Roman" w:hAnsi="Times New Roman" w:cs="Times New Roman"/>
                <w:iCs/>
                <w:snapToGrid w:val="0"/>
                <w:color w:val="000000" w:themeColor="text1"/>
                <w:kern w:val="22"/>
                <w:szCs w:val="22"/>
              </w:rPr>
              <w:t>WG2020-3</w:t>
            </w:r>
          </w:p>
        </w:tc>
        <w:tc>
          <w:tcPr>
            <w:tcW w:w="1861" w:type="dxa"/>
            <w:tcBorders>
              <w:bottom w:val="single" w:sz="4" w:space="0" w:color="auto"/>
            </w:tcBorders>
            <w:shd w:val="clear" w:color="auto" w:fill="FFFFFF" w:themeFill="background1"/>
          </w:tcPr>
          <w:p w14:paraId="6C8A34E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Thematic consultation</w:t>
            </w:r>
          </w:p>
          <w:p w14:paraId="0D1C127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3</w:t>
            </w:r>
          </w:p>
        </w:tc>
      </w:tr>
    </w:tbl>
    <w:p w14:paraId="4D0C99F9" w14:textId="77777777" w:rsidR="001E2016" w:rsidRPr="00780276" w:rsidRDefault="001E2016" w:rsidP="00412F38">
      <w:pPr>
        <w:jc w:val="left"/>
        <w:rPr>
          <w:kern w:val="22"/>
          <w:szCs w:val="22"/>
        </w:rPr>
      </w:pPr>
    </w:p>
    <w:p w14:paraId="777BCF67" w14:textId="1C8A9C65" w:rsidR="001E2016" w:rsidRPr="00780276" w:rsidRDefault="001E2016" w:rsidP="00780276">
      <w:pPr>
        <w:keepNext/>
        <w:spacing w:after="120"/>
        <w:jc w:val="center"/>
        <w:rPr>
          <w:b/>
          <w:bCs/>
          <w:kern w:val="22"/>
          <w:szCs w:val="22"/>
        </w:rPr>
      </w:pPr>
      <w:r w:rsidRPr="00780276">
        <w:rPr>
          <w:b/>
          <w:bCs/>
          <w:kern w:val="22"/>
          <w:szCs w:val="22"/>
        </w:rPr>
        <w:t>Table 3</w:t>
      </w:r>
      <w:r w:rsidR="00842365" w:rsidRPr="00225964">
        <w:rPr>
          <w:b/>
          <w:bCs/>
          <w:kern w:val="22"/>
          <w:szCs w:val="22"/>
        </w:rPr>
        <w:t>.</w:t>
      </w:r>
      <w:r w:rsidRPr="00780276">
        <w:rPr>
          <w:b/>
          <w:bCs/>
          <w:kern w:val="22"/>
          <w:szCs w:val="22"/>
        </w:rPr>
        <w:t xml:space="preserve"> Meetings organized by partners</w:t>
      </w:r>
    </w:p>
    <w:tbl>
      <w:tblPr>
        <w:tblStyle w:val="TableGrid"/>
        <w:tblW w:w="5000" w:type="pct"/>
        <w:tblLayout w:type="fixed"/>
        <w:tblLook w:val="04A0" w:firstRow="1" w:lastRow="0" w:firstColumn="1" w:lastColumn="0" w:noHBand="0" w:noVBand="1"/>
      </w:tblPr>
      <w:tblGrid>
        <w:gridCol w:w="2154"/>
        <w:gridCol w:w="2157"/>
        <w:gridCol w:w="3016"/>
        <w:gridCol w:w="1297"/>
        <w:gridCol w:w="3644"/>
        <w:gridCol w:w="1861"/>
      </w:tblGrid>
      <w:tr w:rsidR="001E2016" w:rsidRPr="00225964" w14:paraId="7BAFD016" w14:textId="77777777" w:rsidTr="00412F38">
        <w:tc>
          <w:tcPr>
            <w:tcW w:w="2154" w:type="dxa"/>
          </w:tcPr>
          <w:p w14:paraId="63D09C79"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bookmarkStart w:id="6" w:name="_Hlk19178026"/>
            <w:bookmarkStart w:id="7" w:name="_Hlk21506514"/>
            <w:r w:rsidRPr="00225964">
              <w:rPr>
                <w:i/>
                <w:color w:val="000000" w:themeColor="text1"/>
                <w:kern w:val="22"/>
                <w:szCs w:val="22"/>
              </w:rPr>
              <w:t>Date and location</w:t>
            </w:r>
          </w:p>
        </w:tc>
        <w:tc>
          <w:tcPr>
            <w:tcW w:w="2157" w:type="dxa"/>
          </w:tcPr>
          <w:p w14:paraId="550FCA1D"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sidRPr="00225964">
              <w:rPr>
                <w:i/>
                <w:color w:val="000000" w:themeColor="text1"/>
                <w:kern w:val="22"/>
                <w:szCs w:val="22"/>
              </w:rPr>
              <w:t>Meeting</w:t>
            </w:r>
          </w:p>
        </w:tc>
        <w:tc>
          <w:tcPr>
            <w:tcW w:w="3016" w:type="dxa"/>
          </w:tcPr>
          <w:p w14:paraId="59C9938C"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sidRPr="00225964">
              <w:rPr>
                <w:i/>
                <w:color w:val="000000" w:themeColor="text1"/>
                <w:kern w:val="22"/>
                <w:szCs w:val="22"/>
              </w:rPr>
              <w:t>Element of the post-2020 global biodiversity framework</w:t>
            </w:r>
          </w:p>
        </w:tc>
        <w:tc>
          <w:tcPr>
            <w:tcW w:w="1297" w:type="dxa"/>
          </w:tcPr>
          <w:p w14:paraId="252E59F9"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sidRPr="00225964">
              <w:rPr>
                <w:i/>
                <w:color w:val="000000" w:themeColor="text1"/>
                <w:kern w:val="22"/>
                <w:szCs w:val="22"/>
              </w:rPr>
              <w:t>Mandate</w:t>
            </w:r>
          </w:p>
        </w:tc>
        <w:tc>
          <w:tcPr>
            <w:tcW w:w="3644" w:type="dxa"/>
          </w:tcPr>
          <w:p w14:paraId="7E3E5F73"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sidRPr="00225964">
              <w:rPr>
                <w:i/>
                <w:color w:val="000000" w:themeColor="text1"/>
                <w:kern w:val="22"/>
                <w:szCs w:val="22"/>
              </w:rPr>
              <w:t>Role/modality</w:t>
            </w:r>
          </w:p>
        </w:tc>
        <w:tc>
          <w:tcPr>
            <w:tcW w:w="1861" w:type="dxa"/>
          </w:tcPr>
          <w:p w14:paraId="39E0AF3F"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sidRPr="00225964">
              <w:rPr>
                <w:i/>
                <w:color w:val="000000" w:themeColor="text1"/>
                <w:kern w:val="22"/>
                <w:szCs w:val="22"/>
              </w:rPr>
              <w:t>Type</w:t>
            </w:r>
          </w:p>
        </w:tc>
      </w:tr>
      <w:bookmarkEnd w:id="6"/>
      <w:tr w:rsidR="001E2016" w:rsidRPr="00225964" w14:paraId="719D55CD" w14:textId="77777777" w:rsidTr="00780276">
        <w:tblPrEx>
          <w:jc w:val="center"/>
        </w:tblPrEx>
        <w:trPr>
          <w:cantSplit/>
          <w:jc w:val="center"/>
        </w:trPr>
        <w:tc>
          <w:tcPr>
            <w:tcW w:w="2154" w:type="dxa"/>
            <w:shd w:val="clear" w:color="auto" w:fill="FFFFFF" w:themeFill="background1"/>
          </w:tcPr>
          <w:p w14:paraId="22CED1C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4-6 September 2019, Japan</w:t>
            </w:r>
          </w:p>
        </w:tc>
        <w:tc>
          <w:tcPr>
            <w:tcW w:w="2157" w:type="dxa"/>
            <w:shd w:val="clear" w:color="auto" w:fill="FFFFFF" w:themeFill="background1"/>
          </w:tcPr>
          <w:p w14:paraId="7352ADC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kern w:val="22"/>
                <w:szCs w:val="22"/>
              </w:rPr>
              <w:t>United Nations University workshop on landscapes and seascapes approaches</w:t>
            </w:r>
          </w:p>
        </w:tc>
        <w:tc>
          <w:tcPr>
            <w:tcW w:w="3016" w:type="dxa"/>
            <w:shd w:val="clear" w:color="auto" w:fill="FFFFFF" w:themeFill="background1"/>
          </w:tcPr>
          <w:p w14:paraId="45E2DB5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Potential </w:t>
            </w:r>
            <w:r w:rsidRPr="00780276">
              <w:rPr>
                <w:rFonts w:ascii="Times New Roman" w:hAnsi="Times New Roman" w:cs="Times New Roman"/>
                <w:kern w:val="22"/>
                <w:szCs w:val="22"/>
              </w:rPr>
              <w:t>landscape and seascape approaches</w:t>
            </w:r>
          </w:p>
        </w:tc>
        <w:tc>
          <w:tcPr>
            <w:tcW w:w="1297" w:type="dxa"/>
            <w:shd w:val="clear" w:color="auto" w:fill="FFFFFF" w:themeFill="background1"/>
          </w:tcPr>
          <w:p w14:paraId="2B050C8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7BBF00F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A report of the workshop will be made available to WG2020-2.</w:t>
            </w:r>
          </w:p>
        </w:tc>
        <w:tc>
          <w:tcPr>
            <w:tcW w:w="1861" w:type="dxa"/>
            <w:shd w:val="clear" w:color="auto" w:fill="FFFFFF" w:themeFill="background1"/>
          </w:tcPr>
          <w:p w14:paraId="6995071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Partners</w:t>
            </w:r>
          </w:p>
          <w:p w14:paraId="153D742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5</w:t>
            </w:r>
          </w:p>
        </w:tc>
      </w:tr>
      <w:tr w:rsidR="001E2016" w:rsidRPr="00225964" w14:paraId="4E8EDD0C" w14:textId="77777777" w:rsidTr="00780276">
        <w:tblPrEx>
          <w:jc w:val="center"/>
        </w:tblPrEx>
        <w:trPr>
          <w:cantSplit/>
          <w:jc w:val="center"/>
        </w:trPr>
        <w:tc>
          <w:tcPr>
            <w:tcW w:w="2154" w:type="dxa"/>
            <w:shd w:val="clear" w:color="auto" w:fill="FFFFFF" w:themeFill="background1"/>
          </w:tcPr>
          <w:p w14:paraId="3BF199AD" w14:textId="3B7717A7" w:rsidR="001E2016" w:rsidRPr="00780276" w:rsidRDefault="00DB783F"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 xml:space="preserve">1-3 April 2020, Edinburgh, </w:t>
            </w:r>
            <w:r w:rsidR="008D57DA" w:rsidRPr="00780276">
              <w:rPr>
                <w:rFonts w:ascii="Times New Roman" w:hAnsi="Times New Roman" w:cs="Times New Roman"/>
                <w:color w:val="000000" w:themeColor="text1"/>
                <w:kern w:val="22"/>
                <w:szCs w:val="22"/>
              </w:rPr>
              <w:t>United Kingdom</w:t>
            </w:r>
          </w:p>
        </w:tc>
        <w:tc>
          <w:tcPr>
            <w:tcW w:w="2157" w:type="dxa"/>
            <w:shd w:val="clear" w:color="auto" w:fill="FFFFFF" w:themeFill="background1"/>
          </w:tcPr>
          <w:p w14:paraId="3EA15398" w14:textId="77777777" w:rsidR="001E2016" w:rsidRPr="00780276" w:rsidRDefault="001E2016" w:rsidP="00412F38">
            <w:pPr>
              <w:spacing w:before="40" w:after="40"/>
              <w:jc w:val="left"/>
              <w:rPr>
                <w:rFonts w:ascii="Times New Roman" w:hAnsi="Times New Roman" w:cs="Times New Roman"/>
                <w:kern w:val="22"/>
                <w:szCs w:val="22"/>
              </w:rPr>
            </w:pPr>
            <w:r w:rsidRPr="00780276">
              <w:rPr>
                <w:rFonts w:ascii="Times New Roman" w:hAnsi="Times New Roman" w:cs="Times New Roman"/>
                <w:kern w:val="22"/>
                <w:szCs w:val="22"/>
              </w:rPr>
              <w:t>Subnational governments</w:t>
            </w:r>
          </w:p>
        </w:tc>
        <w:tc>
          <w:tcPr>
            <w:tcW w:w="3016" w:type="dxa"/>
            <w:shd w:val="clear" w:color="auto" w:fill="FFFFFF" w:themeFill="background1"/>
          </w:tcPr>
          <w:p w14:paraId="4E10CE93" w14:textId="70B7CC66"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s="Times New Roman"/>
                <w:color w:val="000000" w:themeColor="text1"/>
                <w:kern w:val="22"/>
                <w:szCs w:val="22"/>
              </w:rPr>
              <w:t>Potential role of subnational governments, cities and local authorities in</w:t>
            </w:r>
            <w:r w:rsidR="008D65DB" w:rsidRPr="00780276">
              <w:rPr>
                <w:rFonts w:ascii="Times New Roman" w:hAnsi="Times New Roman" w:cs="Times New Roman"/>
                <w:color w:val="000000" w:themeColor="text1"/>
                <w:kern w:val="22"/>
                <w:szCs w:val="22"/>
              </w:rPr>
              <w:t xml:space="preserve"> the post-2020 global biodiversity framework</w:t>
            </w:r>
          </w:p>
        </w:tc>
        <w:tc>
          <w:tcPr>
            <w:tcW w:w="1297" w:type="dxa"/>
            <w:shd w:val="clear" w:color="auto" w:fill="FFFFFF" w:themeFill="background1"/>
          </w:tcPr>
          <w:p w14:paraId="75D1CDD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0CD3B024" w14:textId="71280E30" w:rsidR="001E2016" w:rsidRPr="00780276" w:rsidRDefault="008D65DB"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The workshop will seek input from subnational governments, cities and local authorities on scope, content and implementation of the post-2020 global biodiversity framework. A report of the workshop will be made available for WG2020-3</w:t>
            </w:r>
            <w:r w:rsidR="00852CFF" w:rsidRPr="00780276">
              <w:rPr>
                <w:rFonts w:ascii="Times New Roman" w:hAnsi="Times New Roman" w:cs="Times New Roman"/>
                <w:color w:val="000000" w:themeColor="text1"/>
                <w:kern w:val="22"/>
                <w:szCs w:val="22"/>
              </w:rPr>
              <w:t>.</w:t>
            </w:r>
          </w:p>
        </w:tc>
        <w:tc>
          <w:tcPr>
            <w:tcW w:w="1861" w:type="dxa"/>
            <w:shd w:val="clear" w:color="auto" w:fill="FFFFFF" w:themeFill="background1"/>
          </w:tcPr>
          <w:p w14:paraId="30191D8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Partners, 5</w:t>
            </w:r>
          </w:p>
        </w:tc>
      </w:tr>
      <w:tr w:rsidR="001E2016" w:rsidRPr="00225964" w14:paraId="1DFA4D20" w14:textId="77777777" w:rsidTr="00780276">
        <w:tblPrEx>
          <w:jc w:val="center"/>
        </w:tblPrEx>
        <w:trPr>
          <w:cantSplit/>
          <w:jc w:val="center"/>
        </w:trPr>
        <w:tc>
          <w:tcPr>
            <w:tcW w:w="2154" w:type="dxa"/>
            <w:shd w:val="clear" w:color="auto" w:fill="FFFFFF" w:themeFill="background1"/>
          </w:tcPr>
          <w:p w14:paraId="59C2EBC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Switzerland, date and venue to be determined</w:t>
            </w:r>
          </w:p>
        </w:tc>
        <w:tc>
          <w:tcPr>
            <w:tcW w:w="2157" w:type="dxa"/>
            <w:shd w:val="clear" w:color="auto" w:fill="FFFFFF" w:themeFill="background1"/>
          </w:tcPr>
          <w:p w14:paraId="25DB0F26" w14:textId="77777777" w:rsidR="001E2016" w:rsidRPr="00780276" w:rsidRDefault="001E2016" w:rsidP="00412F38">
            <w:pPr>
              <w:spacing w:before="40" w:after="40"/>
              <w:jc w:val="left"/>
              <w:rPr>
                <w:rFonts w:ascii="Times New Roman" w:hAnsi="Times New Roman" w:cs="Times New Roman"/>
                <w:kern w:val="22"/>
                <w:szCs w:val="22"/>
              </w:rPr>
            </w:pPr>
            <w:r w:rsidRPr="00780276">
              <w:rPr>
                <w:rFonts w:ascii="Times New Roman" w:hAnsi="Times New Roman" w:cs="Times New Roman"/>
                <w:kern w:val="22"/>
                <w:szCs w:val="22"/>
              </w:rPr>
              <w:t>Synergies</w:t>
            </w:r>
          </w:p>
        </w:tc>
        <w:tc>
          <w:tcPr>
            <w:tcW w:w="3016" w:type="dxa"/>
            <w:shd w:val="clear" w:color="auto" w:fill="FFFFFF" w:themeFill="background1"/>
          </w:tcPr>
          <w:p w14:paraId="5FE0FBF2" w14:textId="56295F43"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s="Times New Roman"/>
                <w:color w:val="000000" w:themeColor="text1"/>
                <w:kern w:val="22"/>
                <w:szCs w:val="22"/>
              </w:rPr>
              <w:t>Potential synergies with other MEAs and international organizations</w:t>
            </w:r>
          </w:p>
        </w:tc>
        <w:tc>
          <w:tcPr>
            <w:tcW w:w="1297" w:type="dxa"/>
            <w:shd w:val="clear" w:color="auto" w:fill="FFFFFF" w:themeFill="background1"/>
          </w:tcPr>
          <w:p w14:paraId="552E564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6DB0695C" w14:textId="4FEB1F8F"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s="Times New Roman"/>
                <w:color w:val="000000" w:themeColor="text1"/>
                <w:kern w:val="22"/>
                <w:szCs w:val="22"/>
              </w:rPr>
              <w:t>T</w:t>
            </w:r>
            <w:r w:rsidR="001E2016" w:rsidRPr="00780276">
              <w:rPr>
                <w:rFonts w:ascii="Times New Roman" w:hAnsi="Times New Roman" w:cs="Times New Roman"/>
                <w:color w:val="000000" w:themeColor="text1"/>
                <w:kern w:val="22"/>
                <w:szCs w:val="22"/>
              </w:rPr>
              <w:t xml:space="preserve">o be </w:t>
            </w:r>
            <w:r>
              <w:rPr>
                <w:rFonts w:ascii="Times New Roman" w:hAnsi="Times New Roman" w:cs="Times New Roman"/>
                <w:color w:val="000000" w:themeColor="text1"/>
                <w:kern w:val="22"/>
                <w:szCs w:val="22"/>
              </w:rPr>
              <w:t xml:space="preserve">determined. Follow-up to the </w:t>
            </w:r>
            <w:r w:rsidRPr="00D85F61">
              <w:rPr>
                <w:rFonts w:ascii="Times New Roman" w:hAnsi="Times New Roman" w:cs="Times New Roman"/>
                <w:color w:val="000000" w:themeColor="text1"/>
                <w:kern w:val="22"/>
                <w:szCs w:val="22"/>
              </w:rPr>
              <w:t>Consultation Workshop of Biodiversity-related Conventions on the Post-2020 Global Biodiversity Framework, Bern, 10-12 June 2019</w:t>
            </w:r>
          </w:p>
        </w:tc>
        <w:tc>
          <w:tcPr>
            <w:tcW w:w="1861" w:type="dxa"/>
            <w:shd w:val="clear" w:color="auto" w:fill="FFFFFF" w:themeFill="background1"/>
          </w:tcPr>
          <w:p w14:paraId="23C6D58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Partners, 5</w:t>
            </w:r>
          </w:p>
        </w:tc>
      </w:tr>
      <w:tr w:rsidR="001E2016" w:rsidRPr="00225964" w14:paraId="3B8D20C7" w14:textId="77777777" w:rsidTr="00780276">
        <w:tblPrEx>
          <w:jc w:val="center"/>
        </w:tblPrEx>
        <w:trPr>
          <w:cantSplit/>
          <w:jc w:val="center"/>
        </w:trPr>
        <w:tc>
          <w:tcPr>
            <w:tcW w:w="2154" w:type="dxa"/>
            <w:shd w:val="clear" w:color="auto" w:fill="FFFFFF" w:themeFill="background1"/>
          </w:tcPr>
          <w:p w14:paraId="266D772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To be determined</w:t>
            </w:r>
          </w:p>
        </w:tc>
        <w:tc>
          <w:tcPr>
            <w:tcW w:w="2157" w:type="dxa"/>
            <w:shd w:val="clear" w:color="auto" w:fill="FFFFFF" w:themeFill="background1"/>
          </w:tcPr>
          <w:p w14:paraId="507FF0CC" w14:textId="77777777" w:rsidR="001E2016" w:rsidRPr="00780276" w:rsidRDefault="001E2016" w:rsidP="00412F38">
            <w:pPr>
              <w:spacing w:before="40" w:after="40"/>
              <w:jc w:val="left"/>
              <w:rPr>
                <w:rFonts w:ascii="Times New Roman" w:hAnsi="Times New Roman" w:cs="Times New Roman"/>
                <w:kern w:val="22"/>
                <w:szCs w:val="22"/>
              </w:rPr>
            </w:pPr>
            <w:r w:rsidRPr="00780276">
              <w:rPr>
                <w:rFonts w:ascii="Times New Roman" w:hAnsi="Times New Roman" w:cs="Times New Roman"/>
                <w:kern w:val="22"/>
                <w:szCs w:val="22"/>
              </w:rPr>
              <w:t>IUCN consultations</w:t>
            </w:r>
          </w:p>
        </w:tc>
        <w:tc>
          <w:tcPr>
            <w:tcW w:w="3016" w:type="dxa"/>
            <w:shd w:val="clear" w:color="auto" w:fill="FFFFFF" w:themeFill="background1"/>
          </w:tcPr>
          <w:p w14:paraId="5745AAB5" w14:textId="0A268A58" w:rsidR="001E2016" w:rsidRPr="00253E57" w:rsidRDefault="00F224EC" w:rsidP="00412F38">
            <w:pPr>
              <w:spacing w:before="40" w:after="40"/>
              <w:jc w:val="left"/>
              <w:rPr>
                <w:rFonts w:ascii="Times New Roman" w:hAnsi="Times New Roman" w:cs="Times New Roman"/>
                <w:color w:val="000000" w:themeColor="text1"/>
                <w:kern w:val="22"/>
                <w:szCs w:val="22"/>
              </w:rPr>
            </w:pPr>
            <w:r w:rsidRPr="000F721C">
              <w:rPr>
                <w:color w:val="000000" w:themeColor="text1"/>
                <w:kern w:val="22"/>
                <w:szCs w:val="22"/>
              </w:rPr>
              <w:t>Various elements</w:t>
            </w:r>
          </w:p>
        </w:tc>
        <w:tc>
          <w:tcPr>
            <w:tcW w:w="1297" w:type="dxa"/>
            <w:shd w:val="clear" w:color="auto" w:fill="FFFFFF" w:themeFill="background1"/>
          </w:tcPr>
          <w:p w14:paraId="26B2D179" w14:textId="77777777" w:rsidR="001E2016" w:rsidRPr="00253E57"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351AE221" w14:textId="0395F9D6" w:rsidR="001E2016" w:rsidRPr="00253E57" w:rsidRDefault="00D85F61" w:rsidP="00412F38">
            <w:pPr>
              <w:spacing w:before="40" w:after="40"/>
              <w:jc w:val="left"/>
              <w:rPr>
                <w:rFonts w:ascii="Times New Roman" w:hAnsi="Times New Roman" w:cs="Times New Roman"/>
                <w:color w:val="000000" w:themeColor="text1"/>
                <w:kern w:val="22"/>
                <w:szCs w:val="22"/>
              </w:rPr>
            </w:pPr>
            <w:r w:rsidRPr="00253E57">
              <w:rPr>
                <w:color w:val="000000" w:themeColor="text1"/>
                <w:kern w:val="22"/>
                <w:szCs w:val="22"/>
              </w:rPr>
              <w:t>Consultations among IUCN constituencies, including at regional level</w:t>
            </w:r>
          </w:p>
        </w:tc>
        <w:tc>
          <w:tcPr>
            <w:tcW w:w="1861" w:type="dxa"/>
            <w:shd w:val="clear" w:color="auto" w:fill="FFFFFF" w:themeFill="background1"/>
          </w:tcPr>
          <w:p w14:paraId="6361D74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Partners, 5</w:t>
            </w:r>
          </w:p>
        </w:tc>
      </w:tr>
      <w:tr w:rsidR="001E2016" w:rsidRPr="00225964" w14:paraId="24D7E9EC" w14:textId="77777777" w:rsidTr="00780276">
        <w:tblPrEx>
          <w:jc w:val="center"/>
        </w:tblPrEx>
        <w:trPr>
          <w:cantSplit/>
          <w:jc w:val="center"/>
        </w:trPr>
        <w:tc>
          <w:tcPr>
            <w:tcW w:w="2154" w:type="dxa"/>
            <w:shd w:val="clear" w:color="auto" w:fill="FFFFFF" w:themeFill="background1"/>
          </w:tcPr>
          <w:p w14:paraId="302F458A" w14:textId="2A600E16" w:rsidR="001E2016" w:rsidRPr="00FA2B7C" w:rsidRDefault="009876D3" w:rsidP="00412F38">
            <w:pPr>
              <w:spacing w:before="40" w:after="40"/>
              <w:jc w:val="left"/>
              <w:rPr>
                <w:rFonts w:ascii="Times New Roman" w:hAnsi="Times New Roman" w:cs="Times New Roman"/>
                <w:color w:val="000000" w:themeColor="text1"/>
                <w:kern w:val="22"/>
                <w:szCs w:val="22"/>
              </w:rPr>
            </w:pPr>
            <w:bookmarkStart w:id="8" w:name="_Hlk19177797"/>
            <w:r w:rsidRPr="00FA2B7C">
              <w:rPr>
                <w:rFonts w:ascii="Times New Roman" w:hAnsi="Times New Roman" w:cs="Times New Roman"/>
                <w:kern w:val="22"/>
                <w:szCs w:val="22"/>
              </w:rPr>
              <w:t>6-8 November 2019</w:t>
            </w:r>
            <w:r w:rsidR="00E71F32" w:rsidRPr="004C2450">
              <w:rPr>
                <w:rFonts w:ascii="Times New Roman" w:hAnsi="Times New Roman" w:cs="Times New Roman"/>
                <w:kern w:val="22"/>
                <w:szCs w:val="22"/>
              </w:rPr>
              <w:t>,</w:t>
            </w:r>
            <w:r w:rsidRPr="004C2450">
              <w:rPr>
                <w:rFonts w:ascii="Times New Roman" w:hAnsi="Times New Roman" w:cs="Times New Roman"/>
                <w:kern w:val="22"/>
                <w:szCs w:val="22"/>
              </w:rPr>
              <w:t xml:space="preserve"> Pretoria, South</w:t>
            </w:r>
            <w:r w:rsidR="00E71F32" w:rsidRPr="00FA2B7C">
              <w:rPr>
                <w:kern w:val="22"/>
                <w:szCs w:val="22"/>
              </w:rPr>
              <w:t> </w:t>
            </w:r>
            <w:r w:rsidRPr="00FA2B7C">
              <w:rPr>
                <w:kern w:val="22"/>
                <w:szCs w:val="22"/>
              </w:rPr>
              <w:t>Africa</w:t>
            </w:r>
          </w:p>
        </w:tc>
        <w:tc>
          <w:tcPr>
            <w:tcW w:w="2157" w:type="dxa"/>
            <w:shd w:val="clear" w:color="auto" w:fill="FFFFFF" w:themeFill="background1"/>
          </w:tcPr>
          <w:p w14:paraId="208B9168" w14:textId="42091EE9" w:rsidR="001E2016" w:rsidRPr="00FA2B7C" w:rsidRDefault="001E2016" w:rsidP="00412F38">
            <w:pPr>
              <w:spacing w:before="40" w:after="40"/>
              <w:jc w:val="left"/>
              <w:rPr>
                <w:rFonts w:ascii="Times New Roman" w:hAnsi="Times New Roman" w:cs="Times New Roman"/>
                <w:kern w:val="22"/>
                <w:szCs w:val="22"/>
              </w:rPr>
            </w:pPr>
            <w:r w:rsidRPr="00FA2B7C">
              <w:rPr>
                <w:kern w:val="22"/>
                <w:szCs w:val="22"/>
              </w:rPr>
              <w:t xml:space="preserve">Global Dialogue on </w:t>
            </w:r>
            <w:r w:rsidR="009876D3" w:rsidRPr="00FA2B7C">
              <w:rPr>
                <w:kern w:val="22"/>
                <w:szCs w:val="22"/>
              </w:rPr>
              <w:t>Digital Sequence Information on Genetic Resources</w:t>
            </w:r>
          </w:p>
        </w:tc>
        <w:tc>
          <w:tcPr>
            <w:tcW w:w="3016" w:type="dxa"/>
            <w:shd w:val="clear" w:color="auto" w:fill="FFFFFF" w:themeFill="background1"/>
          </w:tcPr>
          <w:p w14:paraId="25560731" w14:textId="2B9E2C22" w:rsidR="001E2016" w:rsidRPr="00FA2B7C" w:rsidRDefault="00D85F61" w:rsidP="00412F38">
            <w:pPr>
              <w:spacing w:before="40" w:after="40"/>
              <w:jc w:val="left"/>
              <w:rPr>
                <w:rFonts w:ascii="Times New Roman" w:hAnsi="Times New Roman" w:cs="Times New Roman"/>
                <w:color w:val="000000" w:themeColor="text1"/>
                <w:kern w:val="22"/>
                <w:szCs w:val="22"/>
              </w:rPr>
            </w:pPr>
            <w:r w:rsidRPr="00FA2B7C">
              <w:rPr>
                <w:color w:val="000000" w:themeColor="text1"/>
                <w:kern w:val="22"/>
                <w:szCs w:val="22"/>
              </w:rPr>
              <w:t>DSI</w:t>
            </w:r>
          </w:p>
        </w:tc>
        <w:tc>
          <w:tcPr>
            <w:tcW w:w="1297" w:type="dxa"/>
            <w:shd w:val="clear" w:color="auto" w:fill="FFFFFF" w:themeFill="background1"/>
          </w:tcPr>
          <w:p w14:paraId="705EB66B" w14:textId="77777777" w:rsidR="001E2016" w:rsidRPr="00FA2B7C"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7C891BFB" w14:textId="1F8EFE08" w:rsidR="001E2016" w:rsidRPr="00FA2B7C" w:rsidRDefault="00226E79" w:rsidP="00780276">
            <w:pPr>
              <w:jc w:val="left"/>
              <w:rPr>
                <w:rFonts w:ascii="Times New Roman" w:hAnsi="Times New Roman" w:cs="Times New Roman"/>
                <w:color w:val="000000" w:themeColor="text1"/>
                <w:kern w:val="22"/>
                <w:szCs w:val="22"/>
              </w:rPr>
            </w:pPr>
            <w:r w:rsidRPr="00FA2B7C">
              <w:rPr>
                <w:kern w:val="22"/>
                <w:szCs w:val="22"/>
              </w:rPr>
              <w:t xml:space="preserve">Informal dialogue to increase mutual understanding of the issue, help to identify the core issues and concerns, and increase the capacity of all actors to participate effectively in the discussions on </w:t>
            </w:r>
            <w:r w:rsidR="00852CFF" w:rsidRPr="00FA2B7C">
              <w:rPr>
                <w:kern w:val="22"/>
                <w:szCs w:val="22"/>
              </w:rPr>
              <w:t>digital sequence information on genetic resources</w:t>
            </w:r>
            <w:r w:rsidRPr="00FA2B7C">
              <w:rPr>
                <w:kern w:val="22"/>
                <w:szCs w:val="22"/>
              </w:rPr>
              <w:t>.</w:t>
            </w:r>
          </w:p>
        </w:tc>
        <w:tc>
          <w:tcPr>
            <w:tcW w:w="1861" w:type="dxa"/>
            <w:shd w:val="clear" w:color="auto" w:fill="FFFFFF" w:themeFill="background1"/>
          </w:tcPr>
          <w:p w14:paraId="330368C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sidRPr="00780276">
              <w:rPr>
                <w:rFonts w:ascii="Times New Roman" w:hAnsi="Times New Roman" w:cs="Times New Roman"/>
                <w:color w:val="000000" w:themeColor="text1"/>
                <w:kern w:val="22"/>
                <w:szCs w:val="22"/>
              </w:rPr>
              <w:t>Partners, 5</w:t>
            </w:r>
          </w:p>
        </w:tc>
      </w:tr>
    </w:tbl>
    <w:bookmarkEnd w:id="7"/>
    <w:bookmarkEnd w:id="8"/>
    <w:p w14:paraId="6A1E4A87" w14:textId="3EF9D77D" w:rsidR="005D64DD" w:rsidRPr="00780276" w:rsidRDefault="008376A3" w:rsidP="00780276">
      <w:pPr>
        <w:pStyle w:val="Para10"/>
        <w:numPr>
          <w:ilvl w:val="0"/>
          <w:numId w:val="0"/>
        </w:numPr>
        <w:spacing w:before="0" w:after="0"/>
        <w:jc w:val="center"/>
        <w:rPr>
          <w:kern w:val="22"/>
          <w:szCs w:val="22"/>
        </w:rPr>
      </w:pPr>
      <w:r w:rsidRPr="00225964">
        <w:rPr>
          <w:kern w:val="22"/>
          <w:szCs w:val="22"/>
        </w:rPr>
        <w:t>__________</w:t>
      </w:r>
    </w:p>
    <w:sectPr w:rsidR="005D64DD" w:rsidRPr="00780276" w:rsidSect="006B5DD9">
      <w:headerReference w:type="even" r:id="rId36"/>
      <w:headerReference w:type="default" r:id="rId37"/>
      <w:type w:val="continuous"/>
      <w:pgSz w:w="15840" w:h="12240" w:orient="landscape" w:code="1"/>
      <w:pgMar w:top="1440" w:right="567" w:bottom="1440" w:left="1134"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C350B" w14:textId="77777777" w:rsidR="007E3F47" w:rsidRDefault="007E3F47">
      <w:r>
        <w:separator/>
      </w:r>
    </w:p>
  </w:endnote>
  <w:endnote w:type="continuationSeparator" w:id="0">
    <w:p w14:paraId="3A2A21EB" w14:textId="77777777" w:rsidR="007E3F47" w:rsidRDefault="007E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5F11" w14:textId="77777777" w:rsidR="0078220F" w:rsidRDefault="00782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25CB" w14:textId="77777777" w:rsidR="0078220F" w:rsidRDefault="00782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5FB52" w14:textId="77777777" w:rsidR="0078220F" w:rsidRDefault="0078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18D7C" w14:textId="77777777" w:rsidR="007E3F47" w:rsidRDefault="007E3F47">
      <w:r>
        <w:separator/>
      </w:r>
    </w:p>
  </w:footnote>
  <w:footnote w:type="continuationSeparator" w:id="0">
    <w:p w14:paraId="749F03AA" w14:textId="77777777" w:rsidR="007E3F47" w:rsidRDefault="007E3F47">
      <w:r>
        <w:continuationSeparator/>
      </w:r>
    </w:p>
  </w:footnote>
  <w:footnote w:id="1">
    <w:p w14:paraId="2701C3EA" w14:textId="7829D2B2" w:rsidR="007604D5" w:rsidRPr="00780276" w:rsidRDefault="007604D5" w:rsidP="00780276">
      <w:pPr>
        <w:keepLines/>
        <w:spacing w:after="60"/>
        <w:jc w:val="left"/>
        <w:rPr>
          <w:kern w:val="18"/>
          <w:szCs w:val="18"/>
        </w:rPr>
      </w:pPr>
      <w:r w:rsidRPr="00780276">
        <w:rPr>
          <w:rStyle w:val="FootnoteReference"/>
          <w:kern w:val="18"/>
          <w:sz w:val="18"/>
          <w:szCs w:val="18"/>
        </w:rPr>
        <w:footnoteRef/>
      </w:r>
      <w:r w:rsidRPr="00780276">
        <w:rPr>
          <w:kern w:val="18"/>
          <w:sz w:val="18"/>
          <w:szCs w:val="18"/>
        </w:rPr>
        <w:t xml:space="preserve"> The present note, which was not negotiated, reflects the efforts by the Co-Chairs of the discussion group on agenda item 4 to begin elaborating elements of a post-2020 global biodiversity framework, and is without prejudice to the rights of the Parties to make further amendments and additions. The note should be read in </w:t>
      </w:r>
      <w:r w:rsidRPr="00225964">
        <w:rPr>
          <w:kern w:val="18"/>
          <w:sz w:val="18"/>
          <w:szCs w:val="18"/>
        </w:rPr>
        <w:t xml:space="preserve">the </w:t>
      </w:r>
      <w:r w:rsidRPr="00780276">
        <w:rPr>
          <w:kern w:val="18"/>
          <w:sz w:val="18"/>
          <w:szCs w:val="18"/>
        </w:rPr>
        <w:t xml:space="preserve">light of the views expressed by Parties and observers at the first meeting of the Open-ended Working Group on the Post-2020 Global </w:t>
      </w:r>
      <w:r w:rsidRPr="00225964">
        <w:rPr>
          <w:kern w:val="18"/>
          <w:sz w:val="18"/>
          <w:szCs w:val="18"/>
        </w:rPr>
        <w:t>B</w:t>
      </w:r>
      <w:r w:rsidRPr="00780276">
        <w:rPr>
          <w:kern w:val="18"/>
          <w:sz w:val="18"/>
          <w:szCs w:val="18"/>
        </w:rPr>
        <w:t xml:space="preserve">iodiversity </w:t>
      </w:r>
      <w:r w:rsidRPr="00225964">
        <w:rPr>
          <w:kern w:val="18"/>
          <w:sz w:val="18"/>
          <w:szCs w:val="18"/>
        </w:rPr>
        <w:t>F</w:t>
      </w:r>
      <w:r w:rsidRPr="00780276">
        <w:rPr>
          <w:kern w:val="18"/>
          <w:sz w:val="18"/>
          <w:szCs w:val="18"/>
        </w:rPr>
        <w:t>ramework</w:t>
      </w:r>
      <w:r w:rsidRPr="00225964">
        <w:rPr>
          <w:kern w:val="18"/>
          <w:sz w:val="18"/>
          <w:szCs w:val="18"/>
        </w:rPr>
        <w:t>,</w:t>
      </w:r>
      <w:r w:rsidRPr="00780276">
        <w:rPr>
          <w:kern w:val="18"/>
          <w:sz w:val="18"/>
          <w:szCs w:val="18"/>
        </w:rPr>
        <w:t xml:space="preserve"> </w:t>
      </w:r>
      <w:r w:rsidRPr="00225964">
        <w:rPr>
          <w:kern w:val="18"/>
          <w:sz w:val="18"/>
          <w:szCs w:val="18"/>
        </w:rPr>
        <w:t xml:space="preserve">held </w:t>
      </w:r>
      <w:r w:rsidRPr="00780276">
        <w:rPr>
          <w:kern w:val="18"/>
          <w:sz w:val="18"/>
          <w:szCs w:val="18"/>
        </w:rPr>
        <w:t xml:space="preserve">in Nairobi </w:t>
      </w:r>
      <w:r w:rsidRPr="00225964">
        <w:rPr>
          <w:kern w:val="18"/>
          <w:sz w:val="18"/>
          <w:szCs w:val="18"/>
        </w:rPr>
        <w:t xml:space="preserve">from </w:t>
      </w:r>
      <w:r w:rsidRPr="00780276">
        <w:rPr>
          <w:kern w:val="18"/>
          <w:sz w:val="18"/>
          <w:szCs w:val="18"/>
        </w:rPr>
        <w:t>27</w:t>
      </w:r>
      <w:r w:rsidRPr="00225964">
        <w:rPr>
          <w:kern w:val="18"/>
          <w:sz w:val="18"/>
          <w:szCs w:val="18"/>
        </w:rPr>
        <w:t xml:space="preserve"> to </w:t>
      </w:r>
      <w:r w:rsidRPr="00780276">
        <w:rPr>
          <w:kern w:val="18"/>
          <w:sz w:val="18"/>
          <w:szCs w:val="18"/>
        </w:rPr>
        <w:t>30</w:t>
      </w:r>
      <w:r w:rsidRPr="00225964">
        <w:rPr>
          <w:kern w:val="18"/>
          <w:sz w:val="18"/>
          <w:szCs w:val="18"/>
        </w:rPr>
        <w:t> </w:t>
      </w:r>
      <w:r w:rsidRPr="00780276">
        <w:rPr>
          <w:kern w:val="18"/>
          <w:sz w:val="18"/>
          <w:szCs w:val="18"/>
        </w:rPr>
        <w:t>August 2019</w:t>
      </w:r>
      <w:r w:rsidRPr="00225964">
        <w:rPr>
          <w:kern w:val="18"/>
          <w:sz w:val="18"/>
          <w:szCs w:val="18"/>
        </w:rPr>
        <w:t>,</w:t>
      </w:r>
      <w:r w:rsidRPr="00780276">
        <w:rPr>
          <w:kern w:val="18"/>
          <w:sz w:val="18"/>
          <w:szCs w:val="18"/>
        </w:rPr>
        <w:t xml:space="preserve"> and in conjunction with the report on that meeting.</w:t>
      </w:r>
    </w:p>
  </w:footnote>
  <w:footnote w:id="2">
    <w:p w14:paraId="65BA6A0F" w14:textId="7784EEEC"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vertAlign w:val="superscript"/>
        </w:rPr>
        <w:t xml:space="preserve"> </w:t>
      </w:r>
      <w:r w:rsidRPr="00780276">
        <w:rPr>
          <w:kern w:val="18"/>
          <w:szCs w:val="18"/>
        </w:rPr>
        <w:t>Some Parties requested a clear understanding of the difference between transformative change and theory of change.</w:t>
      </w:r>
    </w:p>
  </w:footnote>
  <w:footnote w:id="3">
    <w:p w14:paraId="3B83AB79" w14:textId="77777777" w:rsidR="007604D5" w:rsidRPr="00780276" w:rsidRDefault="007604D5" w:rsidP="00780276">
      <w:pPr>
        <w:pStyle w:val="CommentText"/>
        <w:keepLines/>
        <w:spacing w:after="60" w:line="240" w:lineRule="auto"/>
        <w:jc w:val="left"/>
        <w:rPr>
          <w:kern w:val="18"/>
          <w:sz w:val="18"/>
          <w:szCs w:val="18"/>
        </w:rPr>
      </w:pPr>
      <w:r w:rsidRPr="00780276">
        <w:rPr>
          <w:rStyle w:val="FootnoteReference"/>
          <w:kern w:val="18"/>
          <w:sz w:val="18"/>
          <w:szCs w:val="18"/>
        </w:rPr>
        <w:footnoteRef/>
      </w:r>
      <w:r w:rsidRPr="00780276">
        <w:rPr>
          <w:kern w:val="18"/>
          <w:sz w:val="18"/>
          <w:szCs w:val="18"/>
          <w:vertAlign w:val="superscript"/>
        </w:rPr>
        <w:t xml:space="preserve"> </w:t>
      </w:r>
      <w:r w:rsidRPr="00780276">
        <w:rPr>
          <w:kern w:val="18"/>
          <w:sz w:val="18"/>
          <w:szCs w:val="18"/>
        </w:rPr>
        <w:t>Some Parties were not in favour of including theory of change and/or requested further clarification of what it referred to. Further, some Parties would like to exclude theory of change from this part of the framework.</w:t>
      </w:r>
    </w:p>
  </w:footnote>
  <w:footnote w:id="4">
    <w:p w14:paraId="45561B9F"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were not in favour of including principles and/or requested further details on what these would entail.</w:t>
      </w:r>
    </w:p>
  </w:footnote>
  <w:footnote w:id="5">
    <w:p w14:paraId="136E745D" w14:textId="33F94EB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the 2050 Vision was sufficiently clear and did not require unpacking. Other</w:t>
      </w:r>
      <w:r w:rsidRPr="00E26090">
        <w:rPr>
          <w:kern w:val="18"/>
          <w:szCs w:val="18"/>
        </w:rPr>
        <w:t>s</w:t>
      </w:r>
      <w:r w:rsidRPr="00780276">
        <w:rPr>
          <w:kern w:val="18"/>
          <w:szCs w:val="18"/>
        </w:rPr>
        <w:t xml:space="preserve"> felt that</w:t>
      </w:r>
      <w:r w:rsidRPr="00E26090">
        <w:rPr>
          <w:kern w:val="18"/>
          <w:szCs w:val="18"/>
        </w:rPr>
        <w:t>,</w:t>
      </w:r>
      <w:r w:rsidRPr="00780276">
        <w:rPr>
          <w:kern w:val="18"/>
          <w:szCs w:val="18"/>
        </w:rPr>
        <w:t xml:space="preserve"> if it was to be unpacked or further explained</w:t>
      </w:r>
      <w:r w:rsidRPr="00E26090">
        <w:rPr>
          <w:kern w:val="18"/>
          <w:szCs w:val="18"/>
        </w:rPr>
        <w:t>,</w:t>
      </w:r>
      <w:r w:rsidRPr="00780276">
        <w:rPr>
          <w:kern w:val="18"/>
          <w:szCs w:val="18"/>
        </w:rPr>
        <w:t xml:space="preserve"> </w:t>
      </w:r>
      <w:r w:rsidRPr="00E26090">
        <w:rPr>
          <w:kern w:val="18"/>
          <w:szCs w:val="18"/>
        </w:rPr>
        <w:t>t</w:t>
      </w:r>
      <w:r w:rsidRPr="00780276">
        <w:rPr>
          <w:kern w:val="18"/>
          <w:szCs w:val="18"/>
        </w:rPr>
        <w:t xml:space="preserve">his could be done in the element of the post-2020 global biodiversity </w:t>
      </w:r>
      <w:r w:rsidRPr="00E26090">
        <w:rPr>
          <w:kern w:val="18"/>
          <w:szCs w:val="18"/>
        </w:rPr>
        <w:t xml:space="preserve">framework </w:t>
      </w:r>
      <w:r w:rsidRPr="00780276">
        <w:rPr>
          <w:kern w:val="18"/>
          <w:szCs w:val="18"/>
        </w:rPr>
        <w:t>related to rationale and scope.</w:t>
      </w:r>
    </w:p>
  </w:footnote>
  <w:footnote w:id="6">
    <w:p w14:paraId="0F72BFD9" w14:textId="7E4D9233"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rStyle w:val="FootnoteReference"/>
          <w:kern w:val="18"/>
          <w:sz w:val="18"/>
          <w:szCs w:val="18"/>
        </w:rPr>
        <w:t xml:space="preserve"> </w:t>
      </w:r>
      <w:r w:rsidRPr="00780276">
        <w:rPr>
          <w:kern w:val="18"/>
          <w:szCs w:val="18"/>
        </w:rPr>
        <w:t>Parties expressed a range of views on if the post-2020 global biodiversity framework should have a mission, apex goal and/or milestones, and expressed varying levels of support for one of the three options. Some felt that the post-2020 global biodiversity framework should only incorporate one of these options. Others felt that it should reflect all three or a combination of two of them.</w:t>
      </w:r>
    </w:p>
  </w:footnote>
  <w:footnote w:id="7">
    <w:p w14:paraId="403693D1"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noted the need to define what is meant by status in the context of this element of the post-2020 global biodiversity framework.</w:t>
      </w:r>
    </w:p>
  </w:footnote>
  <w:footnote w:id="8">
    <w:p w14:paraId="08D1844F" w14:textId="00EEB8ED"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milestones, for example to 2050, could be reflected in the element of the framework referring to rationale and scope. Further, some Parties would like to add ecosystem-based adaptation and mitigation to this element of the framework.</w:t>
      </w:r>
    </w:p>
  </w:footnote>
  <w:footnote w:id="9">
    <w:p w14:paraId="68CD73D5" w14:textId="622BEDB3"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repeating the 2050 Vision in this element of the post-2020 global biodiversity framework </w:t>
      </w:r>
      <w:r w:rsidRPr="00E26090">
        <w:rPr>
          <w:kern w:val="18"/>
          <w:szCs w:val="18"/>
        </w:rPr>
        <w:t>might</w:t>
      </w:r>
      <w:r w:rsidRPr="00780276">
        <w:rPr>
          <w:kern w:val="18"/>
          <w:szCs w:val="18"/>
        </w:rPr>
        <w:t xml:space="preserve"> cause confusion.</w:t>
      </w:r>
    </w:p>
  </w:footnote>
  <w:footnote w:id="10">
    <w:p w14:paraId="2CE1A7DE"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were not in favour of including this as part of the mission and/or apex goal and milestones in the post-2020 global biodiversity framework. Some Parties would like to rephrase it to also include mainstreaming.</w:t>
      </w:r>
    </w:p>
  </w:footnote>
  <w:footnote w:id="11">
    <w:p w14:paraId="67F1C24B"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were unclear as to what this meant and/or how it could be reflected under this element of the post-2020 global biodiversity framework.</w:t>
      </w:r>
    </w:p>
  </w:footnote>
  <w:footnote w:id="12">
    <w:p w14:paraId="40B79E7F"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noted that wording is required to explain the relationship between the possible goals, targets and sub-targets of the post-2020 global biodiversity framework. Some felt that goals could be used to help structure and organize the targets of the post-2020 global biodiversity framework. It was also noted that goals and targets are interrelated.</w:t>
      </w:r>
    </w:p>
  </w:footnote>
  <w:footnote w:id="13">
    <w:p w14:paraId="5F485383"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asked to include the concept of mainstreaming in this element of the framework.</w:t>
      </w:r>
    </w:p>
  </w:footnote>
  <w:footnote w:id="14">
    <w:p w14:paraId="74B8BF93"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the direct drivers of biodiversity loss should be reflected in the element of the post-2020 global biodiversity framework related to rationale and scope and not as goals.</w:t>
      </w:r>
    </w:p>
  </w:footnote>
  <w:footnote w:id="15">
    <w:p w14:paraId="6E9A5553"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the indirect drivers of biodiversity loss should be reflected in the element of the post-2020 global biodiversity framework related to rationale and scope and not as goals to not overreach the mandate of the Convention.</w:t>
      </w:r>
    </w:p>
  </w:footnote>
  <w:footnote w:id="16">
    <w:p w14:paraId="31C832C9"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implementation issues might not need to be reflected as goals in the post-2020 global biodiversity framework.</w:t>
      </w:r>
    </w:p>
  </w:footnote>
  <w:footnote w:id="17">
    <w:p w14:paraId="68511691"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noted that sub-targets might not be necessary. However, they also noted that, if the number of targets is kept small, sub-targets might be needed to reflect all desired issues.</w:t>
      </w:r>
    </w:p>
  </w:footnote>
  <w:footnote w:id="18">
    <w:p w14:paraId="09DBB8CF" w14:textId="5DB45E4F"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The possible issues identified under this element could also be relevant to the element of the framework related to cross-cutting issues and approaches and/or reflected in goals and targets depending on how they are formulated in the post-2020 global biodiversity framework.</w:t>
      </w:r>
    </w:p>
  </w:footnote>
  <w:footnote w:id="19">
    <w:p w14:paraId="4D4D818A" w14:textId="002DDAF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vertAlign w:val="superscript"/>
        </w:rPr>
        <w:t xml:space="preserve"> </w:t>
      </w:r>
      <w:r w:rsidRPr="00780276">
        <w:rPr>
          <w:kern w:val="18"/>
          <w:szCs w:val="18"/>
        </w:rPr>
        <w:t>Some Parties were not in favo</w:t>
      </w:r>
      <w:r w:rsidRPr="00E26090">
        <w:rPr>
          <w:kern w:val="18"/>
          <w:szCs w:val="18"/>
        </w:rPr>
        <w:t>u</w:t>
      </w:r>
      <w:r w:rsidRPr="00780276">
        <w:rPr>
          <w:kern w:val="18"/>
          <w:szCs w:val="18"/>
        </w:rPr>
        <w:t>r of including references to natural capital accounting.</w:t>
      </w:r>
    </w:p>
  </w:footnote>
  <w:footnote w:id="20">
    <w:p w14:paraId="316F68A5" w14:textId="7D44034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w:t>
      </w:r>
      <w:r w:rsidRPr="00E26090">
        <w:rPr>
          <w:kern w:val="18"/>
          <w:szCs w:val="18"/>
        </w:rPr>
        <w:t xml:space="preserve">that </w:t>
      </w:r>
      <w:r w:rsidRPr="00780276">
        <w:rPr>
          <w:kern w:val="18"/>
          <w:szCs w:val="18"/>
        </w:rPr>
        <w:t>this was too broad and were not in favour of including it in the post-2020 global biodiversity framework.</w:t>
      </w:r>
    </w:p>
  </w:footnote>
  <w:footnote w:id="21">
    <w:p w14:paraId="1A0E4FCB" w14:textId="6B92DFD4"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vertAlign w:val="superscript"/>
        </w:rPr>
        <w:t xml:space="preserve"> </w:t>
      </w:r>
      <w:r w:rsidRPr="00780276">
        <w:rPr>
          <w:kern w:val="18"/>
          <w:szCs w:val="18"/>
        </w:rPr>
        <w:t>The issues noted in this section could also be reflected in other elements of the post-2020 global biodiversity framework, such as in goals or targets or under the elements related to means of implementation and enabling conditions, depending on how they are phrased. Some Parties noted that these issues should not be considered peripheral issues.</w:t>
      </w:r>
    </w:p>
  </w:footnote>
  <w:footnote w:id="22">
    <w:p w14:paraId="3217EE05" w14:textId="4A4ACE2F" w:rsidR="007604D5" w:rsidRPr="00780276" w:rsidRDefault="007604D5" w:rsidP="00780276">
      <w:pPr>
        <w:pStyle w:val="CommentText"/>
        <w:keepLines/>
        <w:spacing w:after="60" w:line="240" w:lineRule="auto"/>
        <w:jc w:val="left"/>
        <w:rPr>
          <w:kern w:val="18"/>
          <w:sz w:val="18"/>
          <w:szCs w:val="18"/>
        </w:rPr>
      </w:pPr>
      <w:r w:rsidRPr="00780276">
        <w:rPr>
          <w:rStyle w:val="FootnoteReference"/>
          <w:kern w:val="18"/>
          <w:sz w:val="18"/>
          <w:szCs w:val="18"/>
        </w:rPr>
        <w:footnoteRef/>
      </w:r>
      <w:r w:rsidRPr="00780276">
        <w:rPr>
          <w:kern w:val="18"/>
          <w:sz w:val="18"/>
          <w:szCs w:val="18"/>
        </w:rPr>
        <w:t xml:space="preserve"> Some Parties suggested to add multilateral collaboration mechanism to this element of the framework.</w:t>
      </w:r>
    </w:p>
  </w:footnote>
  <w:footnote w:id="23">
    <w:p w14:paraId="5B131666"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Another suggestion for the title of this element was accountability framework. However, some Parties did not agree with this term. Another suggestion was </w:t>
      </w:r>
      <w:r w:rsidRPr="00780276">
        <w:rPr>
          <w:iCs/>
          <w:kern w:val="18"/>
          <w:szCs w:val="18"/>
        </w:rPr>
        <w:t>implementation structure. It was also emphasized that any mechanisms should not be punitive but aim to support implementation.</w:t>
      </w:r>
    </w:p>
  </w:footnote>
  <w:footnote w:id="24">
    <w:p w14:paraId="064F2611"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voluntary commitments would be better reflected under the element of the post-2020 global biodiversity framework related to means of implementation and enabling conditions. Other Parties indicated that they were unclear as to what this term meant. Others noted that clear guidance for voluntary commitments would be needed. Some Parties also expressed the view that voluntary commitments were for non-State actors while others felt that they could be relevant to national Governments as a complement to the commitments in the national biodiversity strategies and action plans. Others felt that national voluntary commitments could undermine the national biodiversity strategies and action plans.</w:t>
      </w:r>
    </w:p>
  </w:footnote>
  <w:footnote w:id="25">
    <w:p w14:paraId="257419F1"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noted that the purpose of a compliance mechanism in the context of the post-2020 global biodiversity framework was unclear. Others objected to the word “compliance”.</w:t>
      </w:r>
    </w:p>
  </w:footnote>
  <w:footnote w:id="26">
    <w:p w14:paraId="7213FC21"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the reference to a ratcheting mechanism would be better placed in the element related to means of implementation and enabling conditions. It was also noted by some that this issue should be limited to measurements, reporting and verification.</w:t>
      </w:r>
    </w:p>
  </w:footnote>
  <w:footnote w:id="27">
    <w:p w14:paraId="03BC6611" w14:textId="77777777" w:rsidR="007604D5" w:rsidRPr="00780276" w:rsidRDefault="007604D5" w:rsidP="00780276">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Some Parties felt that the issues addressed under this element could be included under the element of the post-2020 global biodiversity framework addressing means of implementation and enabling conditions. Others noted that provisions for communication and outreach related to the post-2020 global biodiversity framework are already contained in decision 14/34.</w:t>
      </w:r>
    </w:p>
  </w:footnote>
  <w:footnote w:id="28">
    <w:p w14:paraId="71BF8F03" w14:textId="20494F72" w:rsidR="007604D5" w:rsidRPr="00780276" w:rsidRDefault="007604D5">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Type refers to the type of meeting planned. </w:t>
      </w:r>
      <w:r w:rsidRPr="00780276">
        <w:rPr>
          <w:b/>
          <w:kern w:val="18"/>
          <w:szCs w:val="18"/>
        </w:rPr>
        <w:t>1</w:t>
      </w:r>
      <w:r w:rsidRPr="00780276">
        <w:rPr>
          <w:kern w:val="18"/>
          <w:szCs w:val="18"/>
        </w:rPr>
        <w:t xml:space="preserve">: Intergovernmental meeting, subsidiary bodies of the Convention (negotiations). </w:t>
      </w:r>
      <w:r w:rsidRPr="00780276">
        <w:rPr>
          <w:b/>
          <w:kern w:val="18"/>
          <w:szCs w:val="18"/>
        </w:rPr>
        <w:t>2</w:t>
      </w:r>
      <w:r w:rsidRPr="00780276">
        <w:rPr>
          <w:kern w:val="18"/>
          <w:szCs w:val="18"/>
        </w:rPr>
        <w:t xml:space="preserve">: Committees of the Convention and its Protocols. </w:t>
      </w:r>
      <w:r w:rsidRPr="00780276">
        <w:rPr>
          <w:b/>
          <w:kern w:val="18"/>
          <w:szCs w:val="18"/>
        </w:rPr>
        <w:t>3</w:t>
      </w:r>
      <w:r w:rsidRPr="00780276">
        <w:rPr>
          <w:kern w:val="18"/>
          <w:szCs w:val="18"/>
        </w:rPr>
        <w:t xml:space="preserve">: Thematic consultation – held back to back with major meetings to facilitate full participation. </w:t>
      </w:r>
      <w:r w:rsidRPr="00780276">
        <w:rPr>
          <w:b/>
          <w:kern w:val="18"/>
          <w:szCs w:val="18"/>
        </w:rPr>
        <w:t>4</w:t>
      </w:r>
      <w:r w:rsidRPr="00780276">
        <w:rPr>
          <w:kern w:val="18"/>
          <w:szCs w:val="18"/>
        </w:rPr>
        <w:t xml:space="preserve">: Thematic workshop - to address specific issues with appropriate and regionally balanced participation of experts of Parties and observers (following the </w:t>
      </w:r>
      <w:r w:rsidRPr="00780276">
        <w:rPr>
          <w:i/>
          <w:kern w:val="18"/>
          <w:szCs w:val="18"/>
        </w:rPr>
        <w:t>modus operandi</w:t>
      </w:r>
      <w:r w:rsidRPr="00780276">
        <w:rPr>
          <w:kern w:val="18"/>
          <w:szCs w:val="18"/>
        </w:rPr>
        <w:t xml:space="preserve"> as used by </w:t>
      </w:r>
      <w:r w:rsidRPr="00E26090">
        <w:rPr>
          <w:kern w:val="18"/>
          <w:szCs w:val="18"/>
        </w:rPr>
        <w:t>the Subsidiary Body on Scientific, Technical and Technological Advice</w:t>
      </w:r>
      <w:r w:rsidRPr="00780276">
        <w:rPr>
          <w:kern w:val="18"/>
          <w:szCs w:val="18"/>
        </w:rPr>
        <w:t xml:space="preserve"> for </w:t>
      </w:r>
      <w:r w:rsidRPr="00E26090">
        <w:rPr>
          <w:kern w:val="18"/>
          <w:szCs w:val="18"/>
        </w:rPr>
        <w:t>ad hoc technical expert groups</w:t>
      </w:r>
      <w:r w:rsidRPr="00780276">
        <w:rPr>
          <w:kern w:val="18"/>
          <w:szCs w:val="18"/>
        </w:rPr>
        <w:t xml:space="preserve"> and applied</w:t>
      </w:r>
      <w:r w:rsidRPr="00E26090">
        <w:rPr>
          <w:kern w:val="18"/>
          <w:szCs w:val="18"/>
        </w:rPr>
        <w:t>,</w:t>
      </w:r>
      <w:r w:rsidRPr="00780276">
        <w:rPr>
          <w:kern w:val="18"/>
          <w:szCs w:val="18"/>
        </w:rPr>
        <w:t xml:space="preserve"> </w:t>
      </w:r>
      <w:r w:rsidRPr="00780276">
        <w:rPr>
          <w:i/>
          <w:kern w:val="18"/>
          <w:szCs w:val="18"/>
        </w:rPr>
        <w:t>mutatis mutandis</w:t>
      </w:r>
      <w:r w:rsidRPr="00780276">
        <w:rPr>
          <w:kern w:val="18"/>
          <w:szCs w:val="18"/>
        </w:rPr>
        <w:t>, for other</w:t>
      </w:r>
      <w:r w:rsidRPr="00780276">
        <w:rPr>
          <w:i/>
          <w:kern w:val="18"/>
          <w:szCs w:val="18"/>
        </w:rPr>
        <w:t xml:space="preserve"> </w:t>
      </w:r>
      <w:r w:rsidRPr="00780276">
        <w:rPr>
          <w:kern w:val="18"/>
          <w:szCs w:val="18"/>
        </w:rPr>
        <w:t xml:space="preserve">workshops). </w:t>
      </w:r>
      <w:r w:rsidRPr="00780276">
        <w:rPr>
          <w:b/>
          <w:kern w:val="18"/>
          <w:szCs w:val="18"/>
        </w:rPr>
        <w:t>5</w:t>
      </w:r>
      <w:r w:rsidRPr="00780276">
        <w:rPr>
          <w:kern w:val="18"/>
          <w:szCs w:val="18"/>
        </w:rPr>
        <w:t>: Meeting led by partners (not an exhaustive list).</w:t>
      </w:r>
    </w:p>
  </w:footnote>
  <w:footnote w:id="29">
    <w:p w14:paraId="5CDE4C84" w14:textId="0DEDE516" w:rsidR="007604D5" w:rsidRPr="00780276" w:rsidRDefault="007604D5">
      <w:pPr>
        <w:pStyle w:val="FootnoteText"/>
        <w:ind w:firstLine="0"/>
        <w:jc w:val="left"/>
        <w:rPr>
          <w:kern w:val="18"/>
          <w:szCs w:val="18"/>
        </w:rPr>
      </w:pPr>
      <w:r w:rsidRPr="00780276">
        <w:rPr>
          <w:rStyle w:val="FootnoteReference"/>
          <w:kern w:val="18"/>
          <w:sz w:val="18"/>
          <w:szCs w:val="18"/>
        </w:rPr>
        <w:footnoteRef/>
      </w:r>
      <w:r w:rsidRPr="00780276">
        <w:rPr>
          <w:kern w:val="18"/>
          <w:szCs w:val="18"/>
        </w:rPr>
        <w:t xml:space="preserve"> The Conference of the Parties serving as the meeting of the Parties to the Cartagena Protocol also set out a process for developing a specific implementation plan for the </w:t>
      </w:r>
      <w:r w:rsidRPr="00780276">
        <w:rPr>
          <w:iCs/>
          <w:snapToGrid w:val="0"/>
          <w:kern w:val="18"/>
          <w:szCs w:val="18"/>
        </w:rPr>
        <w:t>Cartagena Protocol as a follow-up to the Strategic Plan for the Cartagena Protocol on Biosafety for the period 2011-2020. This process does not foresee that the implementation plan would be considered by the Working Group on the Post-2020 Global Biodiversity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4E89" w14:textId="2A49AFA8" w:rsidR="005466C8" w:rsidRDefault="00FD49A4">
    <w:pPr>
      <w:pStyle w:val="Header"/>
      <w:rPr>
        <w:lang w:val="en-US"/>
      </w:rPr>
    </w:pPr>
    <w:r>
      <w:rPr>
        <w:lang w:val="en-US"/>
      </w:rPr>
      <w:t>CBD/WG2020/REC</w:t>
    </w:r>
    <w:r w:rsidR="0078220F">
      <w:rPr>
        <w:lang w:val="en-US"/>
      </w:rPr>
      <w:t>/</w:t>
    </w:r>
    <w:r>
      <w:rPr>
        <w:lang w:val="en-US"/>
      </w:rPr>
      <w:t>1/1</w:t>
    </w:r>
  </w:p>
  <w:p w14:paraId="39520560" w14:textId="12405A79" w:rsidR="00FD49A4" w:rsidRPr="006B5DD9" w:rsidRDefault="00FD49A4" w:rsidP="006B5DD9">
    <w:pPr>
      <w:pStyle w:val="Header"/>
      <w:spacing w:after="240"/>
      <w:rPr>
        <w:lang w:val="en-US"/>
      </w:rPr>
    </w:pPr>
    <w:r>
      <w:rPr>
        <w:lang w:val="en-US"/>
      </w:rPr>
      <w:t xml:space="preserve">Page </w:t>
    </w:r>
    <w:r w:rsidRPr="00FD49A4">
      <w:rPr>
        <w:lang w:val="en-US"/>
      </w:rPr>
      <w:fldChar w:fldCharType="begin"/>
    </w:r>
    <w:r w:rsidRPr="00FD49A4">
      <w:rPr>
        <w:lang w:val="en-US"/>
      </w:rPr>
      <w:instrText xml:space="preserve"> PAGE   \* MERGEFORMAT </w:instrText>
    </w:r>
    <w:r w:rsidRPr="00FD49A4">
      <w:rPr>
        <w:lang w:val="en-US"/>
      </w:rPr>
      <w:fldChar w:fldCharType="separate"/>
    </w:r>
    <w:r w:rsidRPr="00FD49A4">
      <w:rPr>
        <w:noProof/>
        <w:lang w:val="en-US"/>
      </w:rPr>
      <w:t>1</w:t>
    </w:r>
    <w:r w:rsidRPr="00FD49A4">
      <w:rPr>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3E97" w14:textId="67E482A4" w:rsidR="00E00334" w:rsidRDefault="00E00334" w:rsidP="006B5DD9">
    <w:pPr>
      <w:pStyle w:val="Header"/>
      <w:jc w:val="right"/>
      <w:rPr>
        <w:lang w:val="en-US"/>
      </w:rPr>
    </w:pPr>
    <w:r>
      <w:rPr>
        <w:lang w:val="en-US"/>
      </w:rPr>
      <w:t>CBD/WG2020/REC</w:t>
    </w:r>
    <w:r w:rsidR="0078220F">
      <w:rPr>
        <w:lang w:val="en-US"/>
      </w:rPr>
      <w:t>/</w:t>
    </w:r>
    <w:r>
      <w:rPr>
        <w:lang w:val="en-US"/>
      </w:rPr>
      <w:t>1/1</w:t>
    </w:r>
  </w:p>
  <w:p w14:paraId="13DC429D" w14:textId="32CFF074" w:rsidR="005466C8" w:rsidRPr="006B5DD9" w:rsidRDefault="00E00334" w:rsidP="006B5DD9">
    <w:pPr>
      <w:pStyle w:val="Header"/>
      <w:spacing w:after="240"/>
      <w:jc w:val="right"/>
      <w:rPr>
        <w:lang w:val="en-US"/>
      </w:rPr>
    </w:pPr>
    <w:r>
      <w:rPr>
        <w:lang w:val="en-US"/>
      </w:rPr>
      <w:t xml:space="preserve">Page </w:t>
    </w:r>
    <w:r w:rsidRPr="00FD49A4">
      <w:rPr>
        <w:lang w:val="en-US"/>
      </w:rPr>
      <w:fldChar w:fldCharType="begin"/>
    </w:r>
    <w:r w:rsidRPr="00FD49A4">
      <w:rPr>
        <w:lang w:val="en-US"/>
      </w:rPr>
      <w:instrText xml:space="preserve"> PAGE   \* MERGEFORMAT </w:instrText>
    </w:r>
    <w:r w:rsidRPr="00FD49A4">
      <w:rPr>
        <w:lang w:val="en-US"/>
      </w:rPr>
      <w:fldChar w:fldCharType="separate"/>
    </w:r>
    <w:r>
      <w:rPr>
        <w:lang w:val="en-US"/>
      </w:rPr>
      <w:t>2</w:t>
    </w:r>
    <w:r w:rsidRPr="00FD49A4">
      <w:rPr>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E4AF" w14:textId="77777777" w:rsidR="0078220F" w:rsidRDefault="00782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1572" w14:textId="77777777" w:rsidR="009C39E7" w:rsidRDefault="009C39E7">
    <w:pPr>
      <w:pStyle w:val="Header"/>
      <w:rPr>
        <w:lang w:val="en-US"/>
      </w:rPr>
    </w:pPr>
    <w:r>
      <w:rPr>
        <w:lang w:val="en-US"/>
      </w:rPr>
      <w:t>CBD/WG2020/REC1/1</w:t>
    </w:r>
  </w:p>
  <w:p w14:paraId="2C9B7A3A" w14:textId="77777777" w:rsidR="009C39E7" w:rsidRPr="006B5DD9" w:rsidRDefault="009C39E7" w:rsidP="006B5DD9">
    <w:pPr>
      <w:pStyle w:val="Header"/>
      <w:spacing w:after="240"/>
      <w:rPr>
        <w:lang w:val="en-US"/>
      </w:rPr>
    </w:pPr>
    <w:r>
      <w:rPr>
        <w:lang w:val="en-US"/>
      </w:rPr>
      <w:t xml:space="preserve">Page </w:t>
    </w:r>
    <w:r w:rsidRPr="00FD49A4">
      <w:rPr>
        <w:lang w:val="en-US"/>
      </w:rPr>
      <w:fldChar w:fldCharType="begin"/>
    </w:r>
    <w:r w:rsidRPr="00FD49A4">
      <w:rPr>
        <w:lang w:val="en-US"/>
      </w:rPr>
      <w:instrText xml:space="preserve"> PAGE   \* MERGEFORMAT </w:instrText>
    </w:r>
    <w:r w:rsidRPr="00FD49A4">
      <w:rPr>
        <w:lang w:val="en-US"/>
      </w:rPr>
      <w:fldChar w:fldCharType="separate"/>
    </w:r>
    <w:r w:rsidRPr="00FD49A4">
      <w:rPr>
        <w:noProof/>
        <w:lang w:val="en-US"/>
      </w:rPr>
      <w:t>1</w:t>
    </w:r>
    <w:r w:rsidRPr="00FD49A4">
      <w:rPr>
        <w:noProof/>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114428025"/>
      <w:placeholder>
        <w:docPart w:val="DA2D3E7AACEF4F7FBB68B18ABACCDB95"/>
      </w:placeholder>
      <w:dataBinding w:prefixMappings="xmlns:ns0='http://purl.org/dc/elements/1.1/' xmlns:ns1='http://schemas.openxmlformats.org/package/2006/metadata/core-properties' " w:xpath="/ns1:coreProperties[1]/ns0:subject[1]" w:storeItemID="{6C3C8BC8-F283-45AE-878A-BAB7291924A1}"/>
      <w:text/>
    </w:sdtPr>
    <w:sdtEndPr/>
    <w:sdtContent>
      <w:p w14:paraId="4674309C" w14:textId="3CE32385" w:rsidR="009B60BF" w:rsidRPr="005440A6" w:rsidRDefault="009B60BF" w:rsidP="00BE45DE">
        <w:pPr>
          <w:pStyle w:val="Header"/>
          <w:tabs>
            <w:tab w:val="clear" w:pos="4320"/>
            <w:tab w:val="clear" w:pos="8640"/>
          </w:tabs>
          <w:jc w:val="right"/>
          <w:rPr>
            <w:noProof/>
            <w:kern w:val="22"/>
          </w:rPr>
        </w:pPr>
        <w:r>
          <w:rPr>
            <w:noProof/>
            <w:kern w:val="22"/>
          </w:rPr>
          <w:t>CBD/WG2020/REC/1/1</w:t>
        </w:r>
      </w:p>
    </w:sdtContent>
  </w:sdt>
  <w:p w14:paraId="7279BD3D" w14:textId="77777777" w:rsidR="009B60BF" w:rsidRPr="005440A6" w:rsidRDefault="009B60BF" w:rsidP="006B5DD9">
    <w:pPr>
      <w:pStyle w:val="Header"/>
      <w:tabs>
        <w:tab w:val="clear" w:pos="4320"/>
        <w:tab w:val="clear" w:pos="8640"/>
        <w:tab w:val="left" w:pos="8295"/>
        <w:tab w:val="right" w:pos="9360"/>
      </w:tabs>
      <w:jc w:val="right"/>
      <w:rPr>
        <w:noProof/>
        <w:kern w:val="22"/>
      </w:rPr>
    </w:pPr>
    <w:r>
      <w:rPr>
        <w:noProof/>
        <w:kern w:val="22"/>
      </w:rPr>
      <w:tab/>
    </w:r>
    <w:r>
      <w:rPr>
        <w:noProof/>
        <w:kern w:val="22"/>
      </w:rPr>
      <w:tab/>
    </w: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5</w:t>
    </w:r>
    <w:r w:rsidRPr="005440A6">
      <w:rPr>
        <w:noProof/>
        <w:kern w:val="22"/>
      </w:rPr>
      <w:fldChar w:fldCharType="end"/>
    </w:r>
  </w:p>
  <w:p w14:paraId="435DD4EE" w14:textId="77777777" w:rsidR="009B60BF" w:rsidRPr="005440A6" w:rsidRDefault="009B60BF" w:rsidP="005440A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BC4BA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1.2pt;height:408.15pt;visibility:visible;mso-wrap-style:square" o:bullet="t">
        <v:imagedata r:id="rId1" o:title=""/>
      </v:shape>
    </w:pict>
  </w:numPicBullet>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4FAB"/>
    <w:multiLevelType w:val="hybridMultilevel"/>
    <w:tmpl w:val="4C6AE2A0"/>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F67139"/>
    <w:multiLevelType w:val="hybridMultilevel"/>
    <w:tmpl w:val="F44CC0D8"/>
    <w:lvl w:ilvl="0" w:tplc="B44447C6">
      <w:start w:val="1"/>
      <w:numFmt w:val="bullet"/>
      <w:lvlText w:val="o"/>
      <w:lvlJc w:val="left"/>
      <w:pPr>
        <w:tabs>
          <w:tab w:val="num" w:pos="720"/>
        </w:tabs>
        <w:ind w:left="720" w:hanging="360"/>
      </w:pPr>
      <w:rPr>
        <w:rFonts w:ascii="Courier New" w:hAnsi="Courier New" w:hint="default"/>
      </w:rPr>
    </w:lvl>
    <w:lvl w:ilvl="1" w:tplc="D9E605A4">
      <w:start w:val="1827"/>
      <w:numFmt w:val="bullet"/>
      <w:lvlText w:val="o"/>
      <w:lvlJc w:val="left"/>
      <w:pPr>
        <w:tabs>
          <w:tab w:val="num" w:pos="1440"/>
        </w:tabs>
        <w:ind w:left="1440" w:hanging="360"/>
      </w:pPr>
      <w:rPr>
        <w:rFonts w:ascii="Courier New" w:hAnsi="Courier New" w:hint="default"/>
      </w:rPr>
    </w:lvl>
    <w:lvl w:ilvl="2" w:tplc="C2F603EE" w:tentative="1">
      <w:start w:val="1"/>
      <w:numFmt w:val="bullet"/>
      <w:lvlText w:val="o"/>
      <w:lvlJc w:val="left"/>
      <w:pPr>
        <w:tabs>
          <w:tab w:val="num" w:pos="2160"/>
        </w:tabs>
        <w:ind w:left="2160" w:hanging="360"/>
      </w:pPr>
      <w:rPr>
        <w:rFonts w:ascii="Courier New" w:hAnsi="Courier New" w:hint="default"/>
      </w:rPr>
    </w:lvl>
    <w:lvl w:ilvl="3" w:tplc="2E8059E2" w:tentative="1">
      <w:start w:val="1"/>
      <w:numFmt w:val="bullet"/>
      <w:lvlText w:val="o"/>
      <w:lvlJc w:val="left"/>
      <w:pPr>
        <w:tabs>
          <w:tab w:val="num" w:pos="2880"/>
        </w:tabs>
        <w:ind w:left="2880" w:hanging="360"/>
      </w:pPr>
      <w:rPr>
        <w:rFonts w:ascii="Courier New" w:hAnsi="Courier New" w:hint="default"/>
      </w:rPr>
    </w:lvl>
    <w:lvl w:ilvl="4" w:tplc="853838F4" w:tentative="1">
      <w:start w:val="1"/>
      <w:numFmt w:val="bullet"/>
      <w:lvlText w:val="o"/>
      <w:lvlJc w:val="left"/>
      <w:pPr>
        <w:tabs>
          <w:tab w:val="num" w:pos="3600"/>
        </w:tabs>
        <w:ind w:left="3600" w:hanging="360"/>
      </w:pPr>
      <w:rPr>
        <w:rFonts w:ascii="Courier New" w:hAnsi="Courier New" w:hint="default"/>
      </w:rPr>
    </w:lvl>
    <w:lvl w:ilvl="5" w:tplc="7ACC7F46" w:tentative="1">
      <w:start w:val="1"/>
      <w:numFmt w:val="bullet"/>
      <w:lvlText w:val="o"/>
      <w:lvlJc w:val="left"/>
      <w:pPr>
        <w:tabs>
          <w:tab w:val="num" w:pos="4320"/>
        </w:tabs>
        <w:ind w:left="4320" w:hanging="360"/>
      </w:pPr>
      <w:rPr>
        <w:rFonts w:ascii="Courier New" w:hAnsi="Courier New" w:hint="default"/>
      </w:rPr>
    </w:lvl>
    <w:lvl w:ilvl="6" w:tplc="44BC527E" w:tentative="1">
      <w:start w:val="1"/>
      <w:numFmt w:val="bullet"/>
      <w:lvlText w:val="o"/>
      <w:lvlJc w:val="left"/>
      <w:pPr>
        <w:tabs>
          <w:tab w:val="num" w:pos="5040"/>
        </w:tabs>
        <w:ind w:left="5040" w:hanging="360"/>
      </w:pPr>
      <w:rPr>
        <w:rFonts w:ascii="Courier New" w:hAnsi="Courier New" w:hint="default"/>
      </w:rPr>
    </w:lvl>
    <w:lvl w:ilvl="7" w:tplc="11847C62" w:tentative="1">
      <w:start w:val="1"/>
      <w:numFmt w:val="bullet"/>
      <w:lvlText w:val="o"/>
      <w:lvlJc w:val="left"/>
      <w:pPr>
        <w:tabs>
          <w:tab w:val="num" w:pos="5760"/>
        </w:tabs>
        <w:ind w:left="5760" w:hanging="360"/>
      </w:pPr>
      <w:rPr>
        <w:rFonts w:ascii="Courier New" w:hAnsi="Courier New" w:hint="default"/>
      </w:rPr>
    </w:lvl>
    <w:lvl w:ilvl="8" w:tplc="24A2B5D8"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355CE"/>
    <w:multiLevelType w:val="hybridMultilevel"/>
    <w:tmpl w:val="05FABB52"/>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7E729A"/>
    <w:multiLevelType w:val="hybridMultilevel"/>
    <w:tmpl w:val="783C3342"/>
    <w:lvl w:ilvl="0" w:tplc="74569016">
      <w:start w:val="1"/>
      <w:numFmt w:val="upperLetter"/>
      <w:lvlText w:val="%1."/>
      <w:lvlJc w:val="left"/>
      <w:pPr>
        <w:ind w:left="720" w:hanging="360"/>
      </w:pPr>
      <w:rPr>
        <w:rFonts w:ascii="Times New Roman" w:eastAsia="Times New Roman" w:hAnsi="Times New Roman" w:cs="Times New Roman"/>
      </w:rPr>
    </w:lvl>
    <w:lvl w:ilvl="1" w:tplc="C72A3F32">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285A3342"/>
    <w:multiLevelType w:val="hybridMultilevel"/>
    <w:tmpl w:val="2C4CBF34"/>
    <w:lvl w:ilvl="0" w:tplc="BA0AC78A">
      <w:start w:val="1"/>
      <w:numFmt w:val="bullet"/>
      <w:lvlText w:val="•"/>
      <w:lvlJc w:val="left"/>
      <w:pPr>
        <w:tabs>
          <w:tab w:val="num" w:pos="720"/>
        </w:tabs>
        <w:ind w:left="720" w:hanging="360"/>
      </w:pPr>
      <w:rPr>
        <w:rFonts w:ascii="Arial" w:hAnsi="Arial" w:hint="default"/>
      </w:rPr>
    </w:lvl>
    <w:lvl w:ilvl="1" w:tplc="7BFA9B86">
      <w:start w:val="30158"/>
      <w:numFmt w:val="bullet"/>
      <w:lvlText w:val="•"/>
      <w:lvlJc w:val="left"/>
      <w:pPr>
        <w:tabs>
          <w:tab w:val="num" w:pos="1440"/>
        </w:tabs>
        <w:ind w:left="1440" w:hanging="360"/>
      </w:pPr>
      <w:rPr>
        <w:rFonts w:ascii="Arial" w:hAnsi="Arial" w:hint="default"/>
      </w:rPr>
    </w:lvl>
    <w:lvl w:ilvl="2" w:tplc="DB60793E" w:tentative="1">
      <w:start w:val="1"/>
      <w:numFmt w:val="bullet"/>
      <w:lvlText w:val="•"/>
      <w:lvlJc w:val="left"/>
      <w:pPr>
        <w:tabs>
          <w:tab w:val="num" w:pos="2160"/>
        </w:tabs>
        <w:ind w:left="2160" w:hanging="360"/>
      </w:pPr>
      <w:rPr>
        <w:rFonts w:ascii="Arial" w:hAnsi="Arial" w:hint="default"/>
      </w:rPr>
    </w:lvl>
    <w:lvl w:ilvl="3" w:tplc="D1E86C66" w:tentative="1">
      <w:start w:val="1"/>
      <w:numFmt w:val="bullet"/>
      <w:lvlText w:val="•"/>
      <w:lvlJc w:val="left"/>
      <w:pPr>
        <w:tabs>
          <w:tab w:val="num" w:pos="2880"/>
        </w:tabs>
        <w:ind w:left="2880" w:hanging="360"/>
      </w:pPr>
      <w:rPr>
        <w:rFonts w:ascii="Arial" w:hAnsi="Arial" w:hint="default"/>
      </w:rPr>
    </w:lvl>
    <w:lvl w:ilvl="4" w:tplc="EE143526" w:tentative="1">
      <w:start w:val="1"/>
      <w:numFmt w:val="bullet"/>
      <w:lvlText w:val="•"/>
      <w:lvlJc w:val="left"/>
      <w:pPr>
        <w:tabs>
          <w:tab w:val="num" w:pos="3600"/>
        </w:tabs>
        <w:ind w:left="3600" w:hanging="360"/>
      </w:pPr>
      <w:rPr>
        <w:rFonts w:ascii="Arial" w:hAnsi="Arial" w:hint="default"/>
      </w:rPr>
    </w:lvl>
    <w:lvl w:ilvl="5" w:tplc="609809F2" w:tentative="1">
      <w:start w:val="1"/>
      <w:numFmt w:val="bullet"/>
      <w:lvlText w:val="•"/>
      <w:lvlJc w:val="left"/>
      <w:pPr>
        <w:tabs>
          <w:tab w:val="num" w:pos="4320"/>
        </w:tabs>
        <w:ind w:left="4320" w:hanging="360"/>
      </w:pPr>
      <w:rPr>
        <w:rFonts w:ascii="Arial" w:hAnsi="Arial" w:hint="default"/>
      </w:rPr>
    </w:lvl>
    <w:lvl w:ilvl="6" w:tplc="F5D0B892" w:tentative="1">
      <w:start w:val="1"/>
      <w:numFmt w:val="bullet"/>
      <w:lvlText w:val="•"/>
      <w:lvlJc w:val="left"/>
      <w:pPr>
        <w:tabs>
          <w:tab w:val="num" w:pos="5040"/>
        </w:tabs>
        <w:ind w:left="5040" w:hanging="360"/>
      </w:pPr>
      <w:rPr>
        <w:rFonts w:ascii="Arial" w:hAnsi="Arial" w:hint="default"/>
      </w:rPr>
    </w:lvl>
    <w:lvl w:ilvl="7" w:tplc="52CE14BE" w:tentative="1">
      <w:start w:val="1"/>
      <w:numFmt w:val="bullet"/>
      <w:lvlText w:val="•"/>
      <w:lvlJc w:val="left"/>
      <w:pPr>
        <w:tabs>
          <w:tab w:val="num" w:pos="5760"/>
        </w:tabs>
        <w:ind w:left="5760" w:hanging="360"/>
      </w:pPr>
      <w:rPr>
        <w:rFonts w:ascii="Arial" w:hAnsi="Arial" w:hint="default"/>
      </w:rPr>
    </w:lvl>
    <w:lvl w:ilvl="8" w:tplc="104C75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5C5726"/>
    <w:multiLevelType w:val="hybridMultilevel"/>
    <w:tmpl w:val="09D8F0C4"/>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D079C2"/>
    <w:multiLevelType w:val="hybridMultilevel"/>
    <w:tmpl w:val="C82A85D8"/>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2A01EA"/>
    <w:multiLevelType w:val="hybridMultilevel"/>
    <w:tmpl w:val="3C0CEC7C"/>
    <w:lvl w:ilvl="0" w:tplc="67A2118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F9B1BB8"/>
    <w:multiLevelType w:val="hybridMultilevel"/>
    <w:tmpl w:val="385A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C7EBD"/>
    <w:multiLevelType w:val="hybridMultilevel"/>
    <w:tmpl w:val="CAFC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43FA2"/>
    <w:multiLevelType w:val="hybridMultilevel"/>
    <w:tmpl w:val="CCF0C26E"/>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001DE2"/>
    <w:multiLevelType w:val="hybridMultilevel"/>
    <w:tmpl w:val="5A5836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006D23"/>
    <w:multiLevelType w:val="hybridMultilevel"/>
    <w:tmpl w:val="2A7A1108"/>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29" w15:restartNumberingAfterBreak="0">
    <w:nsid w:val="3D0E0F48"/>
    <w:multiLevelType w:val="hybridMultilevel"/>
    <w:tmpl w:val="C6D0D674"/>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DD43D46"/>
    <w:multiLevelType w:val="hybridMultilevel"/>
    <w:tmpl w:val="E32EF18C"/>
    <w:lvl w:ilvl="0" w:tplc="67A21184">
      <w:start w:val="1"/>
      <w:numFmt w:val="upperLetter"/>
      <w:lvlText w:val="%1.)"/>
      <w:lvlJc w:val="left"/>
      <w:pPr>
        <w:ind w:left="833" w:hanging="360"/>
      </w:pPr>
      <w:rPr>
        <w:rFonts w:hint="default"/>
      </w:r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1"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B228D1"/>
    <w:multiLevelType w:val="hybridMultilevel"/>
    <w:tmpl w:val="2D36F49E"/>
    <w:lvl w:ilvl="0" w:tplc="F244A242">
      <w:start w:val="1"/>
      <w:numFmt w:val="bullet"/>
      <w:lvlText w:val="•"/>
      <w:lvlJc w:val="left"/>
      <w:pPr>
        <w:tabs>
          <w:tab w:val="num" w:pos="720"/>
        </w:tabs>
        <w:ind w:left="720" w:hanging="360"/>
      </w:pPr>
      <w:rPr>
        <w:rFonts w:ascii="Arial" w:hAnsi="Arial" w:hint="default"/>
      </w:rPr>
    </w:lvl>
    <w:lvl w:ilvl="1" w:tplc="2A0C7800">
      <w:start w:val="161"/>
      <w:numFmt w:val="bullet"/>
      <w:lvlText w:val="•"/>
      <w:lvlJc w:val="left"/>
      <w:pPr>
        <w:tabs>
          <w:tab w:val="num" w:pos="1440"/>
        </w:tabs>
        <w:ind w:left="1440" w:hanging="360"/>
      </w:pPr>
      <w:rPr>
        <w:rFonts w:ascii="Arial" w:hAnsi="Arial" w:hint="default"/>
      </w:rPr>
    </w:lvl>
    <w:lvl w:ilvl="2" w:tplc="3020A2F2">
      <w:start w:val="1250"/>
      <w:numFmt w:val="bullet"/>
      <w:lvlText w:val="o"/>
      <w:lvlJc w:val="left"/>
      <w:pPr>
        <w:tabs>
          <w:tab w:val="num" w:pos="2160"/>
        </w:tabs>
        <w:ind w:left="2160" w:hanging="360"/>
      </w:pPr>
      <w:rPr>
        <w:rFonts w:ascii="Courier New" w:hAnsi="Courier New" w:hint="default"/>
      </w:rPr>
    </w:lvl>
    <w:lvl w:ilvl="3" w:tplc="AF7CB71C" w:tentative="1">
      <w:start w:val="1"/>
      <w:numFmt w:val="bullet"/>
      <w:lvlText w:val="•"/>
      <w:lvlJc w:val="left"/>
      <w:pPr>
        <w:tabs>
          <w:tab w:val="num" w:pos="2880"/>
        </w:tabs>
        <w:ind w:left="2880" w:hanging="360"/>
      </w:pPr>
      <w:rPr>
        <w:rFonts w:ascii="Arial" w:hAnsi="Arial" w:hint="default"/>
      </w:rPr>
    </w:lvl>
    <w:lvl w:ilvl="4" w:tplc="3C24A6DA" w:tentative="1">
      <w:start w:val="1"/>
      <w:numFmt w:val="bullet"/>
      <w:lvlText w:val="•"/>
      <w:lvlJc w:val="left"/>
      <w:pPr>
        <w:tabs>
          <w:tab w:val="num" w:pos="3600"/>
        </w:tabs>
        <w:ind w:left="3600" w:hanging="360"/>
      </w:pPr>
      <w:rPr>
        <w:rFonts w:ascii="Arial" w:hAnsi="Arial" w:hint="default"/>
      </w:rPr>
    </w:lvl>
    <w:lvl w:ilvl="5" w:tplc="8DF0D920" w:tentative="1">
      <w:start w:val="1"/>
      <w:numFmt w:val="bullet"/>
      <w:lvlText w:val="•"/>
      <w:lvlJc w:val="left"/>
      <w:pPr>
        <w:tabs>
          <w:tab w:val="num" w:pos="4320"/>
        </w:tabs>
        <w:ind w:left="4320" w:hanging="360"/>
      </w:pPr>
      <w:rPr>
        <w:rFonts w:ascii="Arial" w:hAnsi="Arial" w:hint="default"/>
      </w:rPr>
    </w:lvl>
    <w:lvl w:ilvl="6" w:tplc="3C2A779C" w:tentative="1">
      <w:start w:val="1"/>
      <w:numFmt w:val="bullet"/>
      <w:lvlText w:val="•"/>
      <w:lvlJc w:val="left"/>
      <w:pPr>
        <w:tabs>
          <w:tab w:val="num" w:pos="5040"/>
        </w:tabs>
        <w:ind w:left="5040" w:hanging="360"/>
      </w:pPr>
      <w:rPr>
        <w:rFonts w:ascii="Arial" w:hAnsi="Arial" w:hint="default"/>
      </w:rPr>
    </w:lvl>
    <w:lvl w:ilvl="7" w:tplc="255A612C" w:tentative="1">
      <w:start w:val="1"/>
      <w:numFmt w:val="bullet"/>
      <w:lvlText w:val="•"/>
      <w:lvlJc w:val="left"/>
      <w:pPr>
        <w:tabs>
          <w:tab w:val="num" w:pos="5760"/>
        </w:tabs>
        <w:ind w:left="5760" w:hanging="360"/>
      </w:pPr>
      <w:rPr>
        <w:rFonts w:ascii="Arial" w:hAnsi="Arial" w:hint="default"/>
      </w:rPr>
    </w:lvl>
    <w:lvl w:ilvl="8" w:tplc="2A7C32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135485C"/>
    <w:multiLevelType w:val="hybridMultilevel"/>
    <w:tmpl w:val="AA20296A"/>
    <w:lvl w:ilvl="0" w:tplc="55BC95E4">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DD6A37"/>
    <w:multiLevelType w:val="hybridMultilevel"/>
    <w:tmpl w:val="F97A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100DC4"/>
    <w:multiLevelType w:val="hybridMultilevel"/>
    <w:tmpl w:val="91060482"/>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8" w15:restartNumberingAfterBreak="0">
    <w:nsid w:val="47181E9D"/>
    <w:multiLevelType w:val="hybridMultilevel"/>
    <w:tmpl w:val="FCA60D3C"/>
    <w:lvl w:ilvl="0" w:tplc="9C3E70A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B831837"/>
    <w:multiLevelType w:val="hybridMultilevel"/>
    <w:tmpl w:val="701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FAD73AB"/>
    <w:multiLevelType w:val="hybridMultilevel"/>
    <w:tmpl w:val="903243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20A2313"/>
    <w:multiLevelType w:val="hybridMultilevel"/>
    <w:tmpl w:val="B334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6039334C"/>
    <w:multiLevelType w:val="hybridMultilevel"/>
    <w:tmpl w:val="71D2141E"/>
    <w:lvl w:ilvl="0" w:tplc="8670151E">
      <w:start w:val="1"/>
      <w:numFmt w:val="upperRoman"/>
      <w:lvlText w:val="%1."/>
      <w:lvlJc w:val="left"/>
      <w:pPr>
        <w:ind w:left="4689"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136DDB"/>
    <w:multiLevelType w:val="hybridMultilevel"/>
    <w:tmpl w:val="64AC9BF6"/>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F53601"/>
    <w:multiLevelType w:val="hybridMultilevel"/>
    <w:tmpl w:val="19E022B4"/>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2760592"/>
    <w:multiLevelType w:val="hybridMultilevel"/>
    <w:tmpl w:val="9D9A9330"/>
    <w:lvl w:ilvl="0" w:tplc="4622093E">
      <w:start w:val="1"/>
      <w:numFmt w:val="bullet"/>
      <w:lvlText w:val="o"/>
      <w:lvlJc w:val="left"/>
      <w:pPr>
        <w:tabs>
          <w:tab w:val="num" w:pos="720"/>
        </w:tabs>
        <w:ind w:left="720" w:hanging="360"/>
      </w:pPr>
      <w:rPr>
        <w:rFonts w:ascii="Courier New" w:hAnsi="Courier New" w:hint="default"/>
      </w:rPr>
    </w:lvl>
    <w:lvl w:ilvl="1" w:tplc="E9FE4A40">
      <w:start w:val="1251"/>
      <w:numFmt w:val="bullet"/>
      <w:lvlText w:val="o"/>
      <w:lvlJc w:val="left"/>
      <w:pPr>
        <w:tabs>
          <w:tab w:val="num" w:pos="1440"/>
        </w:tabs>
        <w:ind w:left="1440" w:hanging="360"/>
      </w:pPr>
      <w:rPr>
        <w:rFonts w:ascii="Courier New" w:hAnsi="Courier New" w:hint="default"/>
      </w:rPr>
    </w:lvl>
    <w:lvl w:ilvl="2" w:tplc="F032642C" w:tentative="1">
      <w:start w:val="1"/>
      <w:numFmt w:val="bullet"/>
      <w:lvlText w:val="o"/>
      <w:lvlJc w:val="left"/>
      <w:pPr>
        <w:tabs>
          <w:tab w:val="num" w:pos="2160"/>
        </w:tabs>
        <w:ind w:left="2160" w:hanging="360"/>
      </w:pPr>
      <w:rPr>
        <w:rFonts w:ascii="Courier New" w:hAnsi="Courier New" w:hint="default"/>
      </w:rPr>
    </w:lvl>
    <w:lvl w:ilvl="3" w:tplc="467A3358" w:tentative="1">
      <w:start w:val="1"/>
      <w:numFmt w:val="bullet"/>
      <w:lvlText w:val="o"/>
      <w:lvlJc w:val="left"/>
      <w:pPr>
        <w:tabs>
          <w:tab w:val="num" w:pos="2880"/>
        </w:tabs>
        <w:ind w:left="2880" w:hanging="360"/>
      </w:pPr>
      <w:rPr>
        <w:rFonts w:ascii="Courier New" w:hAnsi="Courier New" w:hint="default"/>
      </w:rPr>
    </w:lvl>
    <w:lvl w:ilvl="4" w:tplc="067CFF54" w:tentative="1">
      <w:start w:val="1"/>
      <w:numFmt w:val="bullet"/>
      <w:lvlText w:val="o"/>
      <w:lvlJc w:val="left"/>
      <w:pPr>
        <w:tabs>
          <w:tab w:val="num" w:pos="3600"/>
        </w:tabs>
        <w:ind w:left="3600" w:hanging="360"/>
      </w:pPr>
      <w:rPr>
        <w:rFonts w:ascii="Courier New" w:hAnsi="Courier New" w:hint="default"/>
      </w:rPr>
    </w:lvl>
    <w:lvl w:ilvl="5" w:tplc="E75E8664" w:tentative="1">
      <w:start w:val="1"/>
      <w:numFmt w:val="bullet"/>
      <w:lvlText w:val="o"/>
      <w:lvlJc w:val="left"/>
      <w:pPr>
        <w:tabs>
          <w:tab w:val="num" w:pos="4320"/>
        </w:tabs>
        <w:ind w:left="4320" w:hanging="360"/>
      </w:pPr>
      <w:rPr>
        <w:rFonts w:ascii="Courier New" w:hAnsi="Courier New" w:hint="default"/>
      </w:rPr>
    </w:lvl>
    <w:lvl w:ilvl="6" w:tplc="493CEC84" w:tentative="1">
      <w:start w:val="1"/>
      <w:numFmt w:val="bullet"/>
      <w:lvlText w:val="o"/>
      <w:lvlJc w:val="left"/>
      <w:pPr>
        <w:tabs>
          <w:tab w:val="num" w:pos="5040"/>
        </w:tabs>
        <w:ind w:left="5040" w:hanging="360"/>
      </w:pPr>
      <w:rPr>
        <w:rFonts w:ascii="Courier New" w:hAnsi="Courier New" w:hint="default"/>
      </w:rPr>
    </w:lvl>
    <w:lvl w:ilvl="7" w:tplc="2B2C837E" w:tentative="1">
      <w:start w:val="1"/>
      <w:numFmt w:val="bullet"/>
      <w:lvlText w:val="o"/>
      <w:lvlJc w:val="left"/>
      <w:pPr>
        <w:tabs>
          <w:tab w:val="num" w:pos="5760"/>
        </w:tabs>
        <w:ind w:left="5760" w:hanging="360"/>
      </w:pPr>
      <w:rPr>
        <w:rFonts w:ascii="Courier New" w:hAnsi="Courier New" w:hint="default"/>
      </w:rPr>
    </w:lvl>
    <w:lvl w:ilvl="8" w:tplc="1C08BB92" w:tentative="1">
      <w:start w:val="1"/>
      <w:numFmt w:val="bullet"/>
      <w:lvlText w:val="o"/>
      <w:lvlJc w:val="left"/>
      <w:pPr>
        <w:tabs>
          <w:tab w:val="num" w:pos="6480"/>
        </w:tabs>
        <w:ind w:left="6480" w:hanging="360"/>
      </w:pPr>
      <w:rPr>
        <w:rFonts w:ascii="Courier New" w:hAnsi="Courier New" w:hint="default"/>
      </w:rPr>
    </w:lvl>
  </w:abstractNum>
  <w:abstractNum w:abstractNumId="54" w15:restartNumberingAfterBreak="0">
    <w:nsid w:val="6392121F"/>
    <w:multiLevelType w:val="hybridMultilevel"/>
    <w:tmpl w:val="302C8256"/>
    <w:lvl w:ilvl="0" w:tplc="A59E31DC">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6E76F63"/>
    <w:multiLevelType w:val="hybridMultilevel"/>
    <w:tmpl w:val="43C8DB2A"/>
    <w:lvl w:ilvl="0" w:tplc="ED14CB8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EA75C28"/>
    <w:multiLevelType w:val="hybridMultilevel"/>
    <w:tmpl w:val="8EA839C4"/>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FEA22B3"/>
    <w:multiLevelType w:val="hybridMultilevel"/>
    <w:tmpl w:val="E39427FC"/>
    <w:lvl w:ilvl="0" w:tplc="9404DD7E">
      <w:start w:val="1"/>
      <w:numFmt w:val="lowerLetter"/>
      <w:lvlText w:val="(%1)"/>
      <w:lvlJc w:val="left"/>
      <w:pPr>
        <w:ind w:left="1496" w:hanging="360"/>
      </w:pPr>
      <w:rPr>
        <w:rFonts w:hint="default"/>
      </w:rPr>
    </w:lvl>
    <w:lvl w:ilvl="1" w:tplc="10090019" w:tentative="1">
      <w:start w:val="1"/>
      <w:numFmt w:val="lowerLetter"/>
      <w:lvlText w:val="%2."/>
      <w:lvlJc w:val="left"/>
      <w:pPr>
        <w:ind w:left="2216" w:hanging="360"/>
      </w:pPr>
    </w:lvl>
    <w:lvl w:ilvl="2" w:tplc="1009001B" w:tentative="1">
      <w:start w:val="1"/>
      <w:numFmt w:val="lowerRoman"/>
      <w:lvlText w:val="%3."/>
      <w:lvlJc w:val="right"/>
      <w:pPr>
        <w:ind w:left="2936" w:hanging="180"/>
      </w:pPr>
    </w:lvl>
    <w:lvl w:ilvl="3" w:tplc="1009000F" w:tentative="1">
      <w:start w:val="1"/>
      <w:numFmt w:val="decimal"/>
      <w:lvlText w:val="%4."/>
      <w:lvlJc w:val="left"/>
      <w:pPr>
        <w:ind w:left="3656" w:hanging="360"/>
      </w:pPr>
    </w:lvl>
    <w:lvl w:ilvl="4" w:tplc="10090019" w:tentative="1">
      <w:start w:val="1"/>
      <w:numFmt w:val="lowerLetter"/>
      <w:lvlText w:val="%5."/>
      <w:lvlJc w:val="left"/>
      <w:pPr>
        <w:ind w:left="4376" w:hanging="360"/>
      </w:pPr>
    </w:lvl>
    <w:lvl w:ilvl="5" w:tplc="1009001B" w:tentative="1">
      <w:start w:val="1"/>
      <w:numFmt w:val="lowerRoman"/>
      <w:lvlText w:val="%6."/>
      <w:lvlJc w:val="right"/>
      <w:pPr>
        <w:ind w:left="5096" w:hanging="180"/>
      </w:pPr>
    </w:lvl>
    <w:lvl w:ilvl="6" w:tplc="1009000F" w:tentative="1">
      <w:start w:val="1"/>
      <w:numFmt w:val="decimal"/>
      <w:lvlText w:val="%7."/>
      <w:lvlJc w:val="left"/>
      <w:pPr>
        <w:ind w:left="5816" w:hanging="360"/>
      </w:pPr>
    </w:lvl>
    <w:lvl w:ilvl="7" w:tplc="10090019" w:tentative="1">
      <w:start w:val="1"/>
      <w:numFmt w:val="lowerLetter"/>
      <w:lvlText w:val="%8."/>
      <w:lvlJc w:val="left"/>
      <w:pPr>
        <w:ind w:left="6536" w:hanging="360"/>
      </w:pPr>
    </w:lvl>
    <w:lvl w:ilvl="8" w:tplc="1009001B" w:tentative="1">
      <w:start w:val="1"/>
      <w:numFmt w:val="lowerRoman"/>
      <w:lvlText w:val="%9."/>
      <w:lvlJc w:val="right"/>
      <w:pPr>
        <w:ind w:left="7256" w:hanging="180"/>
      </w:pPr>
    </w:lvl>
  </w:abstractNum>
  <w:abstractNum w:abstractNumId="60" w15:restartNumberingAfterBreak="0">
    <w:nsid w:val="71470EA0"/>
    <w:multiLevelType w:val="hybridMultilevel"/>
    <w:tmpl w:val="7BFCF74C"/>
    <w:lvl w:ilvl="0" w:tplc="74569016">
      <w:start w:val="1"/>
      <w:numFmt w:val="upperLetter"/>
      <w:lvlText w:val="%1."/>
      <w:lvlJc w:val="left"/>
      <w:pPr>
        <w:ind w:left="720" w:hanging="360"/>
      </w:pPr>
      <w:rPr>
        <w:rFonts w:ascii="Times New Roman" w:eastAsia="Times New Roman" w:hAnsi="Times New Roman" w:cs="Times New Roman"/>
      </w:rPr>
    </w:lvl>
    <w:lvl w:ilvl="1" w:tplc="C72A3F32">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5853473"/>
    <w:multiLevelType w:val="hybridMultilevel"/>
    <w:tmpl w:val="B9F6BFB4"/>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BA76CF1A">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CA7539A"/>
    <w:multiLevelType w:val="hybridMultilevel"/>
    <w:tmpl w:val="15CA26F8"/>
    <w:lvl w:ilvl="0" w:tplc="3A22BB3E">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E1965CD"/>
    <w:multiLevelType w:val="multilevel"/>
    <w:tmpl w:val="5D8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3B6087"/>
    <w:multiLevelType w:val="hybridMultilevel"/>
    <w:tmpl w:val="5A5836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8"/>
  </w:num>
  <w:num w:numId="4">
    <w:abstractNumId w:val="61"/>
  </w:num>
  <w:num w:numId="5">
    <w:abstractNumId w:val="21"/>
  </w:num>
  <w:num w:numId="6">
    <w:abstractNumId w:val="42"/>
  </w:num>
  <w:num w:numId="7">
    <w:abstractNumId w:val="36"/>
  </w:num>
  <w:num w:numId="8">
    <w:abstractNumId w:val="27"/>
  </w:num>
  <w:num w:numId="9">
    <w:abstractNumId w:val="42"/>
  </w:num>
  <w:num w:numId="10">
    <w:abstractNumId w:val="40"/>
  </w:num>
  <w:num w:numId="11">
    <w:abstractNumId w:val="28"/>
  </w:num>
  <w:num w:numId="12">
    <w:abstractNumId w:val="10"/>
  </w:num>
  <w:num w:numId="13">
    <w:abstractNumId w:val="39"/>
  </w:num>
  <w:num w:numId="14">
    <w:abstractNumId w:val="2"/>
  </w:num>
  <w:num w:numId="15">
    <w:abstractNumId w:val="66"/>
  </w:num>
  <w:num w:numId="16">
    <w:abstractNumId w:val="46"/>
  </w:num>
  <w:num w:numId="17">
    <w:abstractNumId w:val="9"/>
  </w:num>
  <w:num w:numId="18">
    <w:abstractNumId w:val="42"/>
    <w:lvlOverride w:ilvl="0">
      <w:startOverride w:val="1"/>
    </w:lvlOverride>
    <w:lvlOverride w:ilvl="1">
      <w:startOverride w:val="1"/>
    </w:lvlOverride>
    <w:lvlOverride w:ilvl="2">
      <w:startOverride w:val="2"/>
    </w:lvlOverride>
  </w:num>
  <w:num w:numId="19">
    <w:abstractNumId w:val="42"/>
    <w:lvlOverride w:ilvl="0">
      <w:startOverride w:val="1"/>
    </w:lvlOverride>
    <w:lvlOverride w:ilvl="1">
      <w:startOverride w:val="1"/>
    </w:lvlOverride>
    <w:lvlOverride w:ilvl="2">
      <w:startOverride w:val="3"/>
    </w:lvlOverride>
  </w:num>
  <w:num w:numId="20">
    <w:abstractNumId w:val="6"/>
  </w:num>
  <w:num w:numId="21">
    <w:abstractNumId w:val="47"/>
  </w:num>
  <w:num w:numId="22">
    <w:abstractNumId w:val="45"/>
  </w:num>
  <w:num w:numId="23">
    <w:abstractNumId w:val="13"/>
  </w:num>
  <w:num w:numId="24">
    <w:abstractNumId w:val="51"/>
  </w:num>
  <w:num w:numId="25">
    <w:abstractNumId w:val="55"/>
  </w:num>
  <w:num w:numId="26">
    <w:abstractNumId w:val="37"/>
  </w:num>
  <w:num w:numId="27">
    <w:abstractNumId w:val="42"/>
  </w:num>
  <w:num w:numId="28">
    <w:abstractNumId w:val="42"/>
  </w:num>
  <w:num w:numId="29">
    <w:abstractNumId w:val="42"/>
  </w:num>
  <w:num w:numId="30">
    <w:abstractNumId w:val="42"/>
  </w:num>
  <w:num w:numId="31">
    <w:abstractNumId w:val="3"/>
  </w:num>
  <w:num w:numId="32">
    <w:abstractNumId w:val="4"/>
  </w:num>
  <w:num w:numId="33">
    <w:abstractNumId w:val="5"/>
  </w:num>
  <w:num w:numId="34">
    <w:abstractNumId w:val="0"/>
  </w:num>
  <w:num w:numId="35">
    <w:abstractNumId w:val="48"/>
  </w:num>
  <w:num w:numId="36">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42"/>
  </w:num>
  <w:num w:numId="40">
    <w:abstractNumId w:val="42"/>
  </w:num>
  <w:num w:numId="41">
    <w:abstractNumId w:val="42"/>
  </w:num>
  <w:num w:numId="42">
    <w:abstractNumId w:val="42"/>
  </w:num>
  <w:num w:numId="43">
    <w:abstractNumId w:val="42"/>
  </w:num>
  <w:num w:numId="44">
    <w:abstractNumId w:val="1"/>
  </w:num>
  <w:num w:numId="45">
    <w:abstractNumId w:val="14"/>
  </w:num>
  <w:num w:numId="46">
    <w:abstractNumId w:val="32"/>
  </w:num>
  <w:num w:numId="47">
    <w:abstractNumId w:val="8"/>
  </w:num>
  <w:num w:numId="48">
    <w:abstractNumId w:val="53"/>
  </w:num>
  <w:num w:numId="49">
    <w:abstractNumId w:val="34"/>
  </w:num>
  <w:num w:numId="50">
    <w:abstractNumId w:val="41"/>
  </w:num>
  <w:num w:numId="51">
    <w:abstractNumId w:val="22"/>
  </w:num>
  <w:num w:numId="52">
    <w:abstractNumId w:val="44"/>
  </w:num>
  <w:num w:numId="53">
    <w:abstractNumId w:val="42"/>
  </w:num>
  <w:num w:numId="54">
    <w:abstractNumId w:val="42"/>
  </w:num>
  <w:num w:numId="55">
    <w:abstractNumId w:val="42"/>
  </w:num>
  <w:num w:numId="56">
    <w:abstractNumId w:val="42"/>
  </w:num>
  <w:num w:numId="57">
    <w:abstractNumId w:val="42"/>
  </w:num>
  <w:num w:numId="58">
    <w:abstractNumId w:val="42"/>
  </w:num>
  <w:num w:numId="59">
    <w:abstractNumId w:val="42"/>
  </w:num>
  <w:num w:numId="60">
    <w:abstractNumId w:val="42"/>
  </w:num>
  <w:num w:numId="61">
    <w:abstractNumId w:val="42"/>
  </w:num>
  <w:num w:numId="62">
    <w:abstractNumId w:val="42"/>
  </w:num>
  <w:num w:numId="63">
    <w:abstractNumId w:val="42"/>
  </w:num>
  <w:num w:numId="64">
    <w:abstractNumId w:val="42"/>
  </w:num>
  <w:num w:numId="65">
    <w:abstractNumId w:val="42"/>
  </w:num>
  <w:num w:numId="66">
    <w:abstractNumId w:val="42"/>
  </w:num>
  <w:num w:numId="67">
    <w:abstractNumId w:val="54"/>
  </w:num>
  <w:num w:numId="68">
    <w:abstractNumId w:val="43"/>
  </w:num>
  <w:num w:numId="69">
    <w:abstractNumId w:val="49"/>
  </w:num>
  <w:num w:numId="70">
    <w:abstractNumId w:val="31"/>
  </w:num>
  <w:num w:numId="71">
    <w:abstractNumId w:val="23"/>
  </w:num>
  <w:num w:numId="72">
    <w:abstractNumId w:val="65"/>
  </w:num>
  <w:num w:numId="73">
    <w:abstractNumId w:val="30"/>
  </w:num>
  <w:num w:numId="74">
    <w:abstractNumId w:val="33"/>
  </w:num>
  <w:num w:numId="75">
    <w:abstractNumId w:val="25"/>
  </w:num>
  <w:num w:numId="76">
    <w:abstractNumId w:val="17"/>
  </w:num>
  <w:num w:numId="77">
    <w:abstractNumId w:val="59"/>
  </w:num>
  <w:num w:numId="78">
    <w:abstractNumId w:val="24"/>
  </w:num>
  <w:num w:numId="79">
    <w:abstractNumId w:val="64"/>
  </w:num>
  <w:num w:numId="80">
    <w:abstractNumId w:val="56"/>
  </w:num>
  <w:num w:numId="81">
    <w:abstractNumId w:val="38"/>
  </w:num>
  <w:num w:numId="82">
    <w:abstractNumId w:val="36"/>
    <w:lvlOverride w:ilvl="0">
      <w:startOverride w:val="1"/>
    </w:lvlOverride>
  </w:num>
  <w:num w:numId="83">
    <w:abstractNumId w:val="36"/>
    <w:lvlOverride w:ilvl="0">
      <w:startOverride w:val="1"/>
    </w:lvlOverride>
  </w:num>
  <w:num w:numId="84">
    <w:abstractNumId w:val="36"/>
    <w:lvlOverride w:ilvl="0">
      <w:startOverride w:val="1"/>
    </w:lvlOverride>
  </w:num>
  <w:num w:numId="85">
    <w:abstractNumId w:val="36"/>
    <w:lvlOverride w:ilvl="0">
      <w:startOverride w:val="1"/>
    </w:lvlOverride>
  </w:num>
  <w:num w:numId="86">
    <w:abstractNumId w:val="35"/>
  </w:num>
  <w:num w:numId="87">
    <w:abstractNumId w:val="29"/>
  </w:num>
  <w:num w:numId="88">
    <w:abstractNumId w:val="62"/>
  </w:num>
  <w:num w:numId="89">
    <w:abstractNumId w:val="52"/>
  </w:num>
  <w:num w:numId="90">
    <w:abstractNumId w:val="7"/>
  </w:num>
  <w:num w:numId="91">
    <w:abstractNumId w:val="50"/>
  </w:num>
  <w:num w:numId="92">
    <w:abstractNumId w:val="15"/>
  </w:num>
  <w:num w:numId="93">
    <w:abstractNumId w:val="26"/>
  </w:num>
  <w:num w:numId="94">
    <w:abstractNumId w:val="36"/>
    <w:lvlOverride w:ilvl="0">
      <w:startOverride w:val="1"/>
    </w:lvlOverride>
  </w:num>
  <w:num w:numId="95">
    <w:abstractNumId w:val="16"/>
  </w:num>
  <w:num w:numId="96">
    <w:abstractNumId w:val="60"/>
  </w:num>
  <w:num w:numId="97">
    <w:abstractNumId w:val="11"/>
  </w:num>
  <w:num w:numId="98">
    <w:abstractNumId w:val="12"/>
  </w:num>
  <w:num w:numId="99">
    <w:abstractNumId w:val="57"/>
  </w:num>
  <w:num w:numId="100">
    <w:abstractNumId w:val="42"/>
  </w:num>
  <w:num w:numId="101">
    <w:abstractNumId w:val="42"/>
  </w:num>
  <w:num w:numId="102">
    <w:abstractNumId w:val="42"/>
  </w:num>
  <w:num w:numId="103">
    <w:abstractNumId w:val="42"/>
  </w:num>
  <w:num w:numId="104">
    <w:abstractNumId w:val="42"/>
  </w:num>
  <w:num w:numId="105">
    <w:abstractNumId w:val="42"/>
  </w:num>
  <w:num w:numId="106">
    <w:abstractNumId w:val="58"/>
  </w:num>
  <w:num w:numId="107">
    <w:abstractNumId w:val="21"/>
  </w:num>
  <w:num w:numId="108">
    <w:abstractNumId w:val="42"/>
  </w:num>
  <w:num w:numId="109">
    <w:abstractNumId w:val="40"/>
  </w:num>
  <w:num w:numId="110">
    <w:abstractNumId w:val="42"/>
  </w:num>
  <w:num w:numId="111">
    <w:abstractNumId w:val="42"/>
  </w:num>
  <w:num w:numId="112">
    <w:abstractNumId w:val="42"/>
  </w:num>
  <w:num w:numId="113">
    <w:abstractNumId w:val="4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6B4"/>
    <w:rsid w:val="00004CE9"/>
    <w:rsid w:val="0001208E"/>
    <w:rsid w:val="000131A7"/>
    <w:rsid w:val="00015524"/>
    <w:rsid w:val="00017740"/>
    <w:rsid w:val="000219AC"/>
    <w:rsid w:val="00021F63"/>
    <w:rsid w:val="00024F6D"/>
    <w:rsid w:val="00025C80"/>
    <w:rsid w:val="00026B90"/>
    <w:rsid w:val="00031D24"/>
    <w:rsid w:val="00035843"/>
    <w:rsid w:val="0003737D"/>
    <w:rsid w:val="00037873"/>
    <w:rsid w:val="0004033C"/>
    <w:rsid w:val="00041182"/>
    <w:rsid w:val="00043BFA"/>
    <w:rsid w:val="00053D11"/>
    <w:rsid w:val="00054381"/>
    <w:rsid w:val="000571A9"/>
    <w:rsid w:val="0005764B"/>
    <w:rsid w:val="00060B3E"/>
    <w:rsid w:val="00063942"/>
    <w:rsid w:val="00064908"/>
    <w:rsid w:val="00064FEE"/>
    <w:rsid w:val="000665EB"/>
    <w:rsid w:val="00070293"/>
    <w:rsid w:val="000711E1"/>
    <w:rsid w:val="00073708"/>
    <w:rsid w:val="00080AC2"/>
    <w:rsid w:val="00087638"/>
    <w:rsid w:val="0009347E"/>
    <w:rsid w:val="00093A7A"/>
    <w:rsid w:val="00096F6A"/>
    <w:rsid w:val="00097294"/>
    <w:rsid w:val="00097886"/>
    <w:rsid w:val="00097C8D"/>
    <w:rsid w:val="000A02BA"/>
    <w:rsid w:val="000A11E3"/>
    <w:rsid w:val="000A6775"/>
    <w:rsid w:val="000B02D3"/>
    <w:rsid w:val="000B043B"/>
    <w:rsid w:val="000B0903"/>
    <w:rsid w:val="000B25ED"/>
    <w:rsid w:val="000C1D95"/>
    <w:rsid w:val="000C774D"/>
    <w:rsid w:val="000D36EF"/>
    <w:rsid w:val="000D5904"/>
    <w:rsid w:val="000D6EDB"/>
    <w:rsid w:val="000D7AF1"/>
    <w:rsid w:val="000E0FB7"/>
    <w:rsid w:val="000E2935"/>
    <w:rsid w:val="000E637D"/>
    <w:rsid w:val="000E7E6A"/>
    <w:rsid w:val="000F04B8"/>
    <w:rsid w:val="000F0A86"/>
    <w:rsid w:val="000F1BBC"/>
    <w:rsid w:val="000F1D56"/>
    <w:rsid w:val="000F2B9E"/>
    <w:rsid w:val="000F45AE"/>
    <w:rsid w:val="000F4DE0"/>
    <w:rsid w:val="000F5FF5"/>
    <w:rsid w:val="000F63AB"/>
    <w:rsid w:val="000F721C"/>
    <w:rsid w:val="000F74B8"/>
    <w:rsid w:val="00100DDF"/>
    <w:rsid w:val="00102A00"/>
    <w:rsid w:val="00102EB6"/>
    <w:rsid w:val="001118F0"/>
    <w:rsid w:val="001178FF"/>
    <w:rsid w:val="0012214B"/>
    <w:rsid w:val="001222C2"/>
    <w:rsid w:val="00123A71"/>
    <w:rsid w:val="0013586A"/>
    <w:rsid w:val="00137FA7"/>
    <w:rsid w:val="00140142"/>
    <w:rsid w:val="00141789"/>
    <w:rsid w:val="0014265C"/>
    <w:rsid w:val="00143C15"/>
    <w:rsid w:val="0014571A"/>
    <w:rsid w:val="00145961"/>
    <w:rsid w:val="00145994"/>
    <w:rsid w:val="0014668F"/>
    <w:rsid w:val="00146CBA"/>
    <w:rsid w:val="0015182F"/>
    <w:rsid w:val="001534C7"/>
    <w:rsid w:val="001573DA"/>
    <w:rsid w:val="001615C3"/>
    <w:rsid w:val="00162574"/>
    <w:rsid w:val="00164834"/>
    <w:rsid w:val="001651D3"/>
    <w:rsid w:val="00166367"/>
    <w:rsid w:val="00172AE2"/>
    <w:rsid w:val="00173A00"/>
    <w:rsid w:val="001742CA"/>
    <w:rsid w:val="00174952"/>
    <w:rsid w:val="00174B15"/>
    <w:rsid w:val="0017589E"/>
    <w:rsid w:val="00176766"/>
    <w:rsid w:val="001774F8"/>
    <w:rsid w:val="0018288F"/>
    <w:rsid w:val="0018471E"/>
    <w:rsid w:val="0019213D"/>
    <w:rsid w:val="00192E06"/>
    <w:rsid w:val="00195754"/>
    <w:rsid w:val="001A1540"/>
    <w:rsid w:val="001A5072"/>
    <w:rsid w:val="001A6231"/>
    <w:rsid w:val="001C0A08"/>
    <w:rsid w:val="001C1EAB"/>
    <w:rsid w:val="001C7000"/>
    <w:rsid w:val="001D13C5"/>
    <w:rsid w:val="001D2EA4"/>
    <w:rsid w:val="001D325E"/>
    <w:rsid w:val="001D3EA4"/>
    <w:rsid w:val="001D6A17"/>
    <w:rsid w:val="001D7354"/>
    <w:rsid w:val="001E2016"/>
    <w:rsid w:val="001E49A6"/>
    <w:rsid w:val="001E51A6"/>
    <w:rsid w:val="001F3732"/>
    <w:rsid w:val="001F6379"/>
    <w:rsid w:val="001F777C"/>
    <w:rsid w:val="00202645"/>
    <w:rsid w:val="002032C9"/>
    <w:rsid w:val="00204415"/>
    <w:rsid w:val="00204CAE"/>
    <w:rsid w:val="00205EC7"/>
    <w:rsid w:val="00207283"/>
    <w:rsid w:val="00207A6E"/>
    <w:rsid w:val="00210A35"/>
    <w:rsid w:val="00210C3F"/>
    <w:rsid w:val="00211412"/>
    <w:rsid w:val="002138DE"/>
    <w:rsid w:val="002209DA"/>
    <w:rsid w:val="002249FA"/>
    <w:rsid w:val="00224B92"/>
    <w:rsid w:val="00225964"/>
    <w:rsid w:val="00226E79"/>
    <w:rsid w:val="002275BE"/>
    <w:rsid w:val="00227883"/>
    <w:rsid w:val="0023147C"/>
    <w:rsid w:val="00232A3E"/>
    <w:rsid w:val="0023421A"/>
    <w:rsid w:val="002357E1"/>
    <w:rsid w:val="00235925"/>
    <w:rsid w:val="0024158B"/>
    <w:rsid w:val="002425F2"/>
    <w:rsid w:val="002426E6"/>
    <w:rsid w:val="002430F2"/>
    <w:rsid w:val="00244379"/>
    <w:rsid w:val="00246851"/>
    <w:rsid w:val="002471A2"/>
    <w:rsid w:val="00251B13"/>
    <w:rsid w:val="00252222"/>
    <w:rsid w:val="00252897"/>
    <w:rsid w:val="002539CA"/>
    <w:rsid w:val="00253E57"/>
    <w:rsid w:val="00255C8C"/>
    <w:rsid w:val="002606C4"/>
    <w:rsid w:val="00261B77"/>
    <w:rsid w:val="002678CF"/>
    <w:rsid w:val="00271735"/>
    <w:rsid w:val="00272162"/>
    <w:rsid w:val="00274A19"/>
    <w:rsid w:val="00276305"/>
    <w:rsid w:val="002769BD"/>
    <w:rsid w:val="00276B16"/>
    <w:rsid w:val="00281E2B"/>
    <w:rsid w:val="00284EC2"/>
    <w:rsid w:val="0028518D"/>
    <w:rsid w:val="002854B0"/>
    <w:rsid w:val="00286E5E"/>
    <w:rsid w:val="00287B63"/>
    <w:rsid w:val="002909DC"/>
    <w:rsid w:val="00293B48"/>
    <w:rsid w:val="0029692B"/>
    <w:rsid w:val="00296A11"/>
    <w:rsid w:val="00297603"/>
    <w:rsid w:val="002A3738"/>
    <w:rsid w:val="002A6350"/>
    <w:rsid w:val="002A7272"/>
    <w:rsid w:val="002A7320"/>
    <w:rsid w:val="002B01AC"/>
    <w:rsid w:val="002B0942"/>
    <w:rsid w:val="002B32F6"/>
    <w:rsid w:val="002B6132"/>
    <w:rsid w:val="002B6841"/>
    <w:rsid w:val="002C0456"/>
    <w:rsid w:val="002C453A"/>
    <w:rsid w:val="002C4BDB"/>
    <w:rsid w:val="002C5517"/>
    <w:rsid w:val="002C714E"/>
    <w:rsid w:val="002D3454"/>
    <w:rsid w:val="002D40D5"/>
    <w:rsid w:val="002E0627"/>
    <w:rsid w:val="002E391B"/>
    <w:rsid w:val="002E7DA0"/>
    <w:rsid w:val="002F1185"/>
    <w:rsid w:val="002F2D03"/>
    <w:rsid w:val="002F477A"/>
    <w:rsid w:val="002F4877"/>
    <w:rsid w:val="00300370"/>
    <w:rsid w:val="00304B04"/>
    <w:rsid w:val="00310145"/>
    <w:rsid w:val="00310E29"/>
    <w:rsid w:val="0031732A"/>
    <w:rsid w:val="003210FF"/>
    <w:rsid w:val="00321C05"/>
    <w:rsid w:val="00321FB7"/>
    <w:rsid w:val="00322338"/>
    <w:rsid w:val="00322A35"/>
    <w:rsid w:val="00324BE1"/>
    <w:rsid w:val="00325DE3"/>
    <w:rsid w:val="00332BBE"/>
    <w:rsid w:val="0033457D"/>
    <w:rsid w:val="00336766"/>
    <w:rsid w:val="003408B8"/>
    <w:rsid w:val="003409FD"/>
    <w:rsid w:val="003435BB"/>
    <w:rsid w:val="00344BD6"/>
    <w:rsid w:val="00344D97"/>
    <w:rsid w:val="00345951"/>
    <w:rsid w:val="00347AD4"/>
    <w:rsid w:val="003508A8"/>
    <w:rsid w:val="003567FB"/>
    <w:rsid w:val="0035747D"/>
    <w:rsid w:val="00364B85"/>
    <w:rsid w:val="00367F81"/>
    <w:rsid w:val="003707E4"/>
    <w:rsid w:val="003848FA"/>
    <w:rsid w:val="00385457"/>
    <w:rsid w:val="00387330"/>
    <w:rsid w:val="003919A2"/>
    <w:rsid w:val="00396302"/>
    <w:rsid w:val="003965F5"/>
    <w:rsid w:val="003A0829"/>
    <w:rsid w:val="003A1C62"/>
    <w:rsid w:val="003B10B9"/>
    <w:rsid w:val="003B24CB"/>
    <w:rsid w:val="003B5E05"/>
    <w:rsid w:val="003B7067"/>
    <w:rsid w:val="003C113F"/>
    <w:rsid w:val="003C1759"/>
    <w:rsid w:val="003C57B0"/>
    <w:rsid w:val="003C592F"/>
    <w:rsid w:val="003C73EB"/>
    <w:rsid w:val="003C776A"/>
    <w:rsid w:val="003D000B"/>
    <w:rsid w:val="003D35B9"/>
    <w:rsid w:val="003D36E3"/>
    <w:rsid w:val="003D44CC"/>
    <w:rsid w:val="003D4579"/>
    <w:rsid w:val="003D4F39"/>
    <w:rsid w:val="003D5B5F"/>
    <w:rsid w:val="003D701A"/>
    <w:rsid w:val="003D7C4E"/>
    <w:rsid w:val="003E09DF"/>
    <w:rsid w:val="003E0FAD"/>
    <w:rsid w:val="003E2DAE"/>
    <w:rsid w:val="003F0D2A"/>
    <w:rsid w:val="003F2ABF"/>
    <w:rsid w:val="003F3A52"/>
    <w:rsid w:val="003F69BB"/>
    <w:rsid w:val="003F6E44"/>
    <w:rsid w:val="003F7818"/>
    <w:rsid w:val="004004F3"/>
    <w:rsid w:val="004022D6"/>
    <w:rsid w:val="00402E92"/>
    <w:rsid w:val="00404AFC"/>
    <w:rsid w:val="004054AA"/>
    <w:rsid w:val="00406BC6"/>
    <w:rsid w:val="00412F38"/>
    <w:rsid w:val="0041449D"/>
    <w:rsid w:val="00415743"/>
    <w:rsid w:val="00422E27"/>
    <w:rsid w:val="004257AF"/>
    <w:rsid w:val="00432012"/>
    <w:rsid w:val="00434AF7"/>
    <w:rsid w:val="00436A82"/>
    <w:rsid w:val="004410D9"/>
    <w:rsid w:val="00442194"/>
    <w:rsid w:val="0044247D"/>
    <w:rsid w:val="00442A09"/>
    <w:rsid w:val="00442A25"/>
    <w:rsid w:val="00442A9E"/>
    <w:rsid w:val="00443664"/>
    <w:rsid w:val="0044424E"/>
    <w:rsid w:val="004452CA"/>
    <w:rsid w:val="004471B6"/>
    <w:rsid w:val="00450F14"/>
    <w:rsid w:val="00453B5B"/>
    <w:rsid w:val="004546C2"/>
    <w:rsid w:val="00454A0E"/>
    <w:rsid w:val="00455EF8"/>
    <w:rsid w:val="0045655E"/>
    <w:rsid w:val="00457789"/>
    <w:rsid w:val="00463AB5"/>
    <w:rsid w:val="00465BD7"/>
    <w:rsid w:val="004669B4"/>
    <w:rsid w:val="00470F82"/>
    <w:rsid w:val="0047165E"/>
    <w:rsid w:val="00471AFC"/>
    <w:rsid w:val="00481071"/>
    <w:rsid w:val="00483212"/>
    <w:rsid w:val="00485943"/>
    <w:rsid w:val="00485A18"/>
    <w:rsid w:val="00490089"/>
    <w:rsid w:val="00492135"/>
    <w:rsid w:val="00493619"/>
    <w:rsid w:val="00493D8F"/>
    <w:rsid w:val="00493F36"/>
    <w:rsid w:val="0049694E"/>
    <w:rsid w:val="00497F55"/>
    <w:rsid w:val="004A2EFC"/>
    <w:rsid w:val="004B196C"/>
    <w:rsid w:val="004B597A"/>
    <w:rsid w:val="004B5D78"/>
    <w:rsid w:val="004B7C4D"/>
    <w:rsid w:val="004C069C"/>
    <w:rsid w:val="004C2235"/>
    <w:rsid w:val="004C2450"/>
    <w:rsid w:val="004C545F"/>
    <w:rsid w:val="004C5629"/>
    <w:rsid w:val="004C68AF"/>
    <w:rsid w:val="004C6A31"/>
    <w:rsid w:val="004C74CD"/>
    <w:rsid w:val="004D35A0"/>
    <w:rsid w:val="004D3922"/>
    <w:rsid w:val="004D576F"/>
    <w:rsid w:val="004D7874"/>
    <w:rsid w:val="004E1515"/>
    <w:rsid w:val="004E183C"/>
    <w:rsid w:val="004E22DB"/>
    <w:rsid w:val="004E2E0A"/>
    <w:rsid w:val="004E43D7"/>
    <w:rsid w:val="004E6C9A"/>
    <w:rsid w:val="004F0575"/>
    <w:rsid w:val="004F3268"/>
    <w:rsid w:val="00500530"/>
    <w:rsid w:val="00501EA8"/>
    <w:rsid w:val="005020E1"/>
    <w:rsid w:val="005032C9"/>
    <w:rsid w:val="00504AD3"/>
    <w:rsid w:val="0051079C"/>
    <w:rsid w:val="00511923"/>
    <w:rsid w:val="00513461"/>
    <w:rsid w:val="00513A4F"/>
    <w:rsid w:val="00515E92"/>
    <w:rsid w:val="00516C26"/>
    <w:rsid w:val="00517CF5"/>
    <w:rsid w:val="00520DCC"/>
    <w:rsid w:val="0052270B"/>
    <w:rsid w:val="005313E3"/>
    <w:rsid w:val="0053178F"/>
    <w:rsid w:val="00535BD1"/>
    <w:rsid w:val="005363BC"/>
    <w:rsid w:val="005367C7"/>
    <w:rsid w:val="00540C51"/>
    <w:rsid w:val="0054398A"/>
    <w:rsid w:val="005439E1"/>
    <w:rsid w:val="005440A6"/>
    <w:rsid w:val="005466C8"/>
    <w:rsid w:val="0054769E"/>
    <w:rsid w:val="00547958"/>
    <w:rsid w:val="005508E1"/>
    <w:rsid w:val="00556120"/>
    <w:rsid w:val="00556460"/>
    <w:rsid w:val="005565DA"/>
    <w:rsid w:val="005567B2"/>
    <w:rsid w:val="00557690"/>
    <w:rsid w:val="00557C2F"/>
    <w:rsid w:val="00561879"/>
    <w:rsid w:val="00567D0F"/>
    <w:rsid w:val="005721B0"/>
    <w:rsid w:val="00574A6A"/>
    <w:rsid w:val="005758D1"/>
    <w:rsid w:val="00576737"/>
    <w:rsid w:val="00576B67"/>
    <w:rsid w:val="00576CC8"/>
    <w:rsid w:val="00577C88"/>
    <w:rsid w:val="005808AF"/>
    <w:rsid w:val="00581E71"/>
    <w:rsid w:val="005836D3"/>
    <w:rsid w:val="0058478A"/>
    <w:rsid w:val="0058580E"/>
    <w:rsid w:val="00590DBA"/>
    <w:rsid w:val="00593466"/>
    <w:rsid w:val="005955D2"/>
    <w:rsid w:val="005A4284"/>
    <w:rsid w:val="005A7499"/>
    <w:rsid w:val="005B03A4"/>
    <w:rsid w:val="005B453F"/>
    <w:rsid w:val="005B4DB8"/>
    <w:rsid w:val="005B6A66"/>
    <w:rsid w:val="005B6C84"/>
    <w:rsid w:val="005B7112"/>
    <w:rsid w:val="005C101F"/>
    <w:rsid w:val="005C1546"/>
    <w:rsid w:val="005C1D09"/>
    <w:rsid w:val="005C614C"/>
    <w:rsid w:val="005D139C"/>
    <w:rsid w:val="005D4999"/>
    <w:rsid w:val="005D646A"/>
    <w:rsid w:val="005D64DD"/>
    <w:rsid w:val="005E0D5A"/>
    <w:rsid w:val="005E25B4"/>
    <w:rsid w:val="005E37A2"/>
    <w:rsid w:val="005E5763"/>
    <w:rsid w:val="005E5B23"/>
    <w:rsid w:val="005E71E6"/>
    <w:rsid w:val="005F0B07"/>
    <w:rsid w:val="005F1854"/>
    <w:rsid w:val="005F4C74"/>
    <w:rsid w:val="005F67B3"/>
    <w:rsid w:val="0060214F"/>
    <w:rsid w:val="00603B74"/>
    <w:rsid w:val="00603FDF"/>
    <w:rsid w:val="00604749"/>
    <w:rsid w:val="00604828"/>
    <w:rsid w:val="00604A41"/>
    <w:rsid w:val="006073AB"/>
    <w:rsid w:val="00613058"/>
    <w:rsid w:val="0061370B"/>
    <w:rsid w:val="00620824"/>
    <w:rsid w:val="0062372D"/>
    <w:rsid w:val="00623928"/>
    <w:rsid w:val="00624E78"/>
    <w:rsid w:val="006260D5"/>
    <w:rsid w:val="006328D8"/>
    <w:rsid w:val="00636934"/>
    <w:rsid w:val="00643BFB"/>
    <w:rsid w:val="00644F7B"/>
    <w:rsid w:val="006462AA"/>
    <w:rsid w:val="006469E6"/>
    <w:rsid w:val="00646E55"/>
    <w:rsid w:val="006507F2"/>
    <w:rsid w:val="00650E04"/>
    <w:rsid w:val="00652DFD"/>
    <w:rsid w:val="00655FCA"/>
    <w:rsid w:val="006619EE"/>
    <w:rsid w:val="00661D62"/>
    <w:rsid w:val="006646D9"/>
    <w:rsid w:val="00673576"/>
    <w:rsid w:val="00673738"/>
    <w:rsid w:val="00675725"/>
    <w:rsid w:val="00680041"/>
    <w:rsid w:val="0068005F"/>
    <w:rsid w:val="006839A9"/>
    <w:rsid w:val="00686437"/>
    <w:rsid w:val="00687AF7"/>
    <w:rsid w:val="00690847"/>
    <w:rsid w:val="00690CCA"/>
    <w:rsid w:val="00693EC4"/>
    <w:rsid w:val="00697933"/>
    <w:rsid w:val="006A0A9E"/>
    <w:rsid w:val="006A58C3"/>
    <w:rsid w:val="006A6805"/>
    <w:rsid w:val="006B074E"/>
    <w:rsid w:val="006B271B"/>
    <w:rsid w:val="006B2BD5"/>
    <w:rsid w:val="006B3470"/>
    <w:rsid w:val="006B4E66"/>
    <w:rsid w:val="006B5179"/>
    <w:rsid w:val="006B5AC9"/>
    <w:rsid w:val="006B5DD9"/>
    <w:rsid w:val="006B6D3A"/>
    <w:rsid w:val="006C3063"/>
    <w:rsid w:val="006C5119"/>
    <w:rsid w:val="006C6371"/>
    <w:rsid w:val="006C7786"/>
    <w:rsid w:val="006C7E33"/>
    <w:rsid w:val="006D0E3D"/>
    <w:rsid w:val="006D4FB1"/>
    <w:rsid w:val="006E214A"/>
    <w:rsid w:val="006E2285"/>
    <w:rsid w:val="006E228C"/>
    <w:rsid w:val="006E3AE4"/>
    <w:rsid w:val="006F2032"/>
    <w:rsid w:val="006F284C"/>
    <w:rsid w:val="006F28E5"/>
    <w:rsid w:val="006F3EC0"/>
    <w:rsid w:val="006F5DBF"/>
    <w:rsid w:val="006F6A31"/>
    <w:rsid w:val="006F705F"/>
    <w:rsid w:val="006F7227"/>
    <w:rsid w:val="00702366"/>
    <w:rsid w:val="00704776"/>
    <w:rsid w:val="00710262"/>
    <w:rsid w:val="00712AF6"/>
    <w:rsid w:val="00715457"/>
    <w:rsid w:val="007163BC"/>
    <w:rsid w:val="007207FF"/>
    <w:rsid w:val="00721EB9"/>
    <w:rsid w:val="0072663B"/>
    <w:rsid w:val="00726787"/>
    <w:rsid w:val="007279CE"/>
    <w:rsid w:val="00730AE3"/>
    <w:rsid w:val="00731FC6"/>
    <w:rsid w:val="007326EE"/>
    <w:rsid w:val="007327DB"/>
    <w:rsid w:val="007334DA"/>
    <w:rsid w:val="00733851"/>
    <w:rsid w:val="00736BC2"/>
    <w:rsid w:val="007463FF"/>
    <w:rsid w:val="0074789E"/>
    <w:rsid w:val="007478FC"/>
    <w:rsid w:val="007531F4"/>
    <w:rsid w:val="007604D5"/>
    <w:rsid w:val="00760D9D"/>
    <w:rsid w:val="007716D1"/>
    <w:rsid w:val="00771F5F"/>
    <w:rsid w:val="007721B7"/>
    <w:rsid w:val="00773BBB"/>
    <w:rsid w:val="00776B5A"/>
    <w:rsid w:val="00780276"/>
    <w:rsid w:val="007802ED"/>
    <w:rsid w:val="0078220F"/>
    <w:rsid w:val="0079325E"/>
    <w:rsid w:val="00795717"/>
    <w:rsid w:val="00797CE5"/>
    <w:rsid w:val="00797F20"/>
    <w:rsid w:val="007A1943"/>
    <w:rsid w:val="007A3F5E"/>
    <w:rsid w:val="007A5B09"/>
    <w:rsid w:val="007A5D25"/>
    <w:rsid w:val="007B0B13"/>
    <w:rsid w:val="007B1587"/>
    <w:rsid w:val="007B3659"/>
    <w:rsid w:val="007B62CF"/>
    <w:rsid w:val="007C1F3D"/>
    <w:rsid w:val="007C5285"/>
    <w:rsid w:val="007C633B"/>
    <w:rsid w:val="007C7955"/>
    <w:rsid w:val="007D0504"/>
    <w:rsid w:val="007D3182"/>
    <w:rsid w:val="007D6BB0"/>
    <w:rsid w:val="007D7486"/>
    <w:rsid w:val="007E3F47"/>
    <w:rsid w:val="007E6FF3"/>
    <w:rsid w:val="007F50C7"/>
    <w:rsid w:val="007F675B"/>
    <w:rsid w:val="007F72E1"/>
    <w:rsid w:val="007F7796"/>
    <w:rsid w:val="00800C3C"/>
    <w:rsid w:val="00802BFF"/>
    <w:rsid w:val="00805A11"/>
    <w:rsid w:val="008101CD"/>
    <w:rsid w:val="00811180"/>
    <w:rsid w:val="00811D06"/>
    <w:rsid w:val="008167B9"/>
    <w:rsid w:val="00817C4B"/>
    <w:rsid w:val="00820C19"/>
    <w:rsid w:val="00820C92"/>
    <w:rsid w:val="00821250"/>
    <w:rsid w:val="00821A72"/>
    <w:rsid w:val="00824612"/>
    <w:rsid w:val="00824957"/>
    <w:rsid w:val="00825524"/>
    <w:rsid w:val="00830A88"/>
    <w:rsid w:val="008315E4"/>
    <w:rsid w:val="0083205A"/>
    <w:rsid w:val="0083211E"/>
    <w:rsid w:val="00832F2B"/>
    <w:rsid w:val="008376A3"/>
    <w:rsid w:val="0084016B"/>
    <w:rsid w:val="008405DD"/>
    <w:rsid w:val="00842365"/>
    <w:rsid w:val="00843FF1"/>
    <w:rsid w:val="00845A1D"/>
    <w:rsid w:val="0084759F"/>
    <w:rsid w:val="00850CAD"/>
    <w:rsid w:val="008511D6"/>
    <w:rsid w:val="00852CFF"/>
    <w:rsid w:val="00857244"/>
    <w:rsid w:val="00857D3B"/>
    <w:rsid w:val="008601B9"/>
    <w:rsid w:val="0086578A"/>
    <w:rsid w:val="00870C1F"/>
    <w:rsid w:val="00870D40"/>
    <w:rsid w:val="00872112"/>
    <w:rsid w:val="008729B3"/>
    <w:rsid w:val="0087327A"/>
    <w:rsid w:val="0087496B"/>
    <w:rsid w:val="00876001"/>
    <w:rsid w:val="008812AB"/>
    <w:rsid w:val="008823C2"/>
    <w:rsid w:val="008825D4"/>
    <w:rsid w:val="0088505C"/>
    <w:rsid w:val="00885804"/>
    <w:rsid w:val="008858B6"/>
    <w:rsid w:val="00891BDD"/>
    <w:rsid w:val="0089286C"/>
    <w:rsid w:val="00894F86"/>
    <w:rsid w:val="008975AB"/>
    <w:rsid w:val="008A4AD7"/>
    <w:rsid w:val="008A5C3E"/>
    <w:rsid w:val="008B259C"/>
    <w:rsid w:val="008B2810"/>
    <w:rsid w:val="008B3A93"/>
    <w:rsid w:val="008B7173"/>
    <w:rsid w:val="008C013C"/>
    <w:rsid w:val="008C03B4"/>
    <w:rsid w:val="008C15D4"/>
    <w:rsid w:val="008C1DD6"/>
    <w:rsid w:val="008C1E35"/>
    <w:rsid w:val="008C452D"/>
    <w:rsid w:val="008C64F3"/>
    <w:rsid w:val="008C79D3"/>
    <w:rsid w:val="008D1BD0"/>
    <w:rsid w:val="008D57DA"/>
    <w:rsid w:val="008D5AA2"/>
    <w:rsid w:val="008D65DB"/>
    <w:rsid w:val="008D76F5"/>
    <w:rsid w:val="008E094E"/>
    <w:rsid w:val="008E274A"/>
    <w:rsid w:val="008E3CA3"/>
    <w:rsid w:val="008E5F84"/>
    <w:rsid w:val="008E7500"/>
    <w:rsid w:val="008E78E6"/>
    <w:rsid w:val="008F112D"/>
    <w:rsid w:val="008F1A5D"/>
    <w:rsid w:val="008F32C3"/>
    <w:rsid w:val="008F35F8"/>
    <w:rsid w:val="008F40F9"/>
    <w:rsid w:val="008F772A"/>
    <w:rsid w:val="008F7F6B"/>
    <w:rsid w:val="0090057D"/>
    <w:rsid w:val="009009B4"/>
    <w:rsid w:val="00901263"/>
    <w:rsid w:val="00901DA1"/>
    <w:rsid w:val="009046A7"/>
    <w:rsid w:val="009067F8"/>
    <w:rsid w:val="009137ED"/>
    <w:rsid w:val="00913B58"/>
    <w:rsid w:val="00914434"/>
    <w:rsid w:val="009151DA"/>
    <w:rsid w:val="00915CAB"/>
    <w:rsid w:val="009168B3"/>
    <w:rsid w:val="00921651"/>
    <w:rsid w:val="009218D2"/>
    <w:rsid w:val="00922EAD"/>
    <w:rsid w:val="00925D7A"/>
    <w:rsid w:val="0092794B"/>
    <w:rsid w:val="00930CF2"/>
    <w:rsid w:val="009329E6"/>
    <w:rsid w:val="009357A5"/>
    <w:rsid w:val="00940ED4"/>
    <w:rsid w:val="009411DF"/>
    <w:rsid w:val="0094176F"/>
    <w:rsid w:val="00944772"/>
    <w:rsid w:val="00945057"/>
    <w:rsid w:val="00946649"/>
    <w:rsid w:val="00946899"/>
    <w:rsid w:val="009478BF"/>
    <w:rsid w:val="0095058F"/>
    <w:rsid w:val="009515B8"/>
    <w:rsid w:val="00952110"/>
    <w:rsid w:val="00953856"/>
    <w:rsid w:val="00954EFE"/>
    <w:rsid w:val="0095507D"/>
    <w:rsid w:val="009554D5"/>
    <w:rsid w:val="00957436"/>
    <w:rsid w:val="00960B88"/>
    <w:rsid w:val="0096541C"/>
    <w:rsid w:val="0096605A"/>
    <w:rsid w:val="0096752E"/>
    <w:rsid w:val="00971391"/>
    <w:rsid w:val="00975A50"/>
    <w:rsid w:val="00981695"/>
    <w:rsid w:val="00982981"/>
    <w:rsid w:val="00983FEA"/>
    <w:rsid w:val="009876D3"/>
    <w:rsid w:val="009902DE"/>
    <w:rsid w:val="00994CC4"/>
    <w:rsid w:val="00995113"/>
    <w:rsid w:val="00995DF0"/>
    <w:rsid w:val="00996057"/>
    <w:rsid w:val="009976F7"/>
    <w:rsid w:val="00997DB5"/>
    <w:rsid w:val="009A0D8A"/>
    <w:rsid w:val="009A4234"/>
    <w:rsid w:val="009A54A9"/>
    <w:rsid w:val="009A67E6"/>
    <w:rsid w:val="009A7F79"/>
    <w:rsid w:val="009B0584"/>
    <w:rsid w:val="009B109E"/>
    <w:rsid w:val="009B17D2"/>
    <w:rsid w:val="009B2333"/>
    <w:rsid w:val="009B3BE4"/>
    <w:rsid w:val="009B4302"/>
    <w:rsid w:val="009B5E1D"/>
    <w:rsid w:val="009B60BF"/>
    <w:rsid w:val="009C0E54"/>
    <w:rsid w:val="009C1522"/>
    <w:rsid w:val="009C2469"/>
    <w:rsid w:val="009C39E7"/>
    <w:rsid w:val="009C5FCA"/>
    <w:rsid w:val="009D2F92"/>
    <w:rsid w:val="009D6CF4"/>
    <w:rsid w:val="009D7A79"/>
    <w:rsid w:val="009E00BC"/>
    <w:rsid w:val="009E02D5"/>
    <w:rsid w:val="009E065C"/>
    <w:rsid w:val="009E0963"/>
    <w:rsid w:val="009E1E16"/>
    <w:rsid w:val="009E2955"/>
    <w:rsid w:val="009E2B79"/>
    <w:rsid w:val="009E2BAB"/>
    <w:rsid w:val="009F4047"/>
    <w:rsid w:val="009F5917"/>
    <w:rsid w:val="009F5CA4"/>
    <w:rsid w:val="009F6D8B"/>
    <w:rsid w:val="00A000B2"/>
    <w:rsid w:val="00A00A87"/>
    <w:rsid w:val="00A03CE5"/>
    <w:rsid w:val="00A10051"/>
    <w:rsid w:val="00A11F90"/>
    <w:rsid w:val="00A138DB"/>
    <w:rsid w:val="00A20F36"/>
    <w:rsid w:val="00A240AB"/>
    <w:rsid w:val="00A24568"/>
    <w:rsid w:val="00A26397"/>
    <w:rsid w:val="00A269D0"/>
    <w:rsid w:val="00A269D3"/>
    <w:rsid w:val="00A30DAD"/>
    <w:rsid w:val="00A338D9"/>
    <w:rsid w:val="00A33DDE"/>
    <w:rsid w:val="00A35E89"/>
    <w:rsid w:val="00A411D8"/>
    <w:rsid w:val="00A433A2"/>
    <w:rsid w:val="00A44750"/>
    <w:rsid w:val="00A4579F"/>
    <w:rsid w:val="00A468AC"/>
    <w:rsid w:val="00A46F41"/>
    <w:rsid w:val="00A51B57"/>
    <w:rsid w:val="00A522FE"/>
    <w:rsid w:val="00A5560D"/>
    <w:rsid w:val="00A57A98"/>
    <w:rsid w:val="00A628EA"/>
    <w:rsid w:val="00A645F2"/>
    <w:rsid w:val="00A65EE8"/>
    <w:rsid w:val="00A661F5"/>
    <w:rsid w:val="00A70B8D"/>
    <w:rsid w:val="00A711DF"/>
    <w:rsid w:val="00A712C6"/>
    <w:rsid w:val="00A71BB1"/>
    <w:rsid w:val="00A71C4D"/>
    <w:rsid w:val="00A7471F"/>
    <w:rsid w:val="00A74AA4"/>
    <w:rsid w:val="00A753E6"/>
    <w:rsid w:val="00A76A21"/>
    <w:rsid w:val="00A8321A"/>
    <w:rsid w:val="00A83AC2"/>
    <w:rsid w:val="00A8454E"/>
    <w:rsid w:val="00A86C4E"/>
    <w:rsid w:val="00A872F3"/>
    <w:rsid w:val="00A93443"/>
    <w:rsid w:val="00AA014E"/>
    <w:rsid w:val="00AA18E6"/>
    <w:rsid w:val="00AA1F01"/>
    <w:rsid w:val="00AA3120"/>
    <w:rsid w:val="00AA5E51"/>
    <w:rsid w:val="00AB082D"/>
    <w:rsid w:val="00AB194E"/>
    <w:rsid w:val="00AB3BE7"/>
    <w:rsid w:val="00AB40A3"/>
    <w:rsid w:val="00AB511B"/>
    <w:rsid w:val="00AB5362"/>
    <w:rsid w:val="00AB665B"/>
    <w:rsid w:val="00AB76C8"/>
    <w:rsid w:val="00AC01AA"/>
    <w:rsid w:val="00AC0C7E"/>
    <w:rsid w:val="00AC1E69"/>
    <w:rsid w:val="00AC37F8"/>
    <w:rsid w:val="00AD120F"/>
    <w:rsid w:val="00AD33AD"/>
    <w:rsid w:val="00AE4237"/>
    <w:rsid w:val="00AE49E1"/>
    <w:rsid w:val="00AF0235"/>
    <w:rsid w:val="00AF0A38"/>
    <w:rsid w:val="00AF4383"/>
    <w:rsid w:val="00B0060B"/>
    <w:rsid w:val="00B00705"/>
    <w:rsid w:val="00B013E8"/>
    <w:rsid w:val="00B025AF"/>
    <w:rsid w:val="00B1027C"/>
    <w:rsid w:val="00B10421"/>
    <w:rsid w:val="00B14089"/>
    <w:rsid w:val="00B1517B"/>
    <w:rsid w:val="00B16338"/>
    <w:rsid w:val="00B20504"/>
    <w:rsid w:val="00B20DD4"/>
    <w:rsid w:val="00B241DC"/>
    <w:rsid w:val="00B271A0"/>
    <w:rsid w:val="00B31503"/>
    <w:rsid w:val="00B3299A"/>
    <w:rsid w:val="00B32DDA"/>
    <w:rsid w:val="00B35010"/>
    <w:rsid w:val="00B36ADA"/>
    <w:rsid w:val="00B36D61"/>
    <w:rsid w:val="00B37C40"/>
    <w:rsid w:val="00B409D5"/>
    <w:rsid w:val="00B42024"/>
    <w:rsid w:val="00B4267F"/>
    <w:rsid w:val="00B508E1"/>
    <w:rsid w:val="00B5440B"/>
    <w:rsid w:val="00B54DCC"/>
    <w:rsid w:val="00B54EF2"/>
    <w:rsid w:val="00B55050"/>
    <w:rsid w:val="00B56B11"/>
    <w:rsid w:val="00B61678"/>
    <w:rsid w:val="00B636D7"/>
    <w:rsid w:val="00B63BFB"/>
    <w:rsid w:val="00B6487F"/>
    <w:rsid w:val="00B6495B"/>
    <w:rsid w:val="00B704A7"/>
    <w:rsid w:val="00B716CA"/>
    <w:rsid w:val="00B720B6"/>
    <w:rsid w:val="00B729AF"/>
    <w:rsid w:val="00B73129"/>
    <w:rsid w:val="00B73940"/>
    <w:rsid w:val="00B75F41"/>
    <w:rsid w:val="00B81C73"/>
    <w:rsid w:val="00B82229"/>
    <w:rsid w:val="00B84235"/>
    <w:rsid w:val="00B8431C"/>
    <w:rsid w:val="00B84396"/>
    <w:rsid w:val="00B8587A"/>
    <w:rsid w:val="00B85F9B"/>
    <w:rsid w:val="00B87047"/>
    <w:rsid w:val="00B87426"/>
    <w:rsid w:val="00B93E15"/>
    <w:rsid w:val="00B94D19"/>
    <w:rsid w:val="00B973C3"/>
    <w:rsid w:val="00BA1095"/>
    <w:rsid w:val="00BA1498"/>
    <w:rsid w:val="00BA3233"/>
    <w:rsid w:val="00BA36BD"/>
    <w:rsid w:val="00BA3A93"/>
    <w:rsid w:val="00BA4452"/>
    <w:rsid w:val="00BA7B98"/>
    <w:rsid w:val="00BB013B"/>
    <w:rsid w:val="00BB1CFD"/>
    <w:rsid w:val="00BB1DEB"/>
    <w:rsid w:val="00BB3E99"/>
    <w:rsid w:val="00BB624D"/>
    <w:rsid w:val="00BC08FD"/>
    <w:rsid w:val="00BC2203"/>
    <w:rsid w:val="00BC3079"/>
    <w:rsid w:val="00BC58D0"/>
    <w:rsid w:val="00BC6F4A"/>
    <w:rsid w:val="00BD0434"/>
    <w:rsid w:val="00BD0C7E"/>
    <w:rsid w:val="00BD24D4"/>
    <w:rsid w:val="00BE186E"/>
    <w:rsid w:val="00BE1C64"/>
    <w:rsid w:val="00BE2F69"/>
    <w:rsid w:val="00BE37A4"/>
    <w:rsid w:val="00BE45DE"/>
    <w:rsid w:val="00BE47AD"/>
    <w:rsid w:val="00BE66A8"/>
    <w:rsid w:val="00BE731E"/>
    <w:rsid w:val="00BF1328"/>
    <w:rsid w:val="00BF22D0"/>
    <w:rsid w:val="00BF2C54"/>
    <w:rsid w:val="00BF3507"/>
    <w:rsid w:val="00BF4745"/>
    <w:rsid w:val="00BF5812"/>
    <w:rsid w:val="00BF5DF9"/>
    <w:rsid w:val="00C035A3"/>
    <w:rsid w:val="00C03CDA"/>
    <w:rsid w:val="00C05456"/>
    <w:rsid w:val="00C05F60"/>
    <w:rsid w:val="00C062DA"/>
    <w:rsid w:val="00C076A9"/>
    <w:rsid w:val="00C078B0"/>
    <w:rsid w:val="00C152E8"/>
    <w:rsid w:val="00C15BBB"/>
    <w:rsid w:val="00C15E9B"/>
    <w:rsid w:val="00C168EA"/>
    <w:rsid w:val="00C16F20"/>
    <w:rsid w:val="00C201C9"/>
    <w:rsid w:val="00C22A00"/>
    <w:rsid w:val="00C22D14"/>
    <w:rsid w:val="00C2415E"/>
    <w:rsid w:val="00C267C1"/>
    <w:rsid w:val="00C30A2D"/>
    <w:rsid w:val="00C31FC0"/>
    <w:rsid w:val="00C346A7"/>
    <w:rsid w:val="00C35204"/>
    <w:rsid w:val="00C35B39"/>
    <w:rsid w:val="00C37FF1"/>
    <w:rsid w:val="00C42572"/>
    <w:rsid w:val="00C4351D"/>
    <w:rsid w:val="00C4459E"/>
    <w:rsid w:val="00C46454"/>
    <w:rsid w:val="00C507CD"/>
    <w:rsid w:val="00C50D24"/>
    <w:rsid w:val="00C5170D"/>
    <w:rsid w:val="00C51B19"/>
    <w:rsid w:val="00C6311C"/>
    <w:rsid w:val="00C668AD"/>
    <w:rsid w:val="00C67796"/>
    <w:rsid w:val="00C72443"/>
    <w:rsid w:val="00C73E77"/>
    <w:rsid w:val="00C752C1"/>
    <w:rsid w:val="00C76F1D"/>
    <w:rsid w:val="00C7763E"/>
    <w:rsid w:val="00C84E3F"/>
    <w:rsid w:val="00C85B88"/>
    <w:rsid w:val="00C85EA4"/>
    <w:rsid w:val="00C872D7"/>
    <w:rsid w:val="00C87756"/>
    <w:rsid w:val="00C912FE"/>
    <w:rsid w:val="00C92E50"/>
    <w:rsid w:val="00C94E7B"/>
    <w:rsid w:val="00C95613"/>
    <w:rsid w:val="00C95B7D"/>
    <w:rsid w:val="00C96E9E"/>
    <w:rsid w:val="00CA0092"/>
    <w:rsid w:val="00CA0C8A"/>
    <w:rsid w:val="00CA1572"/>
    <w:rsid w:val="00CA1E2F"/>
    <w:rsid w:val="00CA415C"/>
    <w:rsid w:val="00CA674A"/>
    <w:rsid w:val="00CA6B87"/>
    <w:rsid w:val="00CB52EA"/>
    <w:rsid w:val="00CB632F"/>
    <w:rsid w:val="00CB649F"/>
    <w:rsid w:val="00CC2031"/>
    <w:rsid w:val="00CC2F78"/>
    <w:rsid w:val="00CC5E66"/>
    <w:rsid w:val="00CD2DA7"/>
    <w:rsid w:val="00CD4465"/>
    <w:rsid w:val="00CD68EE"/>
    <w:rsid w:val="00CE095E"/>
    <w:rsid w:val="00CE0CCE"/>
    <w:rsid w:val="00CE4800"/>
    <w:rsid w:val="00CE51C3"/>
    <w:rsid w:val="00CE6256"/>
    <w:rsid w:val="00CE7329"/>
    <w:rsid w:val="00CF0928"/>
    <w:rsid w:val="00CF4F69"/>
    <w:rsid w:val="00CF6AD2"/>
    <w:rsid w:val="00D019B7"/>
    <w:rsid w:val="00D025DD"/>
    <w:rsid w:val="00D0282A"/>
    <w:rsid w:val="00D11828"/>
    <w:rsid w:val="00D128E5"/>
    <w:rsid w:val="00D15589"/>
    <w:rsid w:val="00D1616F"/>
    <w:rsid w:val="00D1739B"/>
    <w:rsid w:val="00D2037A"/>
    <w:rsid w:val="00D205B8"/>
    <w:rsid w:val="00D22AE8"/>
    <w:rsid w:val="00D239A9"/>
    <w:rsid w:val="00D24635"/>
    <w:rsid w:val="00D25E92"/>
    <w:rsid w:val="00D27168"/>
    <w:rsid w:val="00D278A9"/>
    <w:rsid w:val="00D30C33"/>
    <w:rsid w:val="00D31465"/>
    <w:rsid w:val="00D345A3"/>
    <w:rsid w:val="00D35CA9"/>
    <w:rsid w:val="00D36FCC"/>
    <w:rsid w:val="00D41553"/>
    <w:rsid w:val="00D41E59"/>
    <w:rsid w:val="00D41FD6"/>
    <w:rsid w:val="00D4290D"/>
    <w:rsid w:val="00D43299"/>
    <w:rsid w:val="00D432AD"/>
    <w:rsid w:val="00D46CD0"/>
    <w:rsid w:val="00D502A5"/>
    <w:rsid w:val="00D51069"/>
    <w:rsid w:val="00D52702"/>
    <w:rsid w:val="00D52C40"/>
    <w:rsid w:val="00D53E50"/>
    <w:rsid w:val="00D57404"/>
    <w:rsid w:val="00D57B1B"/>
    <w:rsid w:val="00D57F2B"/>
    <w:rsid w:val="00D6299A"/>
    <w:rsid w:val="00D63017"/>
    <w:rsid w:val="00D64276"/>
    <w:rsid w:val="00D72037"/>
    <w:rsid w:val="00D745E5"/>
    <w:rsid w:val="00D7547D"/>
    <w:rsid w:val="00D76C82"/>
    <w:rsid w:val="00D7730A"/>
    <w:rsid w:val="00D80C44"/>
    <w:rsid w:val="00D83F13"/>
    <w:rsid w:val="00D85F61"/>
    <w:rsid w:val="00D9058D"/>
    <w:rsid w:val="00D906FA"/>
    <w:rsid w:val="00D914B1"/>
    <w:rsid w:val="00D93092"/>
    <w:rsid w:val="00D9537D"/>
    <w:rsid w:val="00D97144"/>
    <w:rsid w:val="00D97F7A"/>
    <w:rsid w:val="00DA5980"/>
    <w:rsid w:val="00DA5D37"/>
    <w:rsid w:val="00DB25B4"/>
    <w:rsid w:val="00DB4137"/>
    <w:rsid w:val="00DB4989"/>
    <w:rsid w:val="00DB535E"/>
    <w:rsid w:val="00DB783F"/>
    <w:rsid w:val="00DC28BB"/>
    <w:rsid w:val="00DC3512"/>
    <w:rsid w:val="00DC49AE"/>
    <w:rsid w:val="00DC66DD"/>
    <w:rsid w:val="00DD1B5C"/>
    <w:rsid w:val="00DD3AD7"/>
    <w:rsid w:val="00DD45B8"/>
    <w:rsid w:val="00DD52CC"/>
    <w:rsid w:val="00DD57EE"/>
    <w:rsid w:val="00DE0249"/>
    <w:rsid w:val="00DE0D24"/>
    <w:rsid w:val="00DE2844"/>
    <w:rsid w:val="00DE308B"/>
    <w:rsid w:val="00DF0086"/>
    <w:rsid w:val="00DF01E0"/>
    <w:rsid w:val="00DF2CAE"/>
    <w:rsid w:val="00DF40C9"/>
    <w:rsid w:val="00DF68B0"/>
    <w:rsid w:val="00E00334"/>
    <w:rsid w:val="00E01F27"/>
    <w:rsid w:val="00E03F0D"/>
    <w:rsid w:val="00E0754A"/>
    <w:rsid w:val="00E12325"/>
    <w:rsid w:val="00E1487D"/>
    <w:rsid w:val="00E15E30"/>
    <w:rsid w:val="00E20ACC"/>
    <w:rsid w:val="00E20EA6"/>
    <w:rsid w:val="00E220CC"/>
    <w:rsid w:val="00E26090"/>
    <w:rsid w:val="00E27BC8"/>
    <w:rsid w:val="00E32E80"/>
    <w:rsid w:val="00E37A7A"/>
    <w:rsid w:val="00E413A4"/>
    <w:rsid w:val="00E45453"/>
    <w:rsid w:val="00E47630"/>
    <w:rsid w:val="00E53637"/>
    <w:rsid w:val="00E53B89"/>
    <w:rsid w:val="00E552FD"/>
    <w:rsid w:val="00E55B3B"/>
    <w:rsid w:val="00E55C5D"/>
    <w:rsid w:val="00E55E91"/>
    <w:rsid w:val="00E56717"/>
    <w:rsid w:val="00E63532"/>
    <w:rsid w:val="00E641FB"/>
    <w:rsid w:val="00E71990"/>
    <w:rsid w:val="00E71F32"/>
    <w:rsid w:val="00E722FD"/>
    <w:rsid w:val="00E724B3"/>
    <w:rsid w:val="00E72632"/>
    <w:rsid w:val="00E72980"/>
    <w:rsid w:val="00E72DC1"/>
    <w:rsid w:val="00E73836"/>
    <w:rsid w:val="00E80DBD"/>
    <w:rsid w:val="00E83877"/>
    <w:rsid w:val="00E87F6F"/>
    <w:rsid w:val="00E9124F"/>
    <w:rsid w:val="00E91830"/>
    <w:rsid w:val="00E967BA"/>
    <w:rsid w:val="00E97F40"/>
    <w:rsid w:val="00EA3399"/>
    <w:rsid w:val="00EA644D"/>
    <w:rsid w:val="00EA7525"/>
    <w:rsid w:val="00EB2979"/>
    <w:rsid w:val="00EC0891"/>
    <w:rsid w:val="00EC5406"/>
    <w:rsid w:val="00EC6835"/>
    <w:rsid w:val="00ED25B6"/>
    <w:rsid w:val="00ED2772"/>
    <w:rsid w:val="00ED3941"/>
    <w:rsid w:val="00ED4BD9"/>
    <w:rsid w:val="00ED4F4C"/>
    <w:rsid w:val="00EE0F5F"/>
    <w:rsid w:val="00EE12C8"/>
    <w:rsid w:val="00EE2D64"/>
    <w:rsid w:val="00EE33A4"/>
    <w:rsid w:val="00EE51DB"/>
    <w:rsid w:val="00EE5485"/>
    <w:rsid w:val="00EE5AC8"/>
    <w:rsid w:val="00EF0AD2"/>
    <w:rsid w:val="00EF1C11"/>
    <w:rsid w:val="00EF2A11"/>
    <w:rsid w:val="00EF32A6"/>
    <w:rsid w:val="00EF5A08"/>
    <w:rsid w:val="00EF7C42"/>
    <w:rsid w:val="00F002DD"/>
    <w:rsid w:val="00F01ADF"/>
    <w:rsid w:val="00F0393D"/>
    <w:rsid w:val="00F04A43"/>
    <w:rsid w:val="00F060CD"/>
    <w:rsid w:val="00F06F85"/>
    <w:rsid w:val="00F079DF"/>
    <w:rsid w:val="00F10CE0"/>
    <w:rsid w:val="00F12C77"/>
    <w:rsid w:val="00F1363B"/>
    <w:rsid w:val="00F13D86"/>
    <w:rsid w:val="00F13DC0"/>
    <w:rsid w:val="00F14485"/>
    <w:rsid w:val="00F16F02"/>
    <w:rsid w:val="00F2046C"/>
    <w:rsid w:val="00F224EC"/>
    <w:rsid w:val="00F23196"/>
    <w:rsid w:val="00F26A60"/>
    <w:rsid w:val="00F304D4"/>
    <w:rsid w:val="00F352E2"/>
    <w:rsid w:val="00F371FA"/>
    <w:rsid w:val="00F40373"/>
    <w:rsid w:val="00F4426F"/>
    <w:rsid w:val="00F465B6"/>
    <w:rsid w:val="00F51D35"/>
    <w:rsid w:val="00F52672"/>
    <w:rsid w:val="00F544A3"/>
    <w:rsid w:val="00F574B4"/>
    <w:rsid w:val="00F57D7D"/>
    <w:rsid w:val="00F60318"/>
    <w:rsid w:val="00F60FEB"/>
    <w:rsid w:val="00F61729"/>
    <w:rsid w:val="00F64CB9"/>
    <w:rsid w:val="00F6647E"/>
    <w:rsid w:val="00F66DD4"/>
    <w:rsid w:val="00F67181"/>
    <w:rsid w:val="00F71180"/>
    <w:rsid w:val="00F72A70"/>
    <w:rsid w:val="00F75CAA"/>
    <w:rsid w:val="00F76547"/>
    <w:rsid w:val="00F774CC"/>
    <w:rsid w:val="00F77628"/>
    <w:rsid w:val="00F776AF"/>
    <w:rsid w:val="00F7793A"/>
    <w:rsid w:val="00F82D0E"/>
    <w:rsid w:val="00F838DD"/>
    <w:rsid w:val="00F83C84"/>
    <w:rsid w:val="00F84307"/>
    <w:rsid w:val="00F84CBE"/>
    <w:rsid w:val="00F87ADE"/>
    <w:rsid w:val="00F92C99"/>
    <w:rsid w:val="00F96D86"/>
    <w:rsid w:val="00FA178B"/>
    <w:rsid w:val="00FA2B7C"/>
    <w:rsid w:val="00FA2FCB"/>
    <w:rsid w:val="00FA6C63"/>
    <w:rsid w:val="00FB2587"/>
    <w:rsid w:val="00FB27D3"/>
    <w:rsid w:val="00FB3453"/>
    <w:rsid w:val="00FB3B70"/>
    <w:rsid w:val="00FB6425"/>
    <w:rsid w:val="00FB79A8"/>
    <w:rsid w:val="00FC370F"/>
    <w:rsid w:val="00FC3D2F"/>
    <w:rsid w:val="00FC6159"/>
    <w:rsid w:val="00FC71DE"/>
    <w:rsid w:val="00FD05DE"/>
    <w:rsid w:val="00FD061C"/>
    <w:rsid w:val="00FD233E"/>
    <w:rsid w:val="00FD27A9"/>
    <w:rsid w:val="00FD377E"/>
    <w:rsid w:val="00FD4640"/>
    <w:rsid w:val="00FD49A4"/>
    <w:rsid w:val="00FE02D2"/>
    <w:rsid w:val="00FE0697"/>
    <w:rsid w:val="00FE27F7"/>
    <w:rsid w:val="00FE2C52"/>
    <w:rsid w:val="00FE2F88"/>
    <w:rsid w:val="00FE3202"/>
    <w:rsid w:val="00FE327B"/>
    <w:rsid w:val="00FE4F3F"/>
    <w:rsid w:val="00FF0274"/>
    <w:rsid w:val="00FF22C1"/>
    <w:rsid w:val="00FF2890"/>
    <w:rsid w:val="00FF36AA"/>
    <w:rsid w:val="00FF5272"/>
    <w:rsid w:val="00FF5C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60615"/>
  <w15:docId w15:val="{49FC54B1-B490-A34A-BB7E-EC89636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3FDF"/>
    <w:pPr>
      <w:jc w:val="both"/>
    </w:pPr>
    <w:rPr>
      <w:sz w:val="22"/>
      <w:szCs w:val="24"/>
      <w:lang w:val="en-GB"/>
    </w:rPr>
  </w:style>
  <w:style w:type="paragraph" w:styleId="Heading1">
    <w:name w:val="heading 1"/>
    <w:basedOn w:val="Normal"/>
    <w:next w:val="Heading2"/>
    <w:link w:val="Heading1Char"/>
    <w:qFormat/>
    <w:rsid w:val="00603FD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03FDF"/>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603FDF"/>
    <w:pPr>
      <w:keepNext/>
      <w:tabs>
        <w:tab w:val="left" w:pos="567"/>
      </w:tabs>
      <w:spacing w:before="120" w:after="120"/>
      <w:jc w:val="center"/>
      <w:outlineLvl w:val="2"/>
    </w:pPr>
    <w:rPr>
      <w:i/>
      <w:iCs/>
    </w:rPr>
  </w:style>
  <w:style w:type="paragraph" w:styleId="Heading4">
    <w:name w:val="heading 4"/>
    <w:basedOn w:val="Normal"/>
    <w:link w:val="Heading4Char"/>
    <w:qFormat/>
    <w:rsid w:val="00603FD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603FDF"/>
    <w:pPr>
      <w:keepNext/>
      <w:numPr>
        <w:ilvl w:val="4"/>
        <w:numId w:val="107"/>
      </w:numPr>
      <w:spacing w:before="120" w:after="120"/>
      <w:jc w:val="left"/>
      <w:outlineLvl w:val="4"/>
    </w:pPr>
    <w:rPr>
      <w:bCs/>
      <w:i/>
      <w:szCs w:val="26"/>
      <w:lang w:val="en-CA"/>
    </w:rPr>
  </w:style>
  <w:style w:type="paragraph" w:styleId="Heading6">
    <w:name w:val="heading 6"/>
    <w:basedOn w:val="Normal"/>
    <w:next w:val="Normal"/>
    <w:link w:val="Heading6Char"/>
    <w:qFormat/>
    <w:rsid w:val="00603FDF"/>
    <w:pPr>
      <w:keepNext/>
      <w:spacing w:after="240" w:line="240" w:lineRule="exact"/>
      <w:ind w:left="720"/>
      <w:outlineLvl w:val="5"/>
    </w:pPr>
    <w:rPr>
      <w:u w:val="single"/>
    </w:rPr>
  </w:style>
  <w:style w:type="paragraph" w:styleId="Heading7">
    <w:name w:val="heading 7"/>
    <w:basedOn w:val="Normal"/>
    <w:next w:val="Normal"/>
    <w:link w:val="Heading7Char"/>
    <w:rsid w:val="00603FDF"/>
    <w:pPr>
      <w:keepNext/>
      <w:jc w:val="right"/>
      <w:outlineLvl w:val="6"/>
    </w:pPr>
    <w:rPr>
      <w:rFonts w:ascii="Univers" w:hAnsi="Univers"/>
      <w:b/>
      <w:sz w:val="28"/>
    </w:rPr>
  </w:style>
  <w:style w:type="paragraph" w:styleId="Heading8">
    <w:name w:val="heading 8"/>
    <w:basedOn w:val="Normal"/>
    <w:next w:val="Normal"/>
    <w:link w:val="Heading8Char"/>
    <w:qFormat/>
    <w:rsid w:val="00603FDF"/>
    <w:pPr>
      <w:keepNext/>
      <w:jc w:val="right"/>
      <w:outlineLvl w:val="7"/>
    </w:pPr>
    <w:rPr>
      <w:rFonts w:ascii="Univers" w:hAnsi="Univers"/>
      <w:b/>
      <w:sz w:val="32"/>
    </w:rPr>
  </w:style>
  <w:style w:type="paragraph" w:styleId="Heading9">
    <w:name w:val="heading 9"/>
    <w:basedOn w:val="Normal"/>
    <w:next w:val="Normal"/>
    <w:link w:val="Heading9Char"/>
    <w:rsid w:val="00603FD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FDF"/>
    <w:pPr>
      <w:tabs>
        <w:tab w:val="center" w:pos="4320"/>
        <w:tab w:val="right" w:pos="8640"/>
      </w:tabs>
    </w:pPr>
  </w:style>
  <w:style w:type="paragraph" w:styleId="Footer">
    <w:name w:val="footer"/>
    <w:basedOn w:val="Normal"/>
    <w:link w:val="FooterChar"/>
    <w:rsid w:val="00603FDF"/>
    <w:pPr>
      <w:tabs>
        <w:tab w:val="center" w:pos="4320"/>
        <w:tab w:val="right" w:pos="8640"/>
      </w:tabs>
      <w:ind w:firstLine="720"/>
      <w:jc w:val="right"/>
    </w:pPr>
  </w:style>
  <w:style w:type="paragraph" w:customStyle="1" w:styleId="Para10">
    <w:name w:val="Para1"/>
    <w:basedOn w:val="Normal"/>
    <w:link w:val="Para1Char"/>
    <w:rsid w:val="00603FDF"/>
    <w:pPr>
      <w:numPr>
        <w:numId w:val="108"/>
      </w:numPr>
      <w:spacing w:before="120" w:after="120"/>
    </w:pPr>
    <w:rPr>
      <w:snapToGrid w:val="0"/>
      <w:szCs w:val="18"/>
    </w:rPr>
  </w:style>
  <w:style w:type="paragraph" w:styleId="FootnoteText">
    <w:name w:val="footnote text"/>
    <w:basedOn w:val="Normal"/>
    <w:link w:val="FootnoteTextChar"/>
    <w:rsid w:val="00603FDF"/>
    <w:pPr>
      <w:keepLines/>
      <w:spacing w:after="60"/>
      <w:ind w:firstLine="720"/>
    </w:pPr>
    <w:rPr>
      <w:sz w:val="18"/>
    </w:rPr>
  </w:style>
  <w:style w:type="paragraph" w:styleId="BodyText">
    <w:name w:val="Body Text"/>
    <w:basedOn w:val="Normal"/>
    <w:link w:val="BodyTextChar"/>
    <w:rsid w:val="00603FDF"/>
    <w:pPr>
      <w:spacing w:before="120" w:after="120"/>
      <w:ind w:firstLine="720"/>
    </w:pPr>
    <w:rPr>
      <w:iCs/>
    </w:rPr>
  </w:style>
  <w:style w:type="character" w:customStyle="1" w:styleId="StyleFootnoteReferenceNounderline">
    <w:name w:val="Style Footnote Reference + No underline"/>
    <w:rsid w:val="00603FDF"/>
    <w:rPr>
      <w:sz w:val="18"/>
      <w:u w:val="none"/>
      <w:vertAlign w:val="baseline"/>
    </w:rPr>
  </w:style>
  <w:style w:type="paragraph" w:customStyle="1" w:styleId="Quotationtextindented">
    <w:name w:val="Quotation text (indented)"/>
    <w:basedOn w:val="Normal"/>
    <w:qFormat/>
    <w:rsid w:val="00603FDF"/>
    <w:pPr>
      <w:spacing w:before="120" w:after="120"/>
      <w:ind w:left="720" w:right="720"/>
    </w:pPr>
    <w:rPr>
      <w:bCs/>
    </w:rPr>
  </w:style>
  <w:style w:type="paragraph" w:customStyle="1" w:styleId="recommendationheader">
    <w:name w:val="recommendation header"/>
    <w:basedOn w:val="Heading2"/>
    <w:qFormat/>
    <w:rsid w:val="00603FDF"/>
  </w:style>
  <w:style w:type="character" w:styleId="CommentReference">
    <w:name w:val="annotation reference"/>
    <w:semiHidden/>
    <w:rsid w:val="00603FDF"/>
    <w:rPr>
      <w:sz w:val="16"/>
    </w:rPr>
  </w:style>
  <w:style w:type="paragraph" w:styleId="CommentText">
    <w:name w:val="annotation text"/>
    <w:basedOn w:val="Normal"/>
    <w:link w:val="CommentTextChar"/>
    <w:semiHidden/>
    <w:rsid w:val="00603FDF"/>
    <w:pPr>
      <w:spacing w:after="120" w:line="240" w:lineRule="exact"/>
    </w:pPr>
  </w:style>
  <w:style w:type="character" w:styleId="FootnoteReference">
    <w:name w:val="footnote reference"/>
    <w:link w:val="BVIfnrChar"/>
    <w:rsid w:val="00603FDF"/>
    <w:rPr>
      <w:sz w:val="22"/>
      <w:u w:val="none"/>
      <w:vertAlign w:val="superscript"/>
    </w:rPr>
  </w:style>
  <w:style w:type="paragraph" w:styleId="BodyTextIndent">
    <w:name w:val="Body Text Indent"/>
    <w:basedOn w:val="Normal"/>
    <w:link w:val="BodyTextIndentChar"/>
    <w:rsid w:val="00603FDF"/>
    <w:pPr>
      <w:spacing w:before="120" w:after="120"/>
      <w:ind w:left="1440" w:hanging="720"/>
      <w:jc w:val="left"/>
    </w:pPr>
  </w:style>
  <w:style w:type="character" w:styleId="PageNumber">
    <w:name w:val="page number"/>
    <w:rsid w:val="00603FDF"/>
    <w:rPr>
      <w:rFonts w:ascii="Times New Roman" w:hAnsi="Times New Roman"/>
      <w:sz w:val="22"/>
    </w:rPr>
  </w:style>
  <w:style w:type="paragraph" w:customStyle="1" w:styleId="HEADING">
    <w:name w:val="HEADING"/>
    <w:basedOn w:val="Normal"/>
    <w:rsid w:val="00603FDF"/>
    <w:pPr>
      <w:keepNext/>
      <w:spacing w:before="240" w:after="120"/>
      <w:jc w:val="center"/>
    </w:pPr>
    <w:rPr>
      <w:b/>
      <w:bCs/>
      <w:caps/>
    </w:rPr>
  </w:style>
  <w:style w:type="paragraph" w:customStyle="1" w:styleId="para4">
    <w:name w:val="para4"/>
    <w:basedOn w:val="Normal"/>
    <w:rsid w:val="00603FD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603FDF"/>
    <w:pPr>
      <w:ind w:left="720"/>
      <w:outlineLvl w:val="9"/>
    </w:pPr>
    <w:rPr>
      <w:rFonts w:ascii="Times New Roman" w:hAnsi="Times New Roman"/>
    </w:rPr>
  </w:style>
  <w:style w:type="paragraph" w:customStyle="1" w:styleId="Cornernotation">
    <w:name w:val="Corner notation"/>
    <w:basedOn w:val="Normal"/>
    <w:rsid w:val="00603FDF"/>
    <w:pPr>
      <w:ind w:left="170" w:right="3119" w:hanging="170"/>
      <w:jc w:val="left"/>
    </w:pPr>
  </w:style>
  <w:style w:type="paragraph" w:customStyle="1" w:styleId="Para3">
    <w:name w:val="Para3"/>
    <w:basedOn w:val="Normal"/>
    <w:rsid w:val="00603FDF"/>
    <w:pPr>
      <w:numPr>
        <w:ilvl w:val="3"/>
        <w:numId w:val="109"/>
      </w:numPr>
      <w:tabs>
        <w:tab w:val="left" w:pos="1980"/>
      </w:tabs>
      <w:spacing w:before="80" w:after="80"/>
    </w:pPr>
    <w:rPr>
      <w:szCs w:val="20"/>
    </w:rPr>
  </w:style>
  <w:style w:type="paragraph" w:customStyle="1" w:styleId="recommendationheaderlong">
    <w:name w:val="recommendation header long"/>
    <w:basedOn w:val="Heading2longmultiline"/>
    <w:qFormat/>
    <w:rsid w:val="00603FDF"/>
  </w:style>
  <w:style w:type="paragraph" w:customStyle="1" w:styleId="tabletitle">
    <w:name w:val="table title"/>
    <w:basedOn w:val="Heading2"/>
    <w:qFormat/>
    <w:rsid w:val="00603FDF"/>
    <w:pPr>
      <w:jc w:val="left"/>
      <w:outlineLvl w:val="9"/>
    </w:pPr>
    <w:rPr>
      <w:i/>
    </w:rPr>
  </w:style>
  <w:style w:type="paragraph" w:styleId="TOAHeading">
    <w:name w:val="toa heading"/>
    <w:basedOn w:val="Normal"/>
    <w:next w:val="Normal"/>
    <w:semiHidden/>
    <w:rsid w:val="00603FDF"/>
    <w:pPr>
      <w:spacing w:before="120"/>
    </w:pPr>
    <w:rPr>
      <w:rFonts w:cs="Arial"/>
      <w:b/>
      <w:bCs/>
      <w:sz w:val="24"/>
    </w:rPr>
  </w:style>
  <w:style w:type="paragraph" w:styleId="TOC9">
    <w:name w:val="toc 9"/>
    <w:basedOn w:val="Normal"/>
    <w:next w:val="Normal"/>
    <w:autoRedefine/>
    <w:semiHidden/>
    <w:rsid w:val="00603FDF"/>
    <w:pPr>
      <w:spacing w:before="120" w:after="120"/>
      <w:ind w:left="1760"/>
      <w:jc w:val="left"/>
    </w:pPr>
  </w:style>
  <w:style w:type="paragraph" w:styleId="TOC1">
    <w:name w:val="toc 1"/>
    <w:basedOn w:val="Normal"/>
    <w:next w:val="Normal"/>
    <w:autoRedefine/>
    <w:semiHidden/>
    <w:rsid w:val="00603FDF"/>
    <w:pPr>
      <w:ind w:left="720" w:hanging="720"/>
    </w:pPr>
    <w:rPr>
      <w:caps/>
    </w:rPr>
  </w:style>
  <w:style w:type="paragraph" w:styleId="TOC2">
    <w:name w:val="toc 2"/>
    <w:basedOn w:val="Normal"/>
    <w:next w:val="Normal"/>
    <w:autoRedefine/>
    <w:semiHidden/>
    <w:rsid w:val="00603FDF"/>
    <w:pPr>
      <w:tabs>
        <w:tab w:val="right" w:leader="dot" w:pos="9356"/>
      </w:tabs>
      <w:ind w:left="1440" w:hanging="720"/>
    </w:pPr>
    <w:rPr>
      <w:noProof/>
      <w:szCs w:val="22"/>
    </w:rPr>
  </w:style>
  <w:style w:type="paragraph" w:styleId="TOC3">
    <w:name w:val="toc 3"/>
    <w:basedOn w:val="Normal"/>
    <w:next w:val="Normal"/>
    <w:autoRedefine/>
    <w:semiHidden/>
    <w:rsid w:val="00603FDF"/>
    <w:pPr>
      <w:ind w:left="2160" w:hanging="720"/>
    </w:pPr>
  </w:style>
  <w:style w:type="paragraph" w:styleId="TOC4">
    <w:name w:val="toc 4"/>
    <w:basedOn w:val="Normal"/>
    <w:next w:val="Normal"/>
    <w:autoRedefine/>
    <w:semiHidden/>
    <w:rsid w:val="00603FDF"/>
    <w:pPr>
      <w:spacing w:before="120" w:after="120"/>
      <w:ind w:left="660"/>
      <w:jc w:val="left"/>
    </w:pPr>
  </w:style>
  <w:style w:type="paragraph" w:styleId="TOC5">
    <w:name w:val="toc 5"/>
    <w:basedOn w:val="Normal"/>
    <w:next w:val="Normal"/>
    <w:autoRedefine/>
    <w:semiHidden/>
    <w:rsid w:val="00603FDF"/>
    <w:pPr>
      <w:spacing w:before="120" w:after="120"/>
      <w:ind w:left="880"/>
      <w:jc w:val="left"/>
    </w:pPr>
  </w:style>
  <w:style w:type="paragraph" w:styleId="TOC6">
    <w:name w:val="toc 6"/>
    <w:basedOn w:val="Normal"/>
    <w:next w:val="Normal"/>
    <w:autoRedefine/>
    <w:semiHidden/>
    <w:rsid w:val="00603FDF"/>
    <w:pPr>
      <w:spacing w:before="120" w:after="120"/>
      <w:ind w:left="1100"/>
      <w:jc w:val="left"/>
    </w:pPr>
  </w:style>
  <w:style w:type="paragraph" w:styleId="TOC7">
    <w:name w:val="toc 7"/>
    <w:basedOn w:val="Normal"/>
    <w:next w:val="Normal"/>
    <w:autoRedefine/>
    <w:semiHidden/>
    <w:rsid w:val="00603FDF"/>
    <w:pPr>
      <w:spacing w:before="120" w:after="120"/>
      <w:ind w:left="1320"/>
      <w:jc w:val="left"/>
    </w:pPr>
  </w:style>
  <w:style w:type="paragraph" w:styleId="TOC8">
    <w:name w:val="toc 8"/>
    <w:basedOn w:val="Normal"/>
    <w:next w:val="Normal"/>
    <w:autoRedefine/>
    <w:semiHidden/>
    <w:rsid w:val="00603FDF"/>
    <w:pPr>
      <w:spacing w:before="120" w:after="120"/>
      <w:ind w:left="1540"/>
      <w:jc w:val="left"/>
    </w:pPr>
  </w:style>
  <w:style w:type="paragraph" w:customStyle="1" w:styleId="reference">
    <w:name w:val="reference"/>
    <w:basedOn w:val="Heading9"/>
    <w:qFormat/>
    <w:rsid w:val="00603FDF"/>
    <w:rPr>
      <w:i w:val="0"/>
      <w:sz w:val="18"/>
    </w:rPr>
  </w:style>
  <w:style w:type="character" w:styleId="FollowedHyperlink">
    <w:name w:val="FollowedHyperlink"/>
    <w:rsid w:val="00603FDF"/>
    <w:rPr>
      <w:color w:val="800080"/>
      <w:u w:val="single"/>
    </w:rPr>
  </w:style>
  <w:style w:type="paragraph" w:customStyle="1" w:styleId="Style1">
    <w:name w:val="Style1"/>
    <w:basedOn w:val="Heading2"/>
    <w:qFormat/>
    <w:rsid w:val="00603FDF"/>
    <w:rPr>
      <w:i/>
    </w:rPr>
  </w:style>
  <w:style w:type="paragraph" w:customStyle="1" w:styleId="Para2">
    <w:name w:val="Para2"/>
    <w:basedOn w:val="Para10"/>
    <w:rsid w:val="00603FDF"/>
    <w:pPr>
      <w:numPr>
        <w:numId w:val="0"/>
      </w:numPr>
      <w:autoSpaceDE w:val="0"/>
      <w:autoSpaceDN w:val="0"/>
    </w:pPr>
  </w:style>
  <w:style w:type="paragraph" w:customStyle="1" w:styleId="Para-decision">
    <w:name w:val="Para-decision"/>
    <w:basedOn w:val="Normal"/>
    <w:rsid w:val="00603FD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rsid w:val="00603FDF"/>
    <w:rPr>
      <w:color w:val="0000FF"/>
      <w:sz w:val="18"/>
      <w:u w:val="single"/>
    </w:rPr>
  </w:style>
  <w:style w:type="character" w:styleId="EndnoteReference">
    <w:name w:val="endnote reference"/>
    <w:semiHidden/>
    <w:rsid w:val="00603FDF"/>
    <w:rPr>
      <w:vertAlign w:val="superscript"/>
    </w:rPr>
  </w:style>
  <w:style w:type="paragraph" w:styleId="EndnoteText">
    <w:name w:val="endnote text"/>
    <w:basedOn w:val="Normal"/>
    <w:link w:val="EndnoteTextChar"/>
    <w:semiHidden/>
    <w:rsid w:val="00603FD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603FDF"/>
    <w:pPr>
      <w:ind w:left="1843" w:hanging="1134"/>
      <w:jc w:val="left"/>
    </w:pPr>
  </w:style>
  <w:style w:type="paragraph" w:customStyle="1" w:styleId="Heading1multiline">
    <w:name w:val="Heading 1 (multiline)"/>
    <w:basedOn w:val="Heading1"/>
    <w:rsid w:val="00603FDF"/>
    <w:pPr>
      <w:ind w:left="1843" w:right="996" w:hanging="567"/>
      <w:jc w:val="left"/>
    </w:pPr>
  </w:style>
  <w:style w:type="paragraph" w:customStyle="1" w:styleId="Heading2multiline">
    <w:name w:val="Heading 2 (multiline)"/>
    <w:basedOn w:val="Heading1"/>
    <w:next w:val="Normal"/>
    <w:rsid w:val="00603FDF"/>
    <w:pPr>
      <w:spacing w:before="120"/>
      <w:ind w:left="1843" w:right="998" w:hanging="567"/>
      <w:jc w:val="left"/>
    </w:pPr>
    <w:rPr>
      <w:i/>
      <w:iCs/>
      <w:caps w:val="0"/>
    </w:rPr>
  </w:style>
  <w:style w:type="paragraph" w:customStyle="1" w:styleId="Heading2longmultiline">
    <w:name w:val="Heading 2 (long multiline)"/>
    <w:basedOn w:val="Heading2multiline"/>
    <w:rsid w:val="00603FDF"/>
    <w:pPr>
      <w:ind w:left="2127" w:hanging="1276"/>
    </w:pPr>
  </w:style>
  <w:style w:type="paragraph" w:customStyle="1" w:styleId="Heading3multiline">
    <w:name w:val="Heading 3 (multiline)"/>
    <w:basedOn w:val="Heading3"/>
    <w:next w:val="Normal"/>
    <w:rsid w:val="00603FDF"/>
    <w:pPr>
      <w:ind w:left="1418" w:hanging="425"/>
      <w:jc w:val="left"/>
    </w:pPr>
  </w:style>
  <w:style w:type="paragraph" w:customStyle="1" w:styleId="heading2notforTOC">
    <w:name w:val="heading 2 not for TOC"/>
    <w:basedOn w:val="Heading3"/>
    <w:rsid w:val="00603FDF"/>
  </w:style>
  <w:style w:type="paragraph" w:customStyle="1" w:styleId="HEADINGNOTFORTOC">
    <w:name w:val="HEADING (NOT FOR TOC)"/>
    <w:basedOn w:val="Heading1"/>
    <w:next w:val="Heading2"/>
    <w:rsid w:val="00603FDF"/>
  </w:style>
  <w:style w:type="character" w:customStyle="1" w:styleId="FootnoteTextChar">
    <w:name w:val="Footnote Text Char"/>
    <w:basedOn w:val="DefaultParagraphFont"/>
    <w:link w:val="FootnoteText"/>
    <w:rsid w:val="00603FDF"/>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603F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FDF"/>
    <w:rPr>
      <w:rFonts w:ascii="Lucida Grande" w:hAnsi="Lucida Grande" w:cs="Lucida Grande"/>
      <w:sz w:val="18"/>
      <w:szCs w:val="18"/>
      <w:lang w:val="en-GB"/>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basedOn w:val="DefaultParagraphFont"/>
    <w:link w:val="CommentText"/>
    <w:semiHidden/>
    <w:rsid w:val="00603FDF"/>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603FDF"/>
    <w:rPr>
      <w:color w:val="808080"/>
    </w:rPr>
  </w:style>
  <w:style w:type="paragraph" w:styleId="ListParagraph">
    <w:name w:val="List Paragraph"/>
    <w:basedOn w:val="Normal"/>
    <w:link w:val="ListParagraphChar"/>
    <w:uiPriority w:val="34"/>
    <w:qFormat/>
    <w:rsid w:val="00603FDF"/>
    <w:pPr>
      <w:ind w:left="720"/>
      <w:contextualSpacing/>
    </w:pPr>
  </w:style>
  <w:style w:type="paragraph" w:customStyle="1" w:styleId="meetingname">
    <w:name w:val="meeting name"/>
    <w:basedOn w:val="Normal"/>
    <w:qFormat/>
    <w:rsid w:val="00603FDF"/>
    <w:pPr>
      <w:ind w:left="142" w:right="4218" w:hanging="142"/>
    </w:pPr>
    <w:rPr>
      <w:caps/>
      <w:szCs w:val="22"/>
    </w:rPr>
  </w:style>
  <w:style w:type="table" w:styleId="TableGrid">
    <w:name w:val="Table Grid"/>
    <w:basedOn w:val="TableNormal"/>
    <w:uiPriority w:val="59"/>
    <w:rsid w:val="00603FDF"/>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0"/>
    <w:locked/>
    <w:rsid w:val="00603FDF"/>
    <w:rPr>
      <w:snapToGrid w:val="0"/>
      <w:sz w:val="22"/>
      <w:szCs w:val="18"/>
      <w:lang w:val="en-GB"/>
    </w:rPr>
  </w:style>
  <w:style w:type="character" w:customStyle="1" w:styleId="HeaderChar">
    <w:name w:val="Header Char"/>
    <w:basedOn w:val="DefaultParagraphFont"/>
    <w:link w:val="Header"/>
    <w:rsid w:val="00603FDF"/>
    <w:rPr>
      <w:sz w:val="22"/>
      <w:szCs w:val="24"/>
      <w:lang w:val="en-GB"/>
    </w:rPr>
  </w:style>
  <w:style w:type="character" w:customStyle="1" w:styleId="FooterChar">
    <w:name w:val="Footer Char"/>
    <w:basedOn w:val="DefaultParagraphFont"/>
    <w:link w:val="Footer"/>
    <w:rsid w:val="00603FDF"/>
    <w:rPr>
      <w:sz w:val="22"/>
      <w:szCs w:val="24"/>
      <w:lang w:val="en-GB"/>
    </w:rPr>
  </w:style>
  <w:style w:type="character" w:styleId="UnresolvedMention">
    <w:name w:val="Unresolved Mention"/>
    <w:basedOn w:val="DefaultParagraphFont"/>
    <w:uiPriority w:val="99"/>
    <w:semiHidden/>
    <w:unhideWhenUsed/>
    <w:rsid w:val="00E80DBD"/>
    <w:rPr>
      <w:color w:val="605E5C"/>
      <w:shd w:val="clear" w:color="auto" w:fill="E1DFDD"/>
    </w:rPr>
  </w:style>
  <w:style w:type="paragraph" w:styleId="NormalWeb">
    <w:name w:val="Normal (Web)"/>
    <w:basedOn w:val="Normal"/>
    <w:uiPriority w:val="99"/>
    <w:unhideWhenUsed/>
    <w:rsid w:val="006B4E66"/>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A4579F"/>
    <w:rPr>
      <w:rFonts w:ascii="Courier New" w:hAnsi="Courier New" w:cs="Courier New"/>
      <w:lang w:val="es-CO" w:eastAsia="es-CO"/>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1E2016"/>
    <w:pPr>
      <w:spacing w:after="160" w:line="240" w:lineRule="exact"/>
    </w:pPr>
    <w:rPr>
      <w:szCs w:val="20"/>
      <w:vertAlign w:val="superscript"/>
      <w:lang w:val="en-CA"/>
    </w:rPr>
  </w:style>
  <w:style w:type="character" w:customStyle="1" w:styleId="ListParagraphChar">
    <w:name w:val="List Paragraph Char"/>
    <w:basedOn w:val="DefaultParagraphFont"/>
    <w:link w:val="ListParagraph"/>
    <w:uiPriority w:val="34"/>
    <w:qFormat/>
    <w:locked/>
    <w:rsid w:val="00817C4B"/>
    <w:rPr>
      <w:sz w:val="22"/>
      <w:szCs w:val="24"/>
      <w:lang w:val="en-GB"/>
    </w:rPr>
  </w:style>
  <w:style w:type="paragraph" w:customStyle="1" w:styleId="Para1">
    <w:name w:val="Para 1"/>
    <w:basedOn w:val="BodyText"/>
    <w:rsid w:val="00817C4B"/>
    <w:pPr>
      <w:numPr>
        <w:numId w:val="70"/>
      </w:numPr>
      <w:tabs>
        <w:tab w:val="num" w:pos="360"/>
      </w:tabs>
      <w:ind w:left="0" w:firstLine="0"/>
    </w:pPr>
    <w:rPr>
      <w:rFonts w:eastAsia="MS Mincho" w:cs="Angsana New"/>
      <w:bCs/>
      <w:iCs w:val="0"/>
      <w:szCs w:val="22"/>
    </w:rPr>
  </w:style>
  <w:style w:type="paragraph" w:customStyle="1" w:styleId="trt0xe">
    <w:name w:val="trt0xe"/>
    <w:basedOn w:val="Normal"/>
    <w:rsid w:val="00E20ACC"/>
    <w:pPr>
      <w:spacing w:before="100" w:beforeAutospacing="1" w:after="100" w:afterAutospacing="1"/>
      <w:jc w:val="left"/>
    </w:pPr>
    <w:rPr>
      <w:sz w:val="24"/>
      <w:lang w:val="en-CA" w:eastAsia="en-CA"/>
    </w:rPr>
  </w:style>
  <w:style w:type="character" w:customStyle="1" w:styleId="BodyTextChar">
    <w:name w:val="Body Text Char"/>
    <w:basedOn w:val="DefaultParagraphFont"/>
    <w:link w:val="BodyText"/>
    <w:rsid w:val="00603FDF"/>
    <w:rPr>
      <w:iCs/>
      <w:sz w:val="22"/>
      <w:szCs w:val="24"/>
      <w:lang w:val="en-GB"/>
    </w:rPr>
  </w:style>
  <w:style w:type="character" w:customStyle="1" w:styleId="BodyTextIndentChar">
    <w:name w:val="Body Text Indent Char"/>
    <w:basedOn w:val="DefaultParagraphFont"/>
    <w:link w:val="BodyTextIndent"/>
    <w:rsid w:val="00603FDF"/>
    <w:rPr>
      <w:sz w:val="22"/>
      <w:szCs w:val="24"/>
      <w:lang w:val="en-GB"/>
    </w:rPr>
  </w:style>
  <w:style w:type="paragraph" w:styleId="Caption">
    <w:name w:val="caption"/>
    <w:basedOn w:val="Normal"/>
    <w:next w:val="Normal"/>
    <w:uiPriority w:val="35"/>
    <w:unhideWhenUsed/>
    <w:qFormat/>
    <w:rsid w:val="00603FDF"/>
    <w:pPr>
      <w:keepNext/>
      <w:keepLines/>
      <w:spacing w:after="200"/>
    </w:pPr>
    <w:rPr>
      <w:b/>
      <w:iCs/>
      <w:szCs w:val="18"/>
    </w:rPr>
  </w:style>
  <w:style w:type="paragraph" w:customStyle="1" w:styleId="CBD-Doc">
    <w:name w:val="CBD-Doc"/>
    <w:basedOn w:val="Normal"/>
    <w:rsid w:val="00603FDF"/>
    <w:pPr>
      <w:keepLines/>
      <w:numPr>
        <w:numId w:val="106"/>
      </w:numPr>
      <w:spacing w:after="120"/>
    </w:pPr>
    <w:rPr>
      <w:rFonts w:cs="Angsana New"/>
    </w:rPr>
  </w:style>
  <w:style w:type="paragraph" w:customStyle="1" w:styleId="CBD-Doc-Type">
    <w:name w:val="CBD-Doc-Type"/>
    <w:basedOn w:val="Normal"/>
    <w:rsid w:val="00603FDF"/>
    <w:pPr>
      <w:keepLines/>
      <w:spacing w:before="240" w:after="120"/>
    </w:pPr>
    <w:rPr>
      <w:rFonts w:cs="Angsana New"/>
      <w:b/>
      <w:i/>
      <w:sz w:val="24"/>
    </w:rPr>
  </w:style>
  <w:style w:type="character" w:customStyle="1" w:styleId="EndnoteTextChar">
    <w:name w:val="Endnote Text Char"/>
    <w:basedOn w:val="DefaultParagraphFont"/>
    <w:link w:val="EndnoteText"/>
    <w:semiHidden/>
    <w:rsid w:val="00603FDF"/>
    <w:rPr>
      <w:rFonts w:ascii="Courier New" w:hAnsi="Courier New"/>
      <w:sz w:val="22"/>
      <w:szCs w:val="24"/>
      <w:lang w:val="en-GB"/>
    </w:rPr>
  </w:style>
  <w:style w:type="character" w:customStyle="1" w:styleId="Heading1Char">
    <w:name w:val="Heading 1 Char"/>
    <w:basedOn w:val="DefaultParagraphFont"/>
    <w:link w:val="Heading1"/>
    <w:rsid w:val="00603FDF"/>
    <w:rPr>
      <w:b/>
      <w:caps/>
      <w:sz w:val="22"/>
      <w:szCs w:val="24"/>
      <w:lang w:val="en-GB"/>
    </w:rPr>
  </w:style>
  <w:style w:type="character" w:customStyle="1" w:styleId="Heading2Char">
    <w:name w:val="Heading 2 Char"/>
    <w:basedOn w:val="DefaultParagraphFont"/>
    <w:link w:val="Heading2"/>
    <w:rsid w:val="00603FDF"/>
    <w:rPr>
      <w:b/>
      <w:bCs/>
      <w:iCs/>
      <w:sz w:val="22"/>
      <w:szCs w:val="24"/>
      <w:lang w:val="en-GB"/>
    </w:rPr>
  </w:style>
  <w:style w:type="character" w:customStyle="1" w:styleId="Heading3Char">
    <w:name w:val="Heading 3 Char"/>
    <w:basedOn w:val="DefaultParagraphFont"/>
    <w:link w:val="Heading3"/>
    <w:rsid w:val="00603FDF"/>
    <w:rPr>
      <w:i/>
      <w:iCs/>
      <w:sz w:val="22"/>
      <w:szCs w:val="24"/>
      <w:lang w:val="en-GB"/>
    </w:rPr>
  </w:style>
  <w:style w:type="character" w:customStyle="1" w:styleId="Heading4Char">
    <w:name w:val="Heading 4 Char"/>
    <w:basedOn w:val="DefaultParagraphFont"/>
    <w:link w:val="Heading4"/>
    <w:rsid w:val="00603FDF"/>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rsid w:val="00603FDF"/>
    <w:rPr>
      <w:bCs/>
      <w:i/>
      <w:sz w:val="22"/>
      <w:szCs w:val="26"/>
    </w:rPr>
  </w:style>
  <w:style w:type="character" w:customStyle="1" w:styleId="Heading6Char">
    <w:name w:val="Heading 6 Char"/>
    <w:basedOn w:val="DefaultParagraphFont"/>
    <w:link w:val="Heading6"/>
    <w:rsid w:val="00603FDF"/>
    <w:rPr>
      <w:sz w:val="22"/>
      <w:szCs w:val="24"/>
      <w:u w:val="single"/>
      <w:lang w:val="en-GB"/>
    </w:rPr>
  </w:style>
  <w:style w:type="character" w:customStyle="1" w:styleId="Heading7Char">
    <w:name w:val="Heading 7 Char"/>
    <w:basedOn w:val="DefaultParagraphFont"/>
    <w:link w:val="Heading7"/>
    <w:rsid w:val="00603FDF"/>
    <w:rPr>
      <w:rFonts w:ascii="Univers" w:hAnsi="Univers"/>
      <w:b/>
      <w:sz w:val="28"/>
      <w:szCs w:val="24"/>
      <w:lang w:val="en-GB"/>
    </w:rPr>
  </w:style>
  <w:style w:type="character" w:customStyle="1" w:styleId="Heading8Char">
    <w:name w:val="Heading 8 Char"/>
    <w:basedOn w:val="DefaultParagraphFont"/>
    <w:link w:val="Heading8"/>
    <w:rsid w:val="00603FDF"/>
    <w:rPr>
      <w:rFonts w:ascii="Univers" w:hAnsi="Univers"/>
      <w:b/>
      <w:sz w:val="32"/>
      <w:szCs w:val="24"/>
      <w:lang w:val="en-GB"/>
    </w:rPr>
  </w:style>
  <w:style w:type="character" w:customStyle="1" w:styleId="Heading9Char">
    <w:name w:val="Heading 9 Char"/>
    <w:basedOn w:val="DefaultParagraphFont"/>
    <w:link w:val="Heading9"/>
    <w:rsid w:val="00603FDF"/>
    <w:rPr>
      <w:i/>
      <w:iCs/>
      <w:sz w:val="22"/>
      <w:szCs w:val="24"/>
      <w:lang w:val="en-GB"/>
    </w:rPr>
  </w:style>
  <w:style w:type="paragraph" w:styleId="Subtitle">
    <w:name w:val="Subtitle"/>
    <w:basedOn w:val="Normal"/>
    <w:next w:val="Normal"/>
    <w:link w:val="SubtitleChar"/>
    <w:uiPriority w:val="11"/>
    <w:qFormat/>
    <w:rsid w:val="00603FDF"/>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603FDF"/>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603F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3FDF"/>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43398215">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2089034635">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101731757">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2075">
      <w:bodyDiv w:val="1"/>
      <w:marLeft w:val="0"/>
      <w:marRight w:val="0"/>
      <w:marTop w:val="0"/>
      <w:marBottom w:val="0"/>
      <w:divBdr>
        <w:top w:val="none" w:sz="0" w:space="0" w:color="auto"/>
        <w:left w:val="none" w:sz="0" w:space="0" w:color="auto"/>
        <w:bottom w:val="none" w:sz="0" w:space="0" w:color="auto"/>
        <w:right w:val="none" w:sz="0" w:space="0" w:color="auto"/>
      </w:divBdr>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08698357">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387492761">
      <w:bodyDiv w:val="1"/>
      <w:marLeft w:val="0"/>
      <w:marRight w:val="0"/>
      <w:marTop w:val="0"/>
      <w:marBottom w:val="0"/>
      <w:divBdr>
        <w:top w:val="none" w:sz="0" w:space="0" w:color="auto"/>
        <w:left w:val="none" w:sz="0" w:space="0" w:color="auto"/>
        <w:bottom w:val="none" w:sz="0" w:space="0" w:color="auto"/>
        <w:right w:val="none" w:sz="0" w:space="0" w:color="auto"/>
      </w:divBdr>
      <w:divsChild>
        <w:div w:id="1928271542">
          <w:marLeft w:val="0"/>
          <w:marRight w:val="0"/>
          <w:marTop w:val="0"/>
          <w:marBottom w:val="0"/>
          <w:divBdr>
            <w:top w:val="none" w:sz="0" w:space="0" w:color="auto"/>
            <w:left w:val="none" w:sz="0" w:space="0" w:color="auto"/>
            <w:bottom w:val="none" w:sz="0" w:space="0" w:color="auto"/>
            <w:right w:val="none" w:sz="0" w:space="0" w:color="auto"/>
          </w:divBdr>
          <w:divsChild>
            <w:div w:id="1497726467">
              <w:marLeft w:val="0"/>
              <w:marRight w:val="0"/>
              <w:marTop w:val="0"/>
              <w:marBottom w:val="0"/>
              <w:divBdr>
                <w:top w:val="none" w:sz="0" w:space="0" w:color="auto"/>
                <w:left w:val="none" w:sz="0" w:space="0" w:color="auto"/>
                <w:bottom w:val="none" w:sz="0" w:space="0" w:color="auto"/>
                <w:right w:val="none" w:sz="0" w:space="0" w:color="auto"/>
              </w:divBdr>
              <w:divsChild>
                <w:div w:id="5738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 w:id="100926483">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eader" Target="header1.xml"/><Relationship Id="rId26" Type="http://schemas.openxmlformats.org/officeDocument/2006/relationships/hyperlink" Target="https://www.cbd.int/doc/decisions/cop-14/cop-14-dec-20-en.pdf"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cbd.int/doc/decisions/cop-14/cop-14-dec-29-en.pdf" TargetMode="Externa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www.cbd.int/conferences/post2020" TargetMode="External"/><Relationship Id="rId25" Type="http://schemas.openxmlformats.org/officeDocument/2006/relationships/hyperlink" Target="https://www.cbd.int/doc/decisions/cop-14/cop-14-dec-35-en.pdf" TargetMode="External"/><Relationship Id="rId33" Type="http://schemas.openxmlformats.org/officeDocument/2006/relationships/hyperlink" Target="https://www.cbd.int/doc/decisions/cop-14/cop-14-dec-29-e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np-mop-03/np-mop-03-dec-05-en.pdf" TargetMode="External"/><Relationship Id="rId20" Type="http://schemas.openxmlformats.org/officeDocument/2006/relationships/footer" Target="footer1.xml"/><Relationship Id="rId29" Type="http://schemas.openxmlformats.org/officeDocument/2006/relationships/hyperlink" Target="https://www.cbd.int/doc/decisions/cop-14/cop-14-dec-22-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www.cbd.int/doc/decisions/cp-mop-09/cp-mop-09-dec-07-en.pdf" TargetMode="External"/><Relationship Id="rId32" Type="http://schemas.openxmlformats.org/officeDocument/2006/relationships/hyperlink" Target="https://www.cbd.int/doc/decisions/cop-14/cop-14-dec-27-en.pdf"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p-mop-09/cp-mop-09-dec-07-en.pdf" TargetMode="External"/><Relationship Id="rId23" Type="http://schemas.openxmlformats.org/officeDocument/2006/relationships/footer" Target="footer3.xml"/><Relationship Id="rId28" Type="http://schemas.openxmlformats.org/officeDocument/2006/relationships/hyperlink" Target="https://www.cbd.int/doc/decisions/cop-14/cop-14-dec-35-en.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bd.int/doc/decisions/cop-14/cop-14-dec-25-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en.pdf" TargetMode="External"/><Relationship Id="rId22" Type="http://schemas.openxmlformats.org/officeDocument/2006/relationships/header" Target="header3.xml"/><Relationship Id="rId27" Type="http://schemas.openxmlformats.org/officeDocument/2006/relationships/hyperlink" Target="https://www.cbd.int/doc/decisions/np-mop-03/np-mop-03-dec-15-en.pdf" TargetMode="External"/><Relationship Id="rId30" Type="http://schemas.openxmlformats.org/officeDocument/2006/relationships/hyperlink" Target="https://www.cbd.int/doc/decisions/cop-14/cop-14-dec-03-en.pdf" TargetMode="External"/><Relationship Id="rId35" Type="http://schemas.openxmlformats.org/officeDocument/2006/relationships/hyperlink" Target="https://www.cbd.int/doc/decisions/cop-14/cop-14-dec-29-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PlaceholderText"/>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PlaceholderText"/>
            </w:rPr>
            <w:t>Click here to enter text.</w:t>
          </w:r>
        </w:p>
      </w:docPartBody>
    </w:docPart>
    <w:docPart>
      <w:docPartPr>
        <w:name w:val="5B6B971DB27343279FDA99BE14B766AD"/>
        <w:category>
          <w:name w:val="General"/>
          <w:gallery w:val="placeholder"/>
        </w:category>
        <w:types>
          <w:type w:val="bbPlcHdr"/>
        </w:types>
        <w:behaviors>
          <w:behavior w:val="content"/>
        </w:behaviors>
        <w:guid w:val="{D03089B4-0324-4FFD-BB4E-6F955CD167B3}"/>
      </w:docPartPr>
      <w:docPartBody>
        <w:p w:rsidR="00465E77" w:rsidRDefault="00465E77">
          <w:r w:rsidRPr="009310E0">
            <w:rPr>
              <w:rStyle w:val="PlaceholderText"/>
            </w:rPr>
            <w:t>[Title]</w:t>
          </w:r>
        </w:p>
      </w:docPartBody>
    </w:docPart>
    <w:docPart>
      <w:docPartPr>
        <w:name w:val="DA2D3E7AACEF4F7FBB68B18ABACCDB95"/>
        <w:category>
          <w:name w:val="General"/>
          <w:gallery w:val="placeholder"/>
        </w:category>
        <w:types>
          <w:type w:val="bbPlcHdr"/>
        </w:types>
        <w:behaviors>
          <w:behavior w:val="content"/>
        </w:behaviors>
        <w:guid w:val="{8C3D7F90-B0D1-49F4-BD8A-6F6C511141D7}"/>
      </w:docPartPr>
      <w:docPartBody>
        <w:p w:rsidR="00476905" w:rsidRDefault="00FF7E70" w:rsidP="00FF7E70">
          <w:pPr>
            <w:pStyle w:val="DA2D3E7AACEF4F7FBB68B18ABACCDB95"/>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3424A"/>
    <w:rsid w:val="001B29AF"/>
    <w:rsid w:val="00272203"/>
    <w:rsid w:val="002E2480"/>
    <w:rsid w:val="0033079A"/>
    <w:rsid w:val="0033246E"/>
    <w:rsid w:val="0037757D"/>
    <w:rsid w:val="003E75D7"/>
    <w:rsid w:val="0040648F"/>
    <w:rsid w:val="00465E77"/>
    <w:rsid w:val="00476905"/>
    <w:rsid w:val="004A69EC"/>
    <w:rsid w:val="004B5E1A"/>
    <w:rsid w:val="004C5B3D"/>
    <w:rsid w:val="004C5F72"/>
    <w:rsid w:val="005809B1"/>
    <w:rsid w:val="005A660E"/>
    <w:rsid w:val="005C6A1A"/>
    <w:rsid w:val="00655A58"/>
    <w:rsid w:val="006B0386"/>
    <w:rsid w:val="00760936"/>
    <w:rsid w:val="00766D8B"/>
    <w:rsid w:val="00772712"/>
    <w:rsid w:val="007C472E"/>
    <w:rsid w:val="007E501A"/>
    <w:rsid w:val="0083264A"/>
    <w:rsid w:val="008A11DC"/>
    <w:rsid w:val="008A6231"/>
    <w:rsid w:val="008D7F3E"/>
    <w:rsid w:val="008F456A"/>
    <w:rsid w:val="00946718"/>
    <w:rsid w:val="009A1E5E"/>
    <w:rsid w:val="009B5CA1"/>
    <w:rsid w:val="00A27574"/>
    <w:rsid w:val="00A27DC9"/>
    <w:rsid w:val="00A725C6"/>
    <w:rsid w:val="00AA6306"/>
    <w:rsid w:val="00B214A9"/>
    <w:rsid w:val="00B36C7B"/>
    <w:rsid w:val="00BB2CFE"/>
    <w:rsid w:val="00BE0EEB"/>
    <w:rsid w:val="00C05522"/>
    <w:rsid w:val="00C57879"/>
    <w:rsid w:val="00CB61E8"/>
    <w:rsid w:val="00D1182F"/>
    <w:rsid w:val="00D5481D"/>
    <w:rsid w:val="00D647CA"/>
    <w:rsid w:val="00D66A0A"/>
    <w:rsid w:val="00E37968"/>
    <w:rsid w:val="00EC17B5"/>
    <w:rsid w:val="00F8371C"/>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F7E70"/>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CC5BD4D38B3C48169B69B8D86F60A326">
    <w:name w:val="CC5BD4D38B3C48169B69B8D86F60A326"/>
    <w:rsid w:val="008F456A"/>
    <w:pPr>
      <w:spacing w:after="160" w:line="259" w:lineRule="auto"/>
    </w:pPr>
    <w:rPr>
      <w:lang w:val="en-CA" w:eastAsia="en-CA"/>
    </w:rPr>
  </w:style>
  <w:style w:type="paragraph" w:customStyle="1" w:styleId="72D6DF77689140A7A879688DD3FBE7A1">
    <w:name w:val="72D6DF77689140A7A879688DD3FBE7A1"/>
    <w:rsid w:val="008F456A"/>
    <w:pPr>
      <w:spacing w:after="160" w:line="259" w:lineRule="auto"/>
    </w:pPr>
    <w:rPr>
      <w:lang w:val="en-CA" w:eastAsia="en-CA"/>
    </w:rPr>
  </w:style>
  <w:style w:type="paragraph" w:customStyle="1" w:styleId="B8D887AD6CE646B486FAC4B73D94AF3E">
    <w:name w:val="B8D887AD6CE646B486FAC4B73D94AF3E"/>
    <w:rsid w:val="008F456A"/>
    <w:pPr>
      <w:spacing w:after="160" w:line="259" w:lineRule="auto"/>
    </w:pPr>
    <w:rPr>
      <w:lang w:val="en-CA" w:eastAsia="en-CA"/>
    </w:rPr>
  </w:style>
  <w:style w:type="paragraph" w:customStyle="1" w:styleId="460A0B85630F484F8802ACEB86B10468">
    <w:name w:val="460A0B85630F484F8802ACEB86B10468"/>
    <w:rsid w:val="008F456A"/>
    <w:pPr>
      <w:spacing w:after="160" w:line="259" w:lineRule="auto"/>
    </w:pPr>
    <w:rPr>
      <w:lang w:val="en-CA" w:eastAsia="en-CA"/>
    </w:rPr>
  </w:style>
  <w:style w:type="paragraph" w:customStyle="1" w:styleId="A65CCCBEDB4F490C973224B4FCAB19C0">
    <w:name w:val="A65CCCBEDB4F490C973224B4FCAB19C0"/>
    <w:rsid w:val="008F456A"/>
    <w:pPr>
      <w:spacing w:after="160" w:line="259" w:lineRule="auto"/>
    </w:pPr>
    <w:rPr>
      <w:lang w:val="en-CA" w:eastAsia="en-CA"/>
    </w:rPr>
  </w:style>
  <w:style w:type="paragraph" w:customStyle="1" w:styleId="4BEA0013504D4F82B9B833C6D24C16D8">
    <w:name w:val="4BEA0013504D4F82B9B833C6D24C16D8"/>
    <w:rsid w:val="00B214A9"/>
    <w:pPr>
      <w:spacing w:after="160" w:line="259" w:lineRule="auto"/>
    </w:pPr>
    <w:rPr>
      <w:lang w:val="en-CA" w:eastAsia="en-CA"/>
    </w:rPr>
  </w:style>
  <w:style w:type="paragraph" w:customStyle="1" w:styleId="DA2D3E7AACEF4F7FBB68B18ABACCDB95">
    <w:name w:val="DA2D3E7AACEF4F7FBB68B18ABACCDB95"/>
    <w:rsid w:val="00FF7E70"/>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243C7-BC8C-4C50-BCC3-62B703438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FD6DF-53D3-487D-ADB6-B0B8E78B2531}">
  <ds:schemaRefs>
    <ds:schemaRef ds:uri="http://schemas.microsoft.com/sharepoint/v3/contenttype/forms"/>
  </ds:schemaRefs>
</ds:datastoreItem>
</file>

<file path=customXml/itemProps3.xml><?xml version="1.0" encoding="utf-8"?>
<ds:datastoreItem xmlns:ds="http://schemas.openxmlformats.org/officeDocument/2006/customXml" ds:itemID="{6838EC98-8108-4BB4-A211-1A96FA8BB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D9EFDF-9B73-47DF-81E1-807B2663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1/1.	Preparation of the post-2020 global biodiversity framework:  conclusions of the Working Group at its first meeting</vt:lpstr>
    </vt:vector>
  </TitlesOfParts>
  <Manager/>
  <Company>United Nations</Company>
  <LinksUpToDate>false</LinksUpToDate>
  <CharactersWithSpaces>28094</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Preparation of the post-2020 global biodiversity framework:  conclusions of the Working Group at its first meeting</dc:title>
  <dc:subject>CBD/WG2020/REC/1/1</dc:subject>
  <dc:creator>SCBD</dc:creator>
  <cp:keywords>Open-ended Working Group on the Post-2020 Global Biodiversity Framework, first meeting, Nairobi, Kenya, 27-30 August 2019, Convention on Biological Diversity</cp:keywords>
  <cp:lastModifiedBy>Veronique Lefebvre</cp:lastModifiedBy>
  <cp:revision>7</cp:revision>
  <cp:lastPrinted>2019-09-06T14:33:00Z</cp:lastPrinted>
  <dcterms:created xsi:type="dcterms:W3CDTF">2020-04-27T14:20:00Z</dcterms:created>
  <dcterms:modified xsi:type="dcterms:W3CDTF">2020-04-27T14:25:00Z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OPEN-ENDED WORKING GROUP on the post-2020 global biodiversity framework</vt:lpwstr>
  </property>
  <property fmtid="{D5CDD505-2E9C-101B-9397-08002B2CF9AE}" pid="4" name="ContentTypeId">
    <vt:lpwstr>0x01010069BFACF6D92CD24AA50050CE23F68F74</vt:lpwstr>
  </property>
</Properties>
</file>