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07A6E" w:rsidRPr="00CA1E2F" w14:paraId="472C65F9" w14:textId="77777777" w:rsidTr="00F7793A">
        <w:trPr>
          <w:trHeight w:val="709"/>
        </w:trPr>
        <w:tc>
          <w:tcPr>
            <w:tcW w:w="976" w:type="dxa"/>
            <w:tcBorders>
              <w:bottom w:val="single" w:sz="12" w:space="0" w:color="auto"/>
            </w:tcBorders>
          </w:tcPr>
          <w:p w14:paraId="209A51C8" w14:textId="77777777" w:rsidR="00207A6E" w:rsidRPr="00CA1E2F" w:rsidRDefault="00207A6E" w:rsidP="00F7793A">
            <w:pPr>
              <w:rPr>
                <w:rFonts w:ascii="Times New Roman" w:hAnsi="Times New Roman" w:cs="Times New Roman"/>
                <w:kern w:val="22"/>
                <w:szCs w:val="22"/>
              </w:rPr>
            </w:pPr>
            <w:r>
              <w:rPr>
                <w:noProof/>
              </w:rPr>
              <w:drawing>
                <wp:inline distT="0" distB="0" distL="0" distR="0" wp14:anchorId="7EB54BF0" wp14:editId="0C2F405C">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5B403395" w14:textId="77777777" w:rsidR="00207A6E" w:rsidRPr="00CA1E2F" w:rsidRDefault="00207A6E" w:rsidP="00F7793A">
            <w:pPr>
              <w:rPr>
                <w:rFonts w:ascii="Times New Roman" w:hAnsi="Times New Roman" w:cs="Times New Roman"/>
                <w:kern w:val="22"/>
                <w:szCs w:val="22"/>
              </w:rPr>
            </w:pPr>
            <w:r>
              <w:rPr>
                <w:noProof/>
              </w:rPr>
              <w:drawing>
                <wp:inline distT="0" distB="0" distL="0" distR="0" wp14:anchorId="0BC4BACE" wp14:editId="153F18DA">
                  <wp:extent cx="343700" cy="403200"/>
                  <wp:effectExtent l="0" t="0" r="12065" b="381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4907B15F" w14:textId="77777777" w:rsidR="00207A6E" w:rsidRPr="00CA1E2F" w:rsidRDefault="00207A6E" w:rsidP="00F7793A">
            <w:pPr>
              <w:jc w:val="right"/>
              <w:rPr>
                <w:rFonts w:ascii="Arial" w:hAnsi="Arial" w:cs="Arial"/>
                <w:b/>
                <w:kern w:val="22"/>
                <w:sz w:val="32"/>
                <w:szCs w:val="32"/>
              </w:rPr>
            </w:pPr>
            <w:r>
              <w:rPr>
                <w:rFonts w:ascii="Arial" w:hAnsi="Arial"/>
                <w:b/>
                <w:sz w:val="32"/>
                <w:szCs w:val="32"/>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F16F02" w:rsidRPr="00CA1E2F" w14:paraId="4B53676D" w14:textId="77777777" w:rsidTr="009554D5">
        <w:trPr>
          <w:trHeight w:val="1693"/>
        </w:trPr>
        <w:tc>
          <w:tcPr>
            <w:tcW w:w="6227" w:type="dxa"/>
            <w:tcBorders>
              <w:top w:val="nil"/>
              <w:bottom w:val="single" w:sz="36" w:space="0" w:color="000000"/>
            </w:tcBorders>
          </w:tcPr>
          <w:p w14:paraId="0D50E0D8" w14:textId="77777777" w:rsidR="00F16F02" w:rsidRPr="00CA1E2F" w:rsidRDefault="00F16F02">
            <w:pPr>
              <w:rPr>
                <w:snapToGrid w:val="0"/>
                <w:kern w:val="22"/>
                <w:szCs w:val="22"/>
              </w:rPr>
            </w:pPr>
          </w:p>
          <w:p w14:paraId="72CE7AB5" w14:textId="6E056411" w:rsidR="00F16F02" w:rsidRPr="00CA1E2F" w:rsidRDefault="004E4118" w:rsidP="00736BC2">
            <w:pPr>
              <w:rPr>
                <w:snapToGrid w:val="0"/>
                <w:kern w:val="22"/>
                <w:szCs w:val="22"/>
              </w:rPr>
            </w:pPr>
            <w:r w:rsidRPr="004E4118">
              <w:rPr>
                <w:noProof/>
                <w:lang w:val="es-ES_tradnl"/>
              </w:rPr>
              <w:drawing>
                <wp:inline distT="0" distB="0" distL="0" distR="0" wp14:anchorId="76054871" wp14:editId="0DBB85B7">
                  <wp:extent cx="2905125" cy="10763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p w14:paraId="76467374" w14:textId="77777777" w:rsidR="00F16F02" w:rsidRPr="0072663B" w:rsidRDefault="00F16F02">
            <w:pPr>
              <w:rPr>
                <w:snapToGrid w:val="0"/>
                <w:kern w:val="22"/>
                <w:szCs w:val="22"/>
              </w:rPr>
            </w:pPr>
          </w:p>
        </w:tc>
        <w:tc>
          <w:tcPr>
            <w:tcW w:w="1144" w:type="dxa"/>
            <w:tcBorders>
              <w:top w:val="nil"/>
              <w:bottom w:val="single" w:sz="36" w:space="0" w:color="000000"/>
            </w:tcBorders>
          </w:tcPr>
          <w:p w14:paraId="07C8132B" w14:textId="77777777" w:rsidR="00F16F02" w:rsidRPr="00CA1E2F" w:rsidRDefault="00F16F02">
            <w:pPr>
              <w:pStyle w:val="Encabezado"/>
              <w:tabs>
                <w:tab w:val="clear" w:pos="4320"/>
                <w:tab w:val="clear" w:pos="8640"/>
              </w:tabs>
              <w:rPr>
                <w:b/>
                <w:snapToGrid w:val="0"/>
                <w:kern w:val="22"/>
                <w:szCs w:val="22"/>
              </w:rPr>
            </w:pPr>
          </w:p>
        </w:tc>
        <w:tc>
          <w:tcPr>
            <w:tcW w:w="2977" w:type="dxa"/>
            <w:tcBorders>
              <w:top w:val="nil"/>
              <w:bottom w:val="single" w:sz="36" w:space="0" w:color="000000"/>
            </w:tcBorders>
          </w:tcPr>
          <w:p w14:paraId="21940D00" w14:textId="77777777" w:rsidR="00F16F02" w:rsidRPr="00CA1E2F" w:rsidRDefault="00F16F02" w:rsidP="003B24CB">
            <w:pPr>
              <w:ind w:left="62"/>
              <w:jc w:val="left"/>
              <w:rPr>
                <w:snapToGrid w:val="0"/>
                <w:kern w:val="22"/>
                <w:szCs w:val="22"/>
              </w:rPr>
            </w:pPr>
            <w:r>
              <w:rPr>
                <w:snapToGrid w:val="0"/>
                <w:szCs w:val="22"/>
              </w:rPr>
              <w:t>Distr.</w:t>
            </w:r>
          </w:p>
          <w:p w14:paraId="47C36B34" w14:textId="50387803" w:rsidR="00F16F02" w:rsidRPr="00CA1E2F" w:rsidRDefault="008A4AD7" w:rsidP="003B24CB">
            <w:pPr>
              <w:ind w:left="62"/>
              <w:jc w:val="left"/>
              <w:rPr>
                <w:snapToGrid w:val="0"/>
                <w:kern w:val="22"/>
                <w:szCs w:val="22"/>
              </w:rPr>
            </w:pPr>
            <w:r>
              <w:rPr>
                <w:snapToGrid w:val="0"/>
                <w:szCs w:val="22"/>
              </w:rPr>
              <w:t>GENERAL</w:t>
            </w:r>
          </w:p>
          <w:p w14:paraId="2EF47831" w14:textId="77777777" w:rsidR="00F16F02" w:rsidRPr="00CA1E2F" w:rsidRDefault="00F16F02" w:rsidP="003B24CB">
            <w:pPr>
              <w:ind w:left="62"/>
              <w:jc w:val="left"/>
              <w:rPr>
                <w:snapToGrid w:val="0"/>
                <w:kern w:val="22"/>
                <w:szCs w:val="22"/>
              </w:rPr>
            </w:pPr>
          </w:p>
          <w:sdt>
            <w:sdtPr>
              <w:rPr>
                <w:kern w:val="22"/>
                <w:szCs w:val="22"/>
              </w:rPr>
              <w:alias w:val="Subject"/>
              <w:tag w:val=""/>
              <w:id w:val="-344942035"/>
              <w:placeholder>
                <w:docPart w:val="126C0E10A71F4EFDB18FEF1D2C7A7ABF"/>
              </w:placeholder>
              <w:dataBinding w:prefixMappings="xmlns:ns0='http://purl.org/dc/elements/1.1/' xmlns:ns1='http://schemas.openxmlformats.org/package/2006/metadata/core-properties' " w:xpath="/ns1:coreProperties[1]/ns0:subject[1]" w:storeItemID="{6C3C8BC8-F283-45AE-878A-BAB7291924A1}"/>
              <w:text/>
            </w:sdtPr>
            <w:sdtEndPr/>
            <w:sdtContent>
              <w:p w14:paraId="73B3C285" w14:textId="1FA94D55" w:rsidR="00F16F02" w:rsidRPr="00CA1E2F" w:rsidRDefault="00252222" w:rsidP="003B24CB">
                <w:pPr>
                  <w:ind w:left="62"/>
                  <w:jc w:val="left"/>
                  <w:rPr>
                    <w:snapToGrid w:val="0"/>
                    <w:kern w:val="22"/>
                    <w:szCs w:val="22"/>
                  </w:rPr>
                </w:pPr>
                <w:r w:rsidRPr="00CA1E2F">
                  <w:rPr>
                    <w:kern w:val="22"/>
                    <w:szCs w:val="22"/>
                  </w:rPr>
                  <w:t>CBD/WG2020/</w:t>
                </w:r>
                <w:r>
                  <w:rPr>
                    <w:kern w:val="22"/>
                    <w:szCs w:val="22"/>
                  </w:rPr>
                  <w:t>REC/</w:t>
                </w:r>
                <w:r w:rsidRPr="00CA1E2F">
                  <w:rPr>
                    <w:kern w:val="22"/>
                    <w:szCs w:val="22"/>
                  </w:rPr>
                  <w:t>1/</w:t>
                </w:r>
                <w:r>
                  <w:rPr>
                    <w:kern w:val="22"/>
                    <w:szCs w:val="22"/>
                  </w:rPr>
                  <w:t>1</w:t>
                </w:r>
              </w:p>
            </w:sdtContent>
          </w:sdt>
          <w:p w14:paraId="523A5689" w14:textId="2B0C78E3" w:rsidR="00F16F02" w:rsidRPr="00CA1E2F" w:rsidRDefault="00B42024" w:rsidP="003B24CB">
            <w:pPr>
              <w:ind w:left="62"/>
              <w:jc w:val="left"/>
              <w:rPr>
                <w:snapToGrid w:val="0"/>
                <w:kern w:val="22"/>
                <w:szCs w:val="22"/>
              </w:rPr>
            </w:pPr>
            <w:r>
              <w:rPr>
                <w:snapToGrid w:val="0"/>
                <w:szCs w:val="22"/>
              </w:rPr>
              <w:t>30 de agosto de 2019</w:t>
            </w:r>
          </w:p>
          <w:p w14:paraId="2316A71A" w14:textId="77777777" w:rsidR="00F16F02" w:rsidRPr="00CA1E2F" w:rsidRDefault="00F16F02" w:rsidP="003B24CB">
            <w:pPr>
              <w:ind w:left="62"/>
              <w:jc w:val="left"/>
              <w:rPr>
                <w:snapToGrid w:val="0"/>
                <w:kern w:val="22"/>
                <w:szCs w:val="22"/>
              </w:rPr>
            </w:pPr>
          </w:p>
          <w:p w14:paraId="00EBCECC" w14:textId="77777777" w:rsidR="004E4118" w:rsidRDefault="00F16F02" w:rsidP="003B24CB">
            <w:pPr>
              <w:ind w:left="62"/>
              <w:jc w:val="left"/>
              <w:rPr>
                <w:snapToGrid w:val="0"/>
                <w:szCs w:val="22"/>
              </w:rPr>
            </w:pPr>
            <w:r>
              <w:rPr>
                <w:snapToGrid w:val="0"/>
                <w:szCs w:val="22"/>
              </w:rPr>
              <w:t>ESPAÑOL</w:t>
            </w:r>
          </w:p>
          <w:p w14:paraId="37156869" w14:textId="6537DEFD" w:rsidR="00F16F02" w:rsidRPr="00CA1E2F" w:rsidRDefault="00F16F02" w:rsidP="003B24CB">
            <w:pPr>
              <w:ind w:left="62"/>
              <w:jc w:val="left"/>
              <w:rPr>
                <w:snapToGrid w:val="0"/>
                <w:kern w:val="22"/>
                <w:szCs w:val="22"/>
                <w:u w:val="single"/>
              </w:rPr>
            </w:pPr>
            <w:r>
              <w:rPr>
                <w:snapToGrid w:val="0"/>
                <w:szCs w:val="22"/>
              </w:rPr>
              <w:t>ORIGINAL:</w:t>
            </w:r>
            <w:r w:rsidR="004E4118">
              <w:rPr>
                <w:snapToGrid w:val="0"/>
                <w:szCs w:val="22"/>
              </w:rPr>
              <w:t xml:space="preserve"> </w:t>
            </w:r>
            <w:r>
              <w:rPr>
                <w:snapToGrid w:val="0"/>
                <w:szCs w:val="22"/>
              </w:rPr>
              <w:t>INGLÉS</w:t>
            </w:r>
          </w:p>
        </w:tc>
      </w:tr>
    </w:tbl>
    <w:bookmarkStart w:id="0" w:name="Meeting"/>
    <w:p w14:paraId="59B38DEC" w14:textId="7CC36985" w:rsidR="00CA6B87" w:rsidRPr="00225964" w:rsidRDefault="0098561F" w:rsidP="00780276">
      <w:pPr>
        <w:pStyle w:val="meetingname"/>
        <w:ind w:right="5816"/>
        <w:jc w:val="left"/>
        <w:rPr>
          <w:kern w:val="22"/>
        </w:rPr>
      </w:pPr>
      <w:sdt>
        <w:sdtPr>
          <w:rPr>
            <w:kern w:val="22"/>
          </w:rPr>
          <w:alias w:val="Reunión"/>
          <w:tag w:val="Meeting"/>
          <w:id w:val="1412045910"/>
          <w:placeholder>
            <w:docPart w:val="DefaultPlaceholder_1082065158"/>
          </w:placeholder>
          <w:text/>
        </w:sdtPr>
        <w:sdtEndPr/>
        <w:sdtContent>
          <w:r w:rsidR="009F0345">
            <w:t>GRUPO DE TRABAJO DE COMPOSICIÓN ABIERTA SOBRE EL MARCO MUNDIAL DE LA DIVERSIDAD BIOLÓGICA POSTERIOR A 2020</w:t>
          </w:r>
        </w:sdtContent>
      </w:sdt>
      <w:bookmarkEnd w:id="0"/>
    </w:p>
    <w:p w14:paraId="585881F5" w14:textId="77777777" w:rsidR="00D51069" w:rsidRPr="00225964" w:rsidRDefault="00B6487F" w:rsidP="00DA5D37">
      <w:pPr>
        <w:rPr>
          <w:snapToGrid w:val="0"/>
          <w:kern w:val="22"/>
          <w:szCs w:val="22"/>
        </w:rPr>
      </w:pPr>
      <w:r>
        <w:rPr>
          <w:snapToGrid w:val="0"/>
          <w:szCs w:val="22"/>
        </w:rPr>
        <w:t>Primera reunión</w:t>
      </w:r>
    </w:p>
    <w:p w14:paraId="567E6B12" w14:textId="65211ECF" w:rsidR="00CA6B87" w:rsidRPr="00225964" w:rsidRDefault="00143C15" w:rsidP="00DA5D37">
      <w:pPr>
        <w:rPr>
          <w:snapToGrid w:val="0"/>
          <w:kern w:val="22"/>
          <w:szCs w:val="22"/>
        </w:rPr>
      </w:pPr>
      <w:r>
        <w:rPr>
          <w:snapToGrid w:val="0"/>
          <w:szCs w:val="22"/>
        </w:rPr>
        <w:t>Nairobi, 27</w:t>
      </w:r>
      <w:r w:rsidR="00444811">
        <w:rPr>
          <w:snapToGrid w:val="0"/>
          <w:szCs w:val="22"/>
        </w:rPr>
        <w:t> </w:t>
      </w:r>
      <w:r>
        <w:rPr>
          <w:snapToGrid w:val="0"/>
          <w:szCs w:val="22"/>
        </w:rPr>
        <w:t>a 30 de agosto de 2019</w:t>
      </w:r>
    </w:p>
    <w:sdt>
      <w:sdtPr>
        <w:rPr>
          <w:snapToGrid w:val="0"/>
          <w:kern w:val="22"/>
          <w:szCs w:val="22"/>
        </w:rPr>
        <w:alias w:val="Title"/>
        <w:tag w:val=""/>
        <w:id w:val="1532753429"/>
        <w:placeholder>
          <w:docPart w:val="5B6B971DB27343279FDA99BE14B766AD"/>
        </w:placeholder>
        <w:dataBinding w:prefixMappings="xmlns:ns0='http://purl.org/dc/elements/1.1/' xmlns:ns1='http://schemas.openxmlformats.org/package/2006/metadata/core-properties' " w:xpath="/ns1:coreProperties[1]/ns0:title[1]" w:storeItemID="{6C3C8BC8-F283-45AE-878A-BAB7291924A1}"/>
        <w:text/>
      </w:sdtPr>
      <w:sdtEndPr/>
      <w:sdtContent>
        <w:p w14:paraId="4ADE6DED" w14:textId="6EE2DF5C" w:rsidR="007A3F5E" w:rsidRPr="00780276" w:rsidRDefault="00E01C6B" w:rsidP="003B24CB">
          <w:pPr>
            <w:pStyle w:val="Ttulo1"/>
            <w:tabs>
              <w:tab w:val="clear" w:pos="720"/>
            </w:tabs>
            <w:spacing w:after="240"/>
            <w:rPr>
              <w:snapToGrid w:val="0"/>
              <w:kern w:val="22"/>
              <w:szCs w:val="22"/>
            </w:rPr>
          </w:pPr>
          <w:r w:rsidRPr="00E01C6B">
            <w:rPr>
              <w:snapToGrid w:val="0"/>
              <w:kern w:val="22"/>
              <w:szCs w:val="22"/>
            </w:rPr>
            <w:t>1/1.</w:t>
          </w:r>
          <w:r w:rsidRPr="00E01C6B">
            <w:rPr>
              <w:snapToGrid w:val="0"/>
              <w:kern w:val="22"/>
              <w:szCs w:val="22"/>
            </w:rPr>
            <w:tab/>
          </w:r>
          <w:r>
            <w:rPr>
              <w:caps w:val="0"/>
              <w:snapToGrid w:val="0"/>
              <w:kern w:val="22"/>
              <w:szCs w:val="22"/>
            </w:rPr>
            <w:t>P</w:t>
          </w:r>
          <w:r w:rsidRPr="00E01C6B">
            <w:rPr>
              <w:caps w:val="0"/>
              <w:snapToGrid w:val="0"/>
              <w:kern w:val="22"/>
              <w:szCs w:val="22"/>
            </w:rPr>
            <w:t>reparación del marco mundial de la diversidad biológica posterior a 2020:  conclusiones del grupo de trabajo en su primera reunión</w:t>
          </w:r>
        </w:p>
      </w:sdtContent>
    </w:sdt>
    <w:p w14:paraId="7F8E6EE7" w14:textId="77777777" w:rsidR="001E2016" w:rsidRPr="00EE2D64" w:rsidRDefault="001E2016">
      <w:pPr>
        <w:suppressLineNumbers/>
        <w:suppressAutoHyphens/>
        <w:spacing w:before="120" w:after="120"/>
        <w:ind w:firstLine="720"/>
        <w:rPr>
          <w:rFonts w:eastAsia="Malgun Gothic"/>
          <w:i/>
          <w:snapToGrid w:val="0"/>
          <w:kern w:val="22"/>
          <w:szCs w:val="22"/>
        </w:rPr>
      </w:pPr>
      <w:r>
        <w:rPr>
          <w:i/>
          <w:snapToGrid w:val="0"/>
          <w:szCs w:val="22"/>
        </w:rPr>
        <w:t>El Grupo de Trabajo de Composición Abierta sobre el Marco Mundial de la Diversidad Biológica posterior a 2020,</w:t>
      </w:r>
    </w:p>
    <w:p w14:paraId="16419EC3" w14:textId="07A0A1A7" w:rsidR="001E2016" w:rsidRPr="00EE2D64" w:rsidRDefault="001E2016" w:rsidP="00412F38">
      <w:pPr>
        <w:pStyle w:val="Para10"/>
        <w:numPr>
          <w:ilvl w:val="0"/>
          <w:numId w:val="0"/>
        </w:numPr>
        <w:suppressLineNumbers/>
        <w:tabs>
          <w:tab w:val="left" w:pos="720"/>
        </w:tabs>
        <w:suppressAutoHyphens/>
        <w:ind w:firstLine="720"/>
        <w:rPr>
          <w:kern w:val="22"/>
          <w:szCs w:val="22"/>
        </w:rPr>
      </w:pPr>
      <w:r>
        <w:rPr>
          <w:i/>
          <w:szCs w:val="22"/>
        </w:rPr>
        <w:t xml:space="preserve">Acogiendo con satisfacción </w:t>
      </w:r>
      <w:r>
        <w:t xml:space="preserve">los progresos realizados en la aplicación de la decisión </w:t>
      </w:r>
      <w:hyperlink r:id="rId14" w:history="1">
        <w:r>
          <w:rPr>
            <w:rStyle w:val="Hipervnculo"/>
            <w:sz w:val="22"/>
            <w:szCs w:val="22"/>
          </w:rPr>
          <w:t>14/34</w:t>
        </w:r>
      </w:hyperlink>
      <w:r>
        <w:t xml:space="preserve"> sobre el proceso preparatorio para la elaboración del marco mundial de la diversidad biológica posterior a 2020 y otras decisiones pertinentes, y el trabajo futuro sobre varias cuestiones pertinentes que se estudiarán en las próximas reuniones entre períodos de sesiones en virtud del Convenio y sus Protocolos,</w:t>
      </w:r>
    </w:p>
    <w:p w14:paraId="6E7468A4" w14:textId="5DDA374E" w:rsidR="001E2016" w:rsidRPr="00EE2D64" w:rsidRDefault="001E2016" w:rsidP="00412F38">
      <w:pPr>
        <w:pStyle w:val="Para10"/>
        <w:numPr>
          <w:ilvl w:val="0"/>
          <w:numId w:val="0"/>
        </w:numPr>
        <w:suppressLineNumbers/>
        <w:tabs>
          <w:tab w:val="left" w:pos="720"/>
        </w:tabs>
        <w:suppressAutoHyphens/>
        <w:ind w:firstLine="720"/>
        <w:rPr>
          <w:kern w:val="22"/>
          <w:szCs w:val="22"/>
        </w:rPr>
      </w:pPr>
      <w:r>
        <w:rPr>
          <w:i/>
          <w:szCs w:val="22"/>
        </w:rPr>
        <w:t>Reiterando</w:t>
      </w:r>
      <w:r>
        <w:t xml:space="preserve"> que el proceso de elaboración del marco mundial de la diversidad biológica posterior a 2020 sigue estando impulsado por las Partes y se guía por los principios enunciados en la sección A, párrafo 2, del anexo de la decisión 14/34 y es participativo, inclusivo, con perspectiva de género, transformador, exhaustivo, catalítico, transparente y flexible, dando debida consideración a la participación equilibrada de los distintos interesados directos,</w:t>
      </w:r>
    </w:p>
    <w:p w14:paraId="02DF5890" w14:textId="7347BF9F" w:rsidR="001E2016" w:rsidRPr="00EE2D64" w:rsidRDefault="001E2016" w:rsidP="00412F38">
      <w:pPr>
        <w:pStyle w:val="Para10"/>
        <w:numPr>
          <w:ilvl w:val="0"/>
          <w:numId w:val="0"/>
        </w:numPr>
        <w:suppressLineNumbers/>
        <w:tabs>
          <w:tab w:val="left" w:pos="720"/>
        </w:tabs>
        <w:suppressAutoHyphens/>
        <w:ind w:firstLine="720"/>
        <w:rPr>
          <w:rFonts w:eastAsia="Malgun Gothic"/>
          <w:kern w:val="22"/>
          <w:szCs w:val="22"/>
        </w:rPr>
      </w:pPr>
      <w:r>
        <w:rPr>
          <w:i/>
          <w:szCs w:val="22"/>
        </w:rPr>
        <w:t>Reafirmando</w:t>
      </w:r>
      <w:r>
        <w:t>, de conformidad con los párrafos 6 y 7 de la decisión 14/34, la necesidad de una participación permanente y activa de los pueblos indígenas y las comunidades locales, organizaciones y programas de las Naciones Unidas, otros acuerdos ambientales multilaterales, gobiernos subnacionales, ciudades y otras autoridades locales, organizaciones intergubernamentales, organizaciones no gubernamentales, grupos de mujeres, grupos de jóvenes, la comunidad de los sectores empresarial y financiero, la comunidad científica, círculos académicos, organizaciones confesionales, ciudadanos y otros interesados directos, y su contribución al proceso de elaboración de un sólido marco mundial de la diversidad biológica posterior a 2020,</w:t>
      </w:r>
    </w:p>
    <w:p w14:paraId="4D553EE3" w14:textId="1B23D027" w:rsidR="001E2016" w:rsidRPr="00780276" w:rsidRDefault="001E2016" w:rsidP="00412F38">
      <w:pPr>
        <w:spacing w:before="120" w:after="120"/>
        <w:ind w:firstLine="720"/>
        <w:rPr>
          <w:spacing w:val="-4"/>
          <w:kern w:val="22"/>
          <w:szCs w:val="22"/>
        </w:rPr>
      </w:pPr>
      <w:r>
        <w:t>1.</w:t>
      </w:r>
      <w:r>
        <w:tab/>
      </w:r>
      <w:r>
        <w:rPr>
          <w:i/>
          <w:szCs w:val="22"/>
        </w:rPr>
        <w:t>Acoge con satisfacción</w:t>
      </w:r>
      <w:r>
        <w:t xml:space="preserve"> el generoso ofrecimiento de China de acoger una reunión adicional del Grupo de Trabajo sobre el Marco Mundial de la Diversidad Biológica posterior a 2020 en Kunming, provincia de Yunnan, del 24 al 28 de febrero de 2020;</w:t>
      </w:r>
    </w:p>
    <w:p w14:paraId="5A5A7B9C" w14:textId="47F52C94" w:rsidR="001E2016" w:rsidRPr="00780276" w:rsidRDefault="001E2016" w:rsidP="00412F38">
      <w:pPr>
        <w:spacing w:before="120" w:after="120"/>
        <w:ind w:firstLine="720"/>
        <w:rPr>
          <w:kern w:val="22"/>
          <w:szCs w:val="22"/>
        </w:rPr>
      </w:pPr>
      <w:r>
        <w:t>2.</w:t>
      </w:r>
      <w:r>
        <w:tab/>
      </w:r>
      <w:r>
        <w:rPr>
          <w:i/>
          <w:szCs w:val="22"/>
        </w:rPr>
        <w:t>Acoge con satisfacción también</w:t>
      </w:r>
      <w:r>
        <w:t xml:space="preserve"> el ofrecimiento de Colombia de acoger la tercera reunión del Grupo de Trabajo en Cali, del 27 al 31 de julio de 2020, y </w:t>
      </w:r>
      <w:r>
        <w:rPr>
          <w:i/>
          <w:szCs w:val="22"/>
        </w:rPr>
        <w:t>agradece</w:t>
      </w:r>
      <w:r>
        <w:t xml:space="preserve"> el apoyo de Noruega para la organización de esta reunión;</w:t>
      </w:r>
    </w:p>
    <w:p w14:paraId="5C44E4CA" w14:textId="77777777" w:rsidR="001E2016" w:rsidRPr="00EE2D64" w:rsidRDefault="001E2016" w:rsidP="00412F38">
      <w:pPr>
        <w:spacing w:before="120" w:after="120"/>
        <w:ind w:firstLine="720"/>
        <w:rPr>
          <w:rFonts w:eastAsia="Malgun Gothic"/>
          <w:kern w:val="22"/>
          <w:szCs w:val="22"/>
        </w:rPr>
      </w:pPr>
      <w:r>
        <w:t>3.</w:t>
      </w:r>
      <w:r>
        <w:rPr>
          <w:snapToGrid w:val="0"/>
          <w:szCs w:val="22"/>
        </w:rPr>
        <w:tab/>
      </w:r>
      <w:r>
        <w:rPr>
          <w:i/>
          <w:snapToGrid w:val="0"/>
          <w:szCs w:val="22"/>
        </w:rPr>
        <w:t>Invita</w:t>
      </w:r>
      <w:r>
        <w:rPr>
          <w:snapToGrid w:val="0"/>
          <w:szCs w:val="22"/>
        </w:rPr>
        <w:t xml:space="preserve"> a las Partes, otros Gobiernos, organizaciones pertinentes e interesados directos a que, a más tardar el 15 de septiembre de 2019, presenten a la Secretaria Ejecutiva propuestas sobre la estructura del marco mundial de la diversidad biológica posterior a 2020;</w:t>
      </w:r>
    </w:p>
    <w:p w14:paraId="5A0A0068" w14:textId="244551AC" w:rsidR="001E2016" w:rsidRPr="00EE2D64" w:rsidRDefault="001E2016" w:rsidP="00412F38">
      <w:pPr>
        <w:spacing w:before="120" w:after="120"/>
        <w:ind w:firstLine="720"/>
        <w:rPr>
          <w:rFonts w:eastAsia="Malgun Gothic"/>
          <w:kern w:val="22"/>
          <w:szCs w:val="22"/>
        </w:rPr>
      </w:pPr>
      <w:r>
        <w:lastRenderedPageBreak/>
        <w:t>4.</w:t>
      </w:r>
      <w:r>
        <w:rPr>
          <w:i/>
          <w:szCs w:val="22"/>
        </w:rPr>
        <w:tab/>
        <w:t>Pide</w:t>
      </w:r>
      <w:r>
        <w:t xml:space="preserve"> a los Copresidentes y a la Secretaria Ejecutiva que, con la supervisión de la Mesa, continúen con el proceso preparatorio de conformidad con las decisiones 14/34, </w:t>
      </w:r>
      <w:hyperlink r:id="rId15" w:history="1">
        <w:r>
          <w:rPr>
            <w:rStyle w:val="Hipervnculo"/>
            <w:sz w:val="22"/>
            <w:szCs w:val="22"/>
          </w:rPr>
          <w:t>CP-9/7</w:t>
        </w:r>
      </w:hyperlink>
      <w:r>
        <w:t xml:space="preserve"> y </w:t>
      </w:r>
      <w:hyperlink r:id="rId16" w:history="1">
        <w:r>
          <w:rPr>
            <w:rStyle w:val="Hipervnculo"/>
            <w:sz w:val="22"/>
            <w:szCs w:val="22"/>
          </w:rPr>
          <w:t>NP-3/15</w:t>
        </w:r>
      </w:hyperlink>
      <w:r>
        <w:t>, y que preparen documentación, incluido el texto de un borrador preliminar del marco mundial de la diversidad biológica posterior a 2020, seis semanas antes de la 2ª reunión del Grupo de Trabajo, sobre la base de las deliberaciones que se mantuvieron en esta primera reunión, incluidas las opiniones preliminares que figuran en el anexo I, así como las conclusiones de la 11ª reunión del Grupo de Trabajo Especial de Composición Abierta sobre el Artículo 8 j) y Disposiciones Conexas y la 23ª reunión del Órgano Subsidiario de Asesoramiento Científico, Técnico y Tecnológico, y las conclusiones de otras reuniones, consultas y talleres pertinentes, así como aportaciones adicionales de las Partes y de observadores, con el fin de facilitar la labor del Grupo de Trabajo en su 2ª reunión, y que presenten una sinopsis del borrador preliminar en la sesión oficiosa que se mantendrá el 24 de noviembre de 2019.</w:t>
      </w:r>
    </w:p>
    <w:p w14:paraId="4CBE8C9E" w14:textId="77777777" w:rsidR="001E2016" w:rsidRPr="00EE2D64" w:rsidRDefault="001E2016">
      <w:pPr>
        <w:pStyle w:val="Para10"/>
        <w:numPr>
          <w:ilvl w:val="0"/>
          <w:numId w:val="0"/>
        </w:numPr>
        <w:suppressLineNumbers/>
        <w:tabs>
          <w:tab w:val="left" w:pos="720"/>
        </w:tabs>
        <w:suppressAutoHyphens/>
        <w:ind w:firstLine="720"/>
        <w:rPr>
          <w:kern w:val="22"/>
          <w:szCs w:val="22"/>
        </w:rPr>
      </w:pPr>
      <w:r>
        <w:t>5.</w:t>
      </w:r>
      <w:r>
        <w:tab/>
      </w:r>
      <w:r>
        <w:rPr>
          <w:i/>
          <w:szCs w:val="22"/>
        </w:rPr>
        <w:t xml:space="preserve">Toma nota </w:t>
      </w:r>
      <w:r>
        <w:t xml:space="preserve">de la lista preliminar de reuniones, consultas y talleres para la elaboración del marco mundial de la diversidad biológica posterior a 2020 que figura en el anexo II, que incluye tres cuadros en los que se enumeran, respectivamente, las reuniones que se celebrarán por mandato de la Conferencia de las Partes, otras consultas y talleres propuestos por los Copresidentes y la Secretaria Ejecutiva y reuniones convocadas por asociados; </w:t>
      </w:r>
    </w:p>
    <w:p w14:paraId="45256662" w14:textId="23BBFD63" w:rsidR="001E2016" w:rsidRPr="00EE2D64" w:rsidRDefault="001E2016" w:rsidP="00780276">
      <w:pPr>
        <w:pStyle w:val="Para10"/>
        <w:numPr>
          <w:ilvl w:val="0"/>
          <w:numId w:val="0"/>
        </w:numPr>
        <w:suppressLineNumbers/>
        <w:tabs>
          <w:tab w:val="left" w:pos="720"/>
        </w:tabs>
        <w:suppressAutoHyphens/>
        <w:ind w:firstLine="720"/>
        <w:rPr>
          <w:kern w:val="22"/>
          <w:szCs w:val="22"/>
        </w:rPr>
      </w:pPr>
      <w:r>
        <w:t>6.</w:t>
      </w:r>
      <w:r>
        <w:tab/>
      </w:r>
      <w:r>
        <w:rPr>
          <w:i/>
          <w:szCs w:val="22"/>
        </w:rPr>
        <w:t>Pide</w:t>
      </w:r>
      <w:r>
        <w:t xml:space="preserve"> a los Copresidentes y a la Secretaria Ejecutiva que, en consulta con las Presidencias del Órgano Subsidiario de Asesoramiento Científico, Técnico y Tecnológico y del Órgano Subsidiario sobre la Aplicación, con la supervisión de la Mesa de la Conferencia de las Partes, tomando en cuenta las deliberaciones que se mantuvieron en la primera reunión del Grupo de Trabajo, incluidos el anexo I y el segundo cuadro del anexo II (reuniones oficiosas), y utilizando las notas conceptuales revisadas, formulen un plan de trabajo detallado, de manera tal que se atiendan equilibradamente los tres objetivos del Convenio, y de conformidad con los principios expuestos en la decisión 14/34, donde se esbocen un concepto estratégico para las consultas y talleres, y otras formas de consulta, y el mandato y las modalidades para la participación de las Partes y otros en cada reunión o consulta, reconociendo que el anexo será un documento vivo y aclarando de qué manera se tendrá en cuenta cada resultado en la elaboración del marco mundial de la diversidad biológica posterior a 2020, y que lo presenten en la sesión oficiosa que se mantendrá el 24 de noviembre de 2019;</w:t>
      </w:r>
    </w:p>
    <w:p w14:paraId="46D5A766" w14:textId="6E82A5F7" w:rsidR="001E2016" w:rsidRPr="00EE2D64" w:rsidRDefault="001E2016" w:rsidP="00780276">
      <w:pPr>
        <w:pStyle w:val="Para10"/>
        <w:numPr>
          <w:ilvl w:val="0"/>
          <w:numId w:val="0"/>
        </w:numPr>
        <w:suppressLineNumbers/>
        <w:tabs>
          <w:tab w:val="left" w:pos="720"/>
        </w:tabs>
        <w:suppressAutoHyphens/>
        <w:ind w:firstLine="720"/>
        <w:rPr>
          <w:rFonts w:eastAsia="Malgun Gothic"/>
          <w:kern w:val="22"/>
          <w:szCs w:val="22"/>
        </w:rPr>
      </w:pPr>
      <w:r>
        <w:t>7.</w:t>
      </w:r>
      <w:r>
        <w:tab/>
      </w:r>
      <w:r>
        <w:rPr>
          <w:i/>
          <w:szCs w:val="22"/>
        </w:rPr>
        <w:t>Invita</w:t>
      </w:r>
      <w:r>
        <w:t xml:space="preserve"> al Órgano Subsidiario de Asesoramiento Científico, Técnico y Tecnológico, al Órgano Subsidiario sobre la Aplicación y al Grupo de Trabajo Especial de Composición Abierta sobre el Artículo 8 j) y Disposiciones Conexas a que emprendan las tareas acordadas, incluidas aquellas indicadas en el anexo II, y lleven a la atención del Grupo de Trabajo cualquier recomendación adicional pertinente para el marco mundial de la diversidad biológica posterior a 2020 que surja de las deliberaciones que mantengan con anterioridad a la 15ª reunión de la Conferencia de las Partes, y en concreto, haciendo referencia a las conclusiones del informe de la evaluación mundial de la diversidad biológica y los servicios de los ecosistemas preparado por la Plataforma Intergubernamental Científico-Normativa sobre Diversidad Biológica y Servicios de los Ecosistemas:</w:t>
      </w:r>
    </w:p>
    <w:p w14:paraId="0D83E02E" w14:textId="77E23414" w:rsidR="001E2016" w:rsidRPr="00225964" w:rsidRDefault="001E2016">
      <w:pPr>
        <w:pStyle w:val="Para10"/>
        <w:numPr>
          <w:ilvl w:val="0"/>
          <w:numId w:val="0"/>
        </w:numPr>
        <w:suppressLineNumbers/>
        <w:tabs>
          <w:tab w:val="left" w:pos="720"/>
        </w:tabs>
        <w:suppressAutoHyphens/>
        <w:ind w:firstLine="720"/>
        <w:rPr>
          <w:rFonts w:eastAsia="Malgun Gothic"/>
          <w:kern w:val="22"/>
          <w:szCs w:val="22"/>
        </w:rPr>
      </w:pPr>
      <w:r>
        <w:t>a)</w:t>
      </w:r>
      <w:r>
        <w:tab/>
      </w:r>
      <w:r>
        <w:rPr>
          <w:i/>
          <w:szCs w:val="22"/>
        </w:rPr>
        <w:t>Invita</w:t>
      </w:r>
      <w:r>
        <w:t xml:space="preserve"> al Órgano Subsidiario de Asesoramiento Científico, Técnico y Tecnológico a que proporcione elementos de orientación sobre objetivos específicos, metas específicas, medibles, viables, basadas en resultados y con plazos (SMART), indicadores, bases de referencia y marcos de seguimiento, en relación con los impulsores de la pérdida de diversidad biológica, con miras a lograr un cambio transformador, dentro del alcance de los tres objetivos del Convenio;</w:t>
      </w:r>
    </w:p>
    <w:p w14:paraId="173BFC50" w14:textId="499372C6" w:rsidR="001E2016" w:rsidRPr="00225964" w:rsidRDefault="001E2016" w:rsidP="00412F38">
      <w:pPr>
        <w:pStyle w:val="Para10"/>
        <w:numPr>
          <w:ilvl w:val="0"/>
          <w:numId w:val="0"/>
        </w:numPr>
        <w:suppressLineNumbers/>
        <w:tabs>
          <w:tab w:val="left" w:pos="720"/>
        </w:tabs>
        <w:suppressAutoHyphens/>
        <w:ind w:firstLine="720"/>
        <w:rPr>
          <w:rFonts w:eastAsia="Malgun Gothic"/>
          <w:kern w:val="22"/>
          <w:szCs w:val="22"/>
        </w:rPr>
      </w:pPr>
      <w:r>
        <w:t>b)</w:t>
      </w:r>
      <w:r>
        <w:tab/>
      </w:r>
      <w:r>
        <w:rPr>
          <w:i/>
          <w:szCs w:val="22"/>
        </w:rPr>
        <w:t>Invita</w:t>
      </w:r>
      <w:r>
        <w:t xml:space="preserve"> al Grupo de Trabajo Especial de Composición Abierta sobre el Artículo 8 j) y Disposiciones Conexas a que, al elaborar su programa de trabajo futuro, considere los aspectos pertinentes;</w:t>
      </w:r>
    </w:p>
    <w:p w14:paraId="734B33FE" w14:textId="3BF4CEA3" w:rsidR="001E2016" w:rsidRPr="00225964" w:rsidRDefault="001E2016" w:rsidP="00412F38">
      <w:pPr>
        <w:pStyle w:val="Para10"/>
        <w:numPr>
          <w:ilvl w:val="0"/>
          <w:numId w:val="0"/>
        </w:numPr>
        <w:suppressLineNumbers/>
        <w:tabs>
          <w:tab w:val="left" w:pos="720"/>
        </w:tabs>
        <w:suppressAutoHyphens/>
        <w:ind w:firstLine="720"/>
        <w:rPr>
          <w:rFonts w:eastAsia="Malgun Gothic"/>
          <w:kern w:val="22"/>
          <w:szCs w:val="22"/>
        </w:rPr>
      </w:pPr>
      <w:r>
        <w:t>c)</w:t>
      </w:r>
      <w:r>
        <w:tab/>
      </w:r>
      <w:r>
        <w:rPr>
          <w:i/>
          <w:szCs w:val="22"/>
        </w:rPr>
        <w:t>Invita</w:t>
      </w:r>
      <w:r>
        <w:t xml:space="preserve"> al Grupo Asesor Oficioso sobre la Integración a que, en su informe a la tercera reunión del Órgano Subsidiario sobre la Aplicación, incluya propuestas concretas según proceda;</w:t>
      </w:r>
    </w:p>
    <w:p w14:paraId="27169A8D" w14:textId="77777777" w:rsidR="001E2016" w:rsidRPr="00225964" w:rsidRDefault="001E2016" w:rsidP="00412F38">
      <w:pPr>
        <w:pStyle w:val="Para10"/>
        <w:numPr>
          <w:ilvl w:val="0"/>
          <w:numId w:val="0"/>
        </w:numPr>
        <w:suppressLineNumbers/>
        <w:suppressAutoHyphens/>
        <w:ind w:firstLine="720"/>
        <w:rPr>
          <w:rFonts w:eastAsia="Malgun Gothic"/>
          <w:kern w:val="22"/>
          <w:szCs w:val="22"/>
        </w:rPr>
      </w:pPr>
      <w:r>
        <w:t>8.</w:t>
      </w:r>
      <w:r>
        <w:tab/>
      </w:r>
      <w:r>
        <w:rPr>
          <w:i/>
          <w:szCs w:val="22"/>
        </w:rPr>
        <w:t xml:space="preserve">Acoge con satisfacción </w:t>
      </w:r>
      <w:r>
        <w:t>el ofrecimiento del Gobierno de Suiza de acoger un taller como seguimiento del Taller de Consulta de los Convenios Relacionados con la Diversidad Biológica sobre el Marco Mundial de la Diversidad Biológica posterior a 2020, celebrado en Berna del 10 al 12 de junio de 2019;</w:t>
      </w:r>
    </w:p>
    <w:p w14:paraId="2933CFB1" w14:textId="78F5E5DD" w:rsidR="001E2016" w:rsidRPr="00225964" w:rsidRDefault="001E2016" w:rsidP="00412F38">
      <w:pPr>
        <w:pStyle w:val="Para10"/>
        <w:numPr>
          <w:ilvl w:val="0"/>
          <w:numId w:val="0"/>
        </w:numPr>
        <w:suppressLineNumbers/>
        <w:suppressAutoHyphens/>
        <w:ind w:firstLine="720"/>
        <w:rPr>
          <w:rFonts w:eastAsia="Malgun Gothic"/>
          <w:kern w:val="22"/>
          <w:szCs w:val="22"/>
        </w:rPr>
      </w:pPr>
      <w:r>
        <w:lastRenderedPageBreak/>
        <w:t xml:space="preserve">9. </w:t>
      </w:r>
      <w:r>
        <w:tab/>
      </w:r>
      <w:r>
        <w:rPr>
          <w:i/>
          <w:szCs w:val="22"/>
        </w:rPr>
        <w:t>Invita</w:t>
      </w:r>
      <w:r>
        <w:t xml:space="preserve"> a la Directora Ejecutiva del Programa de las Naciones Unidas para el Medio Ambiente a que, en su calidad de Presidenta del Grupo de Gestión Ambiental de las Naciones Unidas, facilite, en colaboración con los miembros del Grupo, la contribución del sistema de las Naciones Unidas a la elaboración y la implementación del marco mundial de la diversidad biológica posterior a 2020;</w:t>
      </w:r>
    </w:p>
    <w:p w14:paraId="43B3832E" w14:textId="77777777" w:rsidR="001E2016" w:rsidRPr="00780276" w:rsidRDefault="001E2016" w:rsidP="00412F38">
      <w:pPr>
        <w:suppressLineNumbers/>
        <w:suppressAutoHyphens/>
        <w:spacing w:before="120" w:after="120"/>
        <w:ind w:firstLine="720"/>
        <w:rPr>
          <w:kern w:val="22"/>
          <w:szCs w:val="22"/>
        </w:rPr>
      </w:pPr>
      <w:r>
        <w:t>10.</w:t>
      </w:r>
      <w:r>
        <w:tab/>
      </w:r>
      <w:r>
        <w:rPr>
          <w:i/>
          <w:szCs w:val="22"/>
        </w:rPr>
        <w:t>Reconoce</w:t>
      </w:r>
      <w:r>
        <w:t xml:space="preserve"> la pertinencia de diversos procesos en curso que pueden hacer aportaciones a la elaboración del marco mundial de la diversidad biológica posterior a 2020 para que sean consideradas por el Grupo de Trabajo, según proceda;</w:t>
      </w:r>
    </w:p>
    <w:p w14:paraId="58BC594C" w14:textId="39A8284B" w:rsidR="001E2016" w:rsidRPr="00780276" w:rsidRDefault="001E2016" w:rsidP="00412F38">
      <w:pPr>
        <w:pStyle w:val="Para10"/>
        <w:numPr>
          <w:ilvl w:val="0"/>
          <w:numId w:val="0"/>
        </w:numPr>
        <w:suppressLineNumbers/>
        <w:suppressAutoHyphens/>
        <w:ind w:firstLine="720"/>
        <w:rPr>
          <w:kern w:val="22"/>
          <w:szCs w:val="22"/>
        </w:rPr>
      </w:pPr>
      <w:r>
        <w:t>11.</w:t>
      </w:r>
      <w:r>
        <w:tab/>
      </w:r>
      <w:r>
        <w:rPr>
          <w:i/>
          <w:szCs w:val="22"/>
        </w:rPr>
        <w:t xml:space="preserve">Pide </w:t>
      </w:r>
      <w:r>
        <w:t xml:space="preserve">a los Copresidentes y a la Secretaria Ejecutiva que, en consulta con la Mesa de la Conferencia de las Partes, actualicen la lista que figura en el anexo II, según sea necesario, y que la publiquen en la </w:t>
      </w:r>
      <w:hyperlink r:id="rId17" w:history="1">
        <w:r>
          <w:rPr>
            <w:rStyle w:val="Hipervnculo"/>
            <w:sz w:val="22"/>
          </w:rPr>
          <w:t>página web del proceso posterior a 2020</w:t>
        </w:r>
      </w:hyperlink>
      <w:r>
        <w:t>;</w:t>
      </w:r>
    </w:p>
    <w:p w14:paraId="64224C35" w14:textId="031EA05D" w:rsidR="001E2016" w:rsidRPr="00780276" w:rsidRDefault="001E2016" w:rsidP="00D0282A">
      <w:pPr>
        <w:ind w:firstLine="709"/>
        <w:rPr>
          <w:kern w:val="22"/>
          <w:szCs w:val="22"/>
        </w:rPr>
      </w:pPr>
      <w:r>
        <w:t>12.</w:t>
      </w:r>
      <w:r>
        <w:tab/>
      </w:r>
      <w:r>
        <w:rPr>
          <w:i/>
          <w:szCs w:val="22"/>
        </w:rPr>
        <w:t>Pide</w:t>
      </w:r>
      <w:r>
        <w:t xml:space="preserve"> a los Copresidentes y a la Secretaria Ejecutiva que informen periódicamente a la Mesa de la Conferencia de las Partes sobre los progresos realizados en los preparativos para la elaboración del marco mundial de la diversidad biológica posterior a 2020, incluso en lo que respecta a las necesidades financieras, y que actualicen la página web del proceso posterior a 2020.</w:t>
      </w:r>
    </w:p>
    <w:p w14:paraId="2D6ACE26" w14:textId="47C43DF5" w:rsidR="00817C4B" w:rsidRPr="00780276" w:rsidRDefault="00817C4B">
      <w:pPr>
        <w:jc w:val="left"/>
        <w:rPr>
          <w:kern w:val="22"/>
          <w:szCs w:val="22"/>
        </w:rPr>
      </w:pPr>
      <w:r>
        <w:br w:type="page"/>
      </w:r>
    </w:p>
    <w:p w14:paraId="522F35D3" w14:textId="32B98DAB" w:rsidR="00817C4B" w:rsidRPr="00225964" w:rsidRDefault="00E01C6B" w:rsidP="00E20ACC">
      <w:pPr>
        <w:spacing w:before="240" w:after="120"/>
        <w:jc w:val="center"/>
        <w:rPr>
          <w:i/>
          <w:caps/>
          <w:kern w:val="22"/>
          <w:szCs w:val="22"/>
        </w:rPr>
      </w:pPr>
      <w:bookmarkStart w:id="1" w:name="ConclusionsAnnexI"/>
      <w:r>
        <w:rPr>
          <w:i/>
          <w:szCs w:val="22"/>
        </w:rPr>
        <w:lastRenderedPageBreak/>
        <w:t>Anexo</w:t>
      </w:r>
      <w:r w:rsidR="00817C4B">
        <w:rPr>
          <w:i/>
          <w:caps/>
          <w:szCs w:val="22"/>
        </w:rPr>
        <w:t> I</w:t>
      </w:r>
    </w:p>
    <w:p w14:paraId="6D735FFD" w14:textId="06C74DD6" w:rsidR="00AC37F8" w:rsidRPr="00225964" w:rsidRDefault="00AC37F8" w:rsidP="00780276">
      <w:pPr>
        <w:pStyle w:val="Prrafodelista"/>
        <w:spacing w:before="120" w:after="120"/>
        <w:ind w:left="0"/>
        <w:contextualSpacing w:val="0"/>
        <w:jc w:val="center"/>
        <w:rPr>
          <w:b/>
          <w:iCs/>
          <w:caps/>
          <w:kern w:val="22"/>
          <w:szCs w:val="22"/>
        </w:rPr>
      </w:pPr>
      <w:bookmarkStart w:id="2" w:name="_Hlk17924705"/>
      <w:bookmarkEnd w:id="1"/>
      <w:r>
        <w:rPr>
          <w:b/>
          <w:iCs/>
          <w:caps/>
          <w:szCs w:val="22"/>
        </w:rPr>
        <w:t>POSIBLES ELEMENTOS DE UN MARCO MUNDIAL DE LA DIVERSIDAD BIOLÓGICA POSTERIOR A 2020 PARA DELIBERACIONES FUTURAS</w:t>
      </w:r>
      <w:r w:rsidR="00821A72" w:rsidRPr="00225964">
        <w:rPr>
          <w:rStyle w:val="Refdenotaalpie"/>
          <w:b/>
          <w:iCs/>
          <w:caps/>
          <w:kern w:val="22"/>
          <w:szCs w:val="22"/>
        </w:rPr>
        <w:footnoteReference w:id="1"/>
      </w:r>
    </w:p>
    <w:p w14:paraId="491ECFC4" w14:textId="344E9E3A" w:rsidR="00AC37F8" w:rsidRPr="00780276" w:rsidRDefault="00AC37F8" w:rsidP="00780276">
      <w:pPr>
        <w:pStyle w:val="Ttulo1"/>
        <w:numPr>
          <w:ilvl w:val="0"/>
          <w:numId w:val="81"/>
        </w:numPr>
        <w:spacing w:before="120"/>
        <w:ind w:left="1077"/>
        <w:rPr>
          <w:kern w:val="22"/>
          <w:szCs w:val="22"/>
        </w:rPr>
      </w:pPr>
      <w:r>
        <w:t>Introducción</w:t>
      </w:r>
    </w:p>
    <w:p w14:paraId="3E1578A1" w14:textId="2A65626C" w:rsidR="00AC37F8" w:rsidRPr="00780276" w:rsidRDefault="00AC37F8" w:rsidP="00780276">
      <w:pPr>
        <w:pStyle w:val="Para1"/>
        <w:tabs>
          <w:tab w:val="clear" w:pos="360"/>
        </w:tabs>
        <w:rPr>
          <w:spacing w:val="-2"/>
          <w:kern w:val="22"/>
        </w:rPr>
      </w:pPr>
      <w:r>
        <w:t>La presente nota se ha preparado para facilitar aún más las deliberaciones sobre la elaboración del marco mundial de la diversidad biológica posterior a 2020. Los Copresidentes del Grupo de Trabajo de Composición Abierta sobre el Marco Mundial de la Diversidad Biológica posterior a 2020 deben considerar las opiniones expresadas en el presente documento a la hora de preparar documentación adicional relacionada con el marco mundial de la diversidad biológica posterior a 2020 para el Grupo de Trabajo. No obstante, no debería interpretarse que las cuestiones planteadas en la presente nota indican que se llegó a un acuerdo sobre algún tema en particular. Asimismo, la presente nota debe considerarse junto a las declaraciones oficiales formuladas por las Partes durante la primera reunión del Grupo de Trabajo y no pretende sustituirlas.</w:t>
      </w:r>
    </w:p>
    <w:p w14:paraId="58C19DF1" w14:textId="77777777" w:rsidR="00AC37F8" w:rsidRPr="00780276" w:rsidRDefault="00AC37F8" w:rsidP="00780276">
      <w:pPr>
        <w:pStyle w:val="Para1"/>
        <w:tabs>
          <w:tab w:val="clear" w:pos="360"/>
        </w:tabs>
        <w:rPr>
          <w:kern w:val="22"/>
        </w:rPr>
      </w:pPr>
      <w:r>
        <w:t>Algunas de las cuestiones planteadas en las secciones que figuran a continuación podrían ser pertinentes o incluirse en diferentes encabezados según cómo evolucionen las deliberaciones sobre el marco mundial de la diversidad biológica posterior a 2020. Para facilitar las futuras deliberaciones sobre el marco mundial de la diversidad biológica posterior a 2020, se debería elaborar una estructura organizativa para los posibles elementos del marco.</w:t>
      </w:r>
    </w:p>
    <w:p w14:paraId="16D4FE25" w14:textId="13659558" w:rsidR="00AC37F8" w:rsidRPr="00780276" w:rsidRDefault="00AC37F8" w:rsidP="00780276">
      <w:pPr>
        <w:pStyle w:val="Heading1longmultiline"/>
        <w:numPr>
          <w:ilvl w:val="0"/>
          <w:numId w:val="81"/>
        </w:numPr>
        <w:tabs>
          <w:tab w:val="clear" w:pos="720"/>
        </w:tabs>
        <w:ind w:left="1843"/>
        <w:rPr>
          <w:kern w:val="22"/>
          <w:szCs w:val="22"/>
        </w:rPr>
      </w:pPr>
      <w:r>
        <w:t>Posibles elementos de un marco mundial de la diversidad biológica posterior a 2020 para deliberaciones futuras</w:t>
      </w:r>
    </w:p>
    <w:p w14:paraId="042691E2" w14:textId="18E00DAE" w:rsidR="00AC37F8" w:rsidRPr="00780276" w:rsidRDefault="00AC37F8" w:rsidP="00780276">
      <w:pPr>
        <w:pStyle w:val="Ttulo2"/>
        <w:numPr>
          <w:ilvl w:val="0"/>
          <w:numId w:val="78"/>
        </w:numPr>
        <w:rPr>
          <w:kern w:val="22"/>
          <w:szCs w:val="22"/>
        </w:rPr>
      </w:pPr>
      <w:r>
        <w:t xml:space="preserve">Justificación y alcance </w:t>
      </w:r>
    </w:p>
    <w:p w14:paraId="56B746AB" w14:textId="77777777" w:rsidR="00AC37F8" w:rsidRPr="00780276" w:rsidRDefault="00AC37F8" w:rsidP="00780276">
      <w:pPr>
        <w:pStyle w:val="Para2"/>
        <w:rPr>
          <w:kern w:val="22"/>
          <w:szCs w:val="22"/>
        </w:rPr>
      </w:pPr>
      <w:r>
        <w:t>Posibles cuestiones por reflejar:</w:t>
      </w:r>
    </w:p>
    <w:p w14:paraId="501EF778" w14:textId="77777777" w:rsidR="00AC37F8" w:rsidRPr="00225964" w:rsidRDefault="00AC37F8" w:rsidP="00780276">
      <w:pPr>
        <w:pStyle w:val="Para10"/>
        <w:numPr>
          <w:ilvl w:val="2"/>
          <w:numId w:val="86"/>
        </w:numPr>
        <w:ind w:left="1985" w:hanging="284"/>
        <w:rPr>
          <w:iCs/>
          <w:kern w:val="22"/>
          <w:szCs w:val="22"/>
        </w:rPr>
      </w:pPr>
      <w:r>
        <w:t xml:space="preserve">La importancia de la diversidad biológica y los servicios de los ecosistemas; </w:t>
      </w:r>
    </w:p>
    <w:p w14:paraId="4F089F45" w14:textId="77777777" w:rsidR="00AC37F8" w:rsidRPr="00225964" w:rsidRDefault="00AC37F8" w:rsidP="00780276">
      <w:pPr>
        <w:pStyle w:val="Para10"/>
        <w:numPr>
          <w:ilvl w:val="2"/>
          <w:numId w:val="86"/>
        </w:numPr>
        <w:ind w:left="1985" w:hanging="284"/>
        <w:rPr>
          <w:iCs/>
          <w:kern w:val="22"/>
          <w:szCs w:val="22"/>
        </w:rPr>
      </w:pPr>
      <w:r>
        <w:t xml:space="preserve">El estado actual de la diversidad biológica y sus implicaciones para el bienestar humano; </w:t>
      </w:r>
    </w:p>
    <w:p w14:paraId="18D2EA64" w14:textId="77777777" w:rsidR="00AC37F8" w:rsidRPr="00225964" w:rsidRDefault="00AC37F8" w:rsidP="00780276">
      <w:pPr>
        <w:pStyle w:val="Para10"/>
        <w:numPr>
          <w:ilvl w:val="2"/>
          <w:numId w:val="86"/>
        </w:numPr>
        <w:ind w:left="1985" w:hanging="284"/>
        <w:rPr>
          <w:iCs/>
          <w:kern w:val="22"/>
          <w:szCs w:val="22"/>
        </w:rPr>
      </w:pPr>
      <w:r>
        <w:t>La necesidad de ambición para abordar los desafíos actuales que enfrenta la diversidad biológica;</w:t>
      </w:r>
    </w:p>
    <w:p w14:paraId="6E76CD60" w14:textId="77777777" w:rsidR="00AC37F8" w:rsidRPr="00225964" w:rsidRDefault="00AC37F8" w:rsidP="00780276">
      <w:pPr>
        <w:pStyle w:val="Para10"/>
        <w:numPr>
          <w:ilvl w:val="2"/>
          <w:numId w:val="86"/>
        </w:numPr>
        <w:ind w:left="1985" w:hanging="284"/>
        <w:rPr>
          <w:iCs/>
          <w:kern w:val="22"/>
          <w:szCs w:val="22"/>
        </w:rPr>
      </w:pPr>
      <w:r>
        <w:t>Los impulsores directos e indirectos de la pérdida de diversidad biológica;</w:t>
      </w:r>
    </w:p>
    <w:p w14:paraId="5EB1CDEA" w14:textId="77777777" w:rsidR="00AC37F8" w:rsidRPr="00225964" w:rsidRDefault="00AC37F8" w:rsidP="00780276">
      <w:pPr>
        <w:pStyle w:val="Para10"/>
        <w:numPr>
          <w:ilvl w:val="2"/>
          <w:numId w:val="86"/>
        </w:numPr>
        <w:ind w:left="1985" w:hanging="284"/>
        <w:rPr>
          <w:iCs/>
          <w:kern w:val="22"/>
          <w:szCs w:val="22"/>
        </w:rPr>
      </w:pPr>
      <w:r>
        <w:t>Cambio transformador</w:t>
      </w:r>
      <w:r w:rsidRPr="00225964">
        <w:rPr>
          <w:rStyle w:val="Refdenotaalpie"/>
          <w:iCs/>
          <w:kern w:val="22"/>
          <w:szCs w:val="22"/>
        </w:rPr>
        <w:footnoteReference w:id="2"/>
      </w:r>
      <w:r>
        <w:t>;</w:t>
      </w:r>
    </w:p>
    <w:p w14:paraId="66357587" w14:textId="77777777" w:rsidR="00AC37F8" w:rsidRPr="00225964" w:rsidRDefault="00AC37F8" w:rsidP="00780276">
      <w:pPr>
        <w:pStyle w:val="Para10"/>
        <w:numPr>
          <w:ilvl w:val="2"/>
          <w:numId w:val="86"/>
        </w:numPr>
        <w:ind w:left="1985" w:hanging="284"/>
        <w:rPr>
          <w:iCs/>
          <w:kern w:val="22"/>
          <w:szCs w:val="22"/>
        </w:rPr>
      </w:pPr>
      <w:r>
        <w:t>Teoría del cambio</w:t>
      </w:r>
      <w:r w:rsidRPr="00225964">
        <w:rPr>
          <w:rStyle w:val="Refdenotaalpie"/>
          <w:iCs/>
          <w:kern w:val="22"/>
          <w:szCs w:val="22"/>
        </w:rPr>
        <w:footnoteReference w:id="3"/>
      </w:r>
      <w:r>
        <w:t>;</w:t>
      </w:r>
    </w:p>
    <w:p w14:paraId="2BEAAEFC" w14:textId="77777777" w:rsidR="00AC37F8" w:rsidRPr="00225964" w:rsidRDefault="00AC37F8" w:rsidP="00780276">
      <w:pPr>
        <w:pStyle w:val="Para10"/>
        <w:numPr>
          <w:ilvl w:val="2"/>
          <w:numId w:val="86"/>
        </w:numPr>
        <w:ind w:left="1985" w:hanging="284"/>
        <w:rPr>
          <w:iCs/>
          <w:kern w:val="22"/>
          <w:szCs w:val="22"/>
        </w:rPr>
      </w:pPr>
      <w:r>
        <w:t>Principios</w:t>
      </w:r>
      <w:r w:rsidRPr="00225964">
        <w:rPr>
          <w:rStyle w:val="Refdenotaalpie"/>
          <w:iCs/>
          <w:kern w:val="22"/>
          <w:szCs w:val="22"/>
        </w:rPr>
        <w:footnoteReference w:id="4"/>
      </w:r>
      <w:r>
        <w:t>;</w:t>
      </w:r>
    </w:p>
    <w:p w14:paraId="6547C573" w14:textId="77777777" w:rsidR="00AC37F8" w:rsidRPr="00225964" w:rsidRDefault="00AC37F8" w:rsidP="00780276">
      <w:pPr>
        <w:pStyle w:val="Para10"/>
        <w:numPr>
          <w:ilvl w:val="2"/>
          <w:numId w:val="86"/>
        </w:numPr>
        <w:ind w:left="1985" w:hanging="284"/>
        <w:rPr>
          <w:iCs/>
          <w:kern w:val="22"/>
          <w:szCs w:val="22"/>
        </w:rPr>
      </w:pPr>
      <w:r>
        <w:t>Las dificultades para la implementación;</w:t>
      </w:r>
    </w:p>
    <w:p w14:paraId="0D6EA6B2" w14:textId="747F2E9E" w:rsidR="00AC37F8" w:rsidRPr="00225964" w:rsidRDefault="00AC37F8" w:rsidP="00780276">
      <w:pPr>
        <w:pStyle w:val="Para10"/>
        <w:numPr>
          <w:ilvl w:val="2"/>
          <w:numId w:val="86"/>
        </w:numPr>
        <w:ind w:left="1985" w:hanging="284"/>
        <w:rPr>
          <w:iCs/>
          <w:kern w:val="22"/>
          <w:szCs w:val="22"/>
        </w:rPr>
      </w:pPr>
      <w:r>
        <w:t xml:space="preserve">Las conclusiones del informe de la evaluación mundial de la diversidad biológica y los servicios de los ecosistemas preparado por la Plataforma Intergubernamental </w:t>
      </w:r>
      <w:r>
        <w:lastRenderedPageBreak/>
        <w:t>Científico-Normativa sobre Diversidad Biológica y Servicios de los Ecosistemas (IPBES) y otras evaluaciones pertinentes.</w:t>
      </w:r>
    </w:p>
    <w:p w14:paraId="68FDACF0" w14:textId="1F160BDA" w:rsidR="00AC37F8" w:rsidRPr="00780276" w:rsidRDefault="00AC37F8" w:rsidP="00780276">
      <w:pPr>
        <w:pStyle w:val="Ttulo2"/>
        <w:numPr>
          <w:ilvl w:val="0"/>
          <w:numId w:val="78"/>
        </w:numPr>
        <w:rPr>
          <w:kern w:val="22"/>
          <w:szCs w:val="22"/>
        </w:rPr>
      </w:pPr>
      <w:r>
        <w:t>Visión para 2050</w:t>
      </w:r>
    </w:p>
    <w:p w14:paraId="66E06ED1" w14:textId="77777777" w:rsidR="00AC37F8" w:rsidRPr="00780276" w:rsidRDefault="00AC37F8" w:rsidP="00780276">
      <w:pPr>
        <w:pStyle w:val="Para2"/>
        <w:numPr>
          <w:ilvl w:val="0"/>
          <w:numId w:val="82"/>
        </w:numPr>
        <w:tabs>
          <w:tab w:val="clear" w:pos="1080"/>
        </w:tabs>
        <w:ind w:left="0" w:firstLine="709"/>
        <w:rPr>
          <w:kern w:val="22"/>
          <w:szCs w:val="22"/>
        </w:rPr>
      </w:pPr>
      <w:r>
        <w:t>Posibles cuestiones por reflejar:</w:t>
      </w:r>
    </w:p>
    <w:p w14:paraId="4B083CE3" w14:textId="77777777" w:rsidR="00AC37F8" w:rsidRPr="00225964" w:rsidRDefault="00AC37F8" w:rsidP="00780276">
      <w:pPr>
        <w:pStyle w:val="Para10"/>
        <w:numPr>
          <w:ilvl w:val="2"/>
          <w:numId w:val="87"/>
        </w:numPr>
        <w:ind w:left="1985" w:hanging="284"/>
        <w:rPr>
          <w:iCs/>
          <w:kern w:val="22"/>
          <w:szCs w:val="22"/>
        </w:rPr>
      </w:pPr>
      <w:r>
        <w:t>La Visión de la Diversidad Biológica para 2050 sigue siendo pertinente y será parte del marco mundial de la diversidad biológica posterior a 2020 (de conformidad con la decisión 14/2);</w:t>
      </w:r>
    </w:p>
    <w:p w14:paraId="1614BF10" w14:textId="77777777" w:rsidR="00AC37F8" w:rsidRPr="00225964" w:rsidRDefault="00AC37F8" w:rsidP="00780276">
      <w:pPr>
        <w:pStyle w:val="Para10"/>
        <w:numPr>
          <w:ilvl w:val="2"/>
          <w:numId w:val="87"/>
        </w:numPr>
        <w:ind w:left="1985" w:hanging="284"/>
        <w:rPr>
          <w:iCs/>
          <w:kern w:val="22"/>
          <w:szCs w:val="22"/>
        </w:rPr>
      </w:pPr>
      <w:r>
        <w:t>Los elementos de la Visión para 2050 se podrían utilizar para fundamentar la elaboración de otras partes del marco mundial de la diversidad biológica posterior a 2020;</w:t>
      </w:r>
    </w:p>
    <w:p w14:paraId="34F2802F" w14:textId="77777777" w:rsidR="00AC37F8" w:rsidRPr="00225964" w:rsidRDefault="00AC37F8" w:rsidP="00780276">
      <w:pPr>
        <w:pStyle w:val="Para10"/>
        <w:numPr>
          <w:ilvl w:val="2"/>
          <w:numId w:val="87"/>
        </w:numPr>
        <w:ind w:left="1985" w:hanging="284"/>
        <w:rPr>
          <w:iCs/>
          <w:kern w:val="22"/>
          <w:szCs w:val="22"/>
        </w:rPr>
      </w:pPr>
      <w:r>
        <w:t>La vinculación de otros elementos del marco mundial de la diversidad biológica posterior a 2020 con la Visión para 2050 puede exigir el examen de plazos más allá de 2030;</w:t>
      </w:r>
    </w:p>
    <w:p w14:paraId="562C6DD4" w14:textId="77777777" w:rsidR="00AC37F8" w:rsidRPr="00225964" w:rsidRDefault="00AC37F8" w:rsidP="00780276">
      <w:pPr>
        <w:pStyle w:val="Para10"/>
        <w:numPr>
          <w:ilvl w:val="2"/>
          <w:numId w:val="87"/>
        </w:numPr>
        <w:ind w:left="1985" w:hanging="284"/>
        <w:rPr>
          <w:iCs/>
          <w:kern w:val="22"/>
          <w:szCs w:val="22"/>
        </w:rPr>
      </w:pPr>
      <w:r>
        <w:t>Una mejor comprensión de la Visión de la Diversidad Biológica para 2050 puede requerir desentrañar las distintas cuestiones que trata</w:t>
      </w:r>
      <w:r w:rsidRPr="00225964">
        <w:rPr>
          <w:rStyle w:val="Refdenotaalpie"/>
          <w:iCs/>
          <w:kern w:val="22"/>
          <w:szCs w:val="22"/>
        </w:rPr>
        <w:footnoteReference w:id="5"/>
      </w:r>
      <w:r>
        <w:t>.</w:t>
      </w:r>
    </w:p>
    <w:p w14:paraId="017E474B" w14:textId="5E934148" w:rsidR="00AC37F8" w:rsidRPr="00780276" w:rsidRDefault="00AC37F8" w:rsidP="00780276">
      <w:pPr>
        <w:pStyle w:val="Ttulo2"/>
        <w:numPr>
          <w:ilvl w:val="0"/>
          <w:numId w:val="78"/>
        </w:numPr>
        <w:ind w:hanging="578"/>
        <w:rPr>
          <w:kern w:val="22"/>
          <w:szCs w:val="22"/>
        </w:rPr>
      </w:pPr>
      <w:r>
        <w:t>Misión para 2030 y objetivo central e hitos</w:t>
      </w:r>
      <w:r w:rsidRPr="00780276">
        <w:rPr>
          <w:rStyle w:val="Refdenotaalpie"/>
          <w:b w:val="0"/>
          <w:iCs w:val="0"/>
          <w:kern w:val="22"/>
          <w:szCs w:val="22"/>
        </w:rPr>
        <w:footnoteReference w:id="6"/>
      </w:r>
    </w:p>
    <w:p w14:paraId="6481C396" w14:textId="77777777" w:rsidR="00AC37F8" w:rsidRPr="00780276" w:rsidRDefault="00AC37F8" w:rsidP="00780276">
      <w:pPr>
        <w:pStyle w:val="Para2"/>
        <w:numPr>
          <w:ilvl w:val="0"/>
          <w:numId w:val="83"/>
        </w:numPr>
        <w:tabs>
          <w:tab w:val="clear" w:pos="1080"/>
        </w:tabs>
        <w:ind w:left="0" w:firstLine="763"/>
        <w:rPr>
          <w:kern w:val="22"/>
          <w:szCs w:val="22"/>
        </w:rPr>
      </w:pPr>
      <w:r>
        <w:t>Posibles cuestiones por reflejar:</w:t>
      </w:r>
    </w:p>
    <w:p w14:paraId="61394C4D" w14:textId="77777777" w:rsidR="00AC37F8" w:rsidRPr="00225964" w:rsidRDefault="00AC37F8" w:rsidP="00780276">
      <w:pPr>
        <w:pStyle w:val="Para10"/>
        <w:numPr>
          <w:ilvl w:val="2"/>
          <w:numId w:val="88"/>
        </w:numPr>
        <w:ind w:left="1985" w:hanging="284"/>
        <w:rPr>
          <w:iCs/>
          <w:kern w:val="22"/>
          <w:szCs w:val="22"/>
        </w:rPr>
      </w:pPr>
      <w:r>
        <w:t>Declaración sobre el estado</w:t>
      </w:r>
      <w:r w:rsidRPr="00225964">
        <w:rPr>
          <w:rStyle w:val="Refdenotaalpie"/>
          <w:iCs/>
          <w:kern w:val="22"/>
          <w:szCs w:val="22"/>
        </w:rPr>
        <w:footnoteReference w:id="7"/>
      </w:r>
      <w:r>
        <w:t xml:space="preserve"> de la diversidad biológica para el año 2030;</w:t>
      </w:r>
    </w:p>
    <w:p w14:paraId="6E31001C" w14:textId="77777777" w:rsidR="00AC37F8" w:rsidRPr="00225964" w:rsidRDefault="00AC37F8" w:rsidP="00780276">
      <w:pPr>
        <w:pStyle w:val="Para10"/>
        <w:numPr>
          <w:ilvl w:val="2"/>
          <w:numId w:val="88"/>
        </w:numPr>
        <w:ind w:left="1985" w:hanging="284"/>
        <w:rPr>
          <w:iCs/>
          <w:kern w:val="22"/>
          <w:szCs w:val="22"/>
        </w:rPr>
      </w:pPr>
      <w:r>
        <w:t>Declaración orientada a la acción relacionada con un cambio deseado;</w:t>
      </w:r>
    </w:p>
    <w:p w14:paraId="68DE1FB7" w14:textId="77777777" w:rsidR="00AC37F8" w:rsidRPr="00225964" w:rsidRDefault="00AC37F8" w:rsidP="00780276">
      <w:pPr>
        <w:pStyle w:val="Para10"/>
        <w:numPr>
          <w:ilvl w:val="2"/>
          <w:numId w:val="88"/>
        </w:numPr>
        <w:ind w:left="1985" w:hanging="284"/>
        <w:rPr>
          <w:iCs/>
          <w:kern w:val="22"/>
          <w:szCs w:val="22"/>
        </w:rPr>
      </w:pPr>
      <w:r>
        <w:t>Hitos</w:t>
      </w:r>
      <w:r w:rsidRPr="00225964">
        <w:rPr>
          <w:rStyle w:val="Refdenotaalpie"/>
          <w:iCs/>
          <w:kern w:val="22"/>
          <w:szCs w:val="22"/>
        </w:rPr>
        <w:footnoteReference w:id="8"/>
      </w:r>
      <w:r>
        <w:t>;</w:t>
      </w:r>
    </w:p>
    <w:p w14:paraId="2C739EE6" w14:textId="77777777" w:rsidR="00AC37F8" w:rsidRPr="00225964" w:rsidRDefault="00AC37F8" w:rsidP="00780276">
      <w:pPr>
        <w:pStyle w:val="Para10"/>
        <w:numPr>
          <w:ilvl w:val="2"/>
          <w:numId w:val="88"/>
        </w:numPr>
        <w:ind w:left="1985" w:hanging="284"/>
        <w:rPr>
          <w:iCs/>
          <w:kern w:val="22"/>
          <w:szCs w:val="22"/>
        </w:rPr>
      </w:pPr>
      <w:r>
        <w:t xml:space="preserve">Los tres objetivos del Convenio y los Protocolos; </w:t>
      </w:r>
    </w:p>
    <w:p w14:paraId="6AA3BB36" w14:textId="4E2C6088" w:rsidR="00AC37F8" w:rsidRPr="00225964" w:rsidRDefault="00AC37F8" w:rsidP="00780276">
      <w:pPr>
        <w:pStyle w:val="Para10"/>
        <w:numPr>
          <w:ilvl w:val="2"/>
          <w:numId w:val="88"/>
        </w:numPr>
        <w:ind w:left="1985" w:hanging="284"/>
        <w:rPr>
          <w:iCs/>
          <w:kern w:val="22"/>
          <w:szCs w:val="22"/>
        </w:rPr>
      </w:pPr>
      <w:r>
        <w:t>Basados en los elementos de la Visión para 2050 (la diversidad biológica se valora, conserva, restaura y utiliza en forma racional, manteniendo los servicios de los ecosistemas)</w:t>
      </w:r>
      <w:r w:rsidRPr="00225964">
        <w:rPr>
          <w:rStyle w:val="Refdenotaalpie"/>
          <w:iCs/>
          <w:kern w:val="22"/>
          <w:szCs w:val="22"/>
        </w:rPr>
        <w:footnoteReference w:id="9"/>
      </w:r>
      <w:r>
        <w:t>;</w:t>
      </w:r>
    </w:p>
    <w:p w14:paraId="265208C5" w14:textId="77777777" w:rsidR="00AC37F8" w:rsidRPr="00225964" w:rsidRDefault="00AC37F8" w:rsidP="00780276">
      <w:pPr>
        <w:pStyle w:val="Para10"/>
        <w:numPr>
          <w:ilvl w:val="2"/>
          <w:numId w:val="88"/>
        </w:numPr>
        <w:ind w:left="1985" w:hanging="284"/>
        <w:rPr>
          <w:iCs/>
          <w:kern w:val="22"/>
          <w:szCs w:val="22"/>
        </w:rPr>
      </w:pPr>
      <w:r>
        <w:t>Estado deseado de la diversidad biológica en 2030;</w:t>
      </w:r>
    </w:p>
    <w:p w14:paraId="34273499" w14:textId="77777777" w:rsidR="00AC37F8" w:rsidRPr="00225964" w:rsidRDefault="00AC37F8" w:rsidP="00780276">
      <w:pPr>
        <w:pStyle w:val="Para10"/>
        <w:numPr>
          <w:ilvl w:val="2"/>
          <w:numId w:val="88"/>
        </w:numPr>
        <w:ind w:left="1985" w:hanging="284"/>
        <w:rPr>
          <w:iCs/>
          <w:kern w:val="22"/>
          <w:szCs w:val="22"/>
        </w:rPr>
      </w:pPr>
      <w:r>
        <w:t>Utilización sostenible;</w:t>
      </w:r>
    </w:p>
    <w:p w14:paraId="5F19B2EA" w14:textId="77777777" w:rsidR="00AC37F8" w:rsidRPr="00225964" w:rsidRDefault="00AC37F8" w:rsidP="00780276">
      <w:pPr>
        <w:pStyle w:val="Para10"/>
        <w:numPr>
          <w:ilvl w:val="2"/>
          <w:numId w:val="88"/>
        </w:numPr>
        <w:ind w:left="1985" w:hanging="284"/>
        <w:rPr>
          <w:iCs/>
          <w:kern w:val="22"/>
          <w:szCs w:val="22"/>
        </w:rPr>
      </w:pPr>
      <w:r>
        <w:t>Consumo y producción sostenibles</w:t>
      </w:r>
      <w:r w:rsidRPr="00225964">
        <w:rPr>
          <w:rStyle w:val="Refdenotaalpie"/>
          <w:iCs/>
          <w:kern w:val="22"/>
          <w:szCs w:val="22"/>
        </w:rPr>
        <w:footnoteReference w:id="10"/>
      </w:r>
      <w:r>
        <w:t>;</w:t>
      </w:r>
    </w:p>
    <w:p w14:paraId="77F192F8" w14:textId="77777777" w:rsidR="00AC37F8" w:rsidRPr="00225964" w:rsidRDefault="00AC37F8" w:rsidP="00780276">
      <w:pPr>
        <w:pStyle w:val="Para10"/>
        <w:numPr>
          <w:ilvl w:val="2"/>
          <w:numId w:val="88"/>
        </w:numPr>
        <w:ind w:left="1985" w:hanging="284"/>
        <w:rPr>
          <w:iCs/>
          <w:kern w:val="22"/>
          <w:szCs w:val="22"/>
        </w:rPr>
      </w:pPr>
      <w:r>
        <w:lastRenderedPageBreak/>
        <w:t>Los Objetivos de Desarrollo Sostenible</w:t>
      </w:r>
      <w:r w:rsidRPr="00225964">
        <w:rPr>
          <w:rStyle w:val="Refdenotaalpie"/>
          <w:iCs/>
          <w:kern w:val="22"/>
          <w:szCs w:val="22"/>
        </w:rPr>
        <w:footnoteReference w:id="11"/>
      </w:r>
      <w:r>
        <w:t>;</w:t>
      </w:r>
    </w:p>
    <w:p w14:paraId="09A03DBE" w14:textId="77777777" w:rsidR="00AC37F8" w:rsidRPr="00225964" w:rsidRDefault="00AC37F8" w:rsidP="00780276">
      <w:pPr>
        <w:pStyle w:val="Para10"/>
        <w:numPr>
          <w:ilvl w:val="2"/>
          <w:numId w:val="88"/>
        </w:numPr>
        <w:ind w:left="1985" w:hanging="284"/>
        <w:rPr>
          <w:iCs/>
          <w:kern w:val="22"/>
          <w:szCs w:val="22"/>
        </w:rPr>
      </w:pPr>
      <w:r>
        <w:t>Abordar los impulsores de la pérdida de diversidad biológica;</w:t>
      </w:r>
    </w:p>
    <w:p w14:paraId="636D490F" w14:textId="77777777" w:rsidR="00AC37F8" w:rsidRPr="00225964" w:rsidRDefault="00AC37F8" w:rsidP="00780276">
      <w:pPr>
        <w:pStyle w:val="Para10"/>
        <w:numPr>
          <w:ilvl w:val="2"/>
          <w:numId w:val="88"/>
        </w:numPr>
        <w:ind w:left="1985" w:hanging="284"/>
        <w:rPr>
          <w:iCs/>
          <w:kern w:val="22"/>
          <w:szCs w:val="22"/>
        </w:rPr>
      </w:pPr>
      <w:r>
        <w:t>Adaptación eficaz al cambio climático;</w:t>
      </w:r>
    </w:p>
    <w:p w14:paraId="7298B6A3" w14:textId="77777777" w:rsidR="00AC37F8" w:rsidRPr="00225964" w:rsidRDefault="00AC37F8" w:rsidP="00780276">
      <w:pPr>
        <w:pStyle w:val="Para10"/>
        <w:numPr>
          <w:ilvl w:val="2"/>
          <w:numId w:val="88"/>
        </w:numPr>
        <w:ind w:left="1985" w:hanging="284"/>
        <w:rPr>
          <w:iCs/>
          <w:kern w:val="22"/>
          <w:szCs w:val="22"/>
        </w:rPr>
      </w:pPr>
      <w:r>
        <w:t>Simple, fácil de comunicar, viable y medible;</w:t>
      </w:r>
    </w:p>
    <w:p w14:paraId="67A38486" w14:textId="77777777" w:rsidR="00AC37F8" w:rsidRPr="00225964" w:rsidRDefault="00AC37F8" w:rsidP="00780276">
      <w:pPr>
        <w:pStyle w:val="Para10"/>
        <w:numPr>
          <w:ilvl w:val="2"/>
          <w:numId w:val="88"/>
        </w:numPr>
        <w:ind w:left="1985" w:hanging="284"/>
        <w:rPr>
          <w:iCs/>
          <w:kern w:val="22"/>
          <w:szCs w:val="22"/>
        </w:rPr>
      </w:pPr>
      <w:r>
        <w:t>Un modelo “Presión-Estado-Impacto-Respuesta”.</w:t>
      </w:r>
    </w:p>
    <w:p w14:paraId="071FE585" w14:textId="3B2DB158" w:rsidR="00AC37F8" w:rsidRPr="00780276" w:rsidRDefault="00AC37F8" w:rsidP="00780276">
      <w:pPr>
        <w:pStyle w:val="Ttulo2"/>
        <w:numPr>
          <w:ilvl w:val="0"/>
          <w:numId w:val="78"/>
        </w:numPr>
        <w:rPr>
          <w:kern w:val="22"/>
          <w:szCs w:val="22"/>
        </w:rPr>
      </w:pPr>
      <w:r>
        <w:t>Objetivos, metas, submetas e indicadores</w:t>
      </w:r>
    </w:p>
    <w:p w14:paraId="6DB4D4D0" w14:textId="17800D76" w:rsidR="00AC37F8" w:rsidRPr="00780276" w:rsidRDefault="00AC37F8" w:rsidP="00780276">
      <w:pPr>
        <w:pStyle w:val="Para2"/>
        <w:numPr>
          <w:ilvl w:val="0"/>
          <w:numId w:val="84"/>
        </w:numPr>
        <w:tabs>
          <w:tab w:val="clear" w:pos="1080"/>
        </w:tabs>
        <w:ind w:left="0" w:firstLine="763"/>
        <w:rPr>
          <w:kern w:val="22"/>
          <w:szCs w:val="22"/>
        </w:rPr>
      </w:pPr>
      <w:r>
        <w:t>Posibles cuestiones que podrían reflejarse en objetivos</w:t>
      </w:r>
      <w:r w:rsidRPr="00225964">
        <w:rPr>
          <w:rStyle w:val="Refdenotaalpie"/>
          <w:iCs/>
          <w:kern w:val="22"/>
          <w:szCs w:val="22"/>
        </w:rPr>
        <w:footnoteReference w:id="12"/>
      </w:r>
      <w:r>
        <w:rPr>
          <w:szCs w:val="22"/>
          <w:vertAlign w:val="superscript"/>
        </w:rPr>
        <w:t>,</w:t>
      </w:r>
      <w:r w:rsidRPr="00225964">
        <w:rPr>
          <w:rStyle w:val="Refdenotaalpie"/>
          <w:iCs/>
          <w:kern w:val="22"/>
          <w:szCs w:val="22"/>
        </w:rPr>
        <w:footnoteReference w:id="13"/>
      </w:r>
      <w:r>
        <w:t>:</w:t>
      </w:r>
    </w:p>
    <w:p w14:paraId="4D5523ED" w14:textId="77777777" w:rsidR="00AC37F8" w:rsidRPr="00225964" w:rsidRDefault="00AC37F8" w:rsidP="00780276">
      <w:pPr>
        <w:pStyle w:val="Para10"/>
        <w:numPr>
          <w:ilvl w:val="2"/>
          <w:numId w:val="89"/>
        </w:numPr>
        <w:ind w:left="1985" w:hanging="284"/>
        <w:rPr>
          <w:iCs/>
          <w:kern w:val="22"/>
          <w:szCs w:val="22"/>
        </w:rPr>
      </w:pPr>
      <w:r>
        <w:t>Los tres objetivos del Convenio (conservación, utilización sostenible y participación en los beneficios);</w:t>
      </w:r>
    </w:p>
    <w:p w14:paraId="56501862" w14:textId="77777777" w:rsidR="00AC37F8" w:rsidRPr="00225964" w:rsidRDefault="00AC37F8" w:rsidP="00780276">
      <w:pPr>
        <w:pStyle w:val="Para10"/>
        <w:numPr>
          <w:ilvl w:val="2"/>
          <w:numId w:val="89"/>
        </w:numPr>
        <w:ind w:left="1985" w:hanging="284"/>
        <w:rPr>
          <w:iCs/>
          <w:kern w:val="22"/>
          <w:szCs w:val="22"/>
        </w:rPr>
      </w:pPr>
      <w:r>
        <w:t>Los Protocolos;</w:t>
      </w:r>
    </w:p>
    <w:p w14:paraId="59C446E9" w14:textId="77777777" w:rsidR="00AC37F8" w:rsidRPr="00225964" w:rsidRDefault="00AC37F8" w:rsidP="00780276">
      <w:pPr>
        <w:pStyle w:val="Para10"/>
        <w:numPr>
          <w:ilvl w:val="2"/>
          <w:numId w:val="89"/>
        </w:numPr>
        <w:ind w:left="1985" w:hanging="284"/>
        <w:rPr>
          <w:iCs/>
          <w:kern w:val="22"/>
          <w:szCs w:val="22"/>
        </w:rPr>
      </w:pPr>
      <w:r>
        <w:t>Sobre la base de los elementos de la Visión para 2050 (la diversidad biológica se valora, conserva, restaura y utiliza en forma racional, manteniendo los servicios de los ecosistemas);</w:t>
      </w:r>
    </w:p>
    <w:p w14:paraId="59E13448" w14:textId="2691295B" w:rsidR="00AC37F8" w:rsidRPr="00225964" w:rsidRDefault="00AC37F8" w:rsidP="00780276">
      <w:pPr>
        <w:pStyle w:val="Para10"/>
        <w:numPr>
          <w:ilvl w:val="2"/>
          <w:numId w:val="89"/>
        </w:numPr>
        <w:ind w:left="1985" w:hanging="284"/>
        <w:rPr>
          <w:iCs/>
          <w:kern w:val="22"/>
          <w:szCs w:val="22"/>
        </w:rPr>
      </w:pPr>
      <w:r>
        <w:t>Cinco impulsores directos de la pérdida de diversidad biológica (el cambio de uso de la tierra y el mar, la explotación directa de los organismos, el cambio climático, la contaminación y la invasión de especies invasoras) según lo indicado en el informe de la evaluación mundial de la diversidad biológica y los servicios de los ecosistemas preparado por la IPBES</w:t>
      </w:r>
      <w:r w:rsidRPr="00225964">
        <w:rPr>
          <w:rStyle w:val="Refdenotaalpie"/>
          <w:snapToGrid/>
          <w:kern w:val="22"/>
          <w:szCs w:val="22"/>
        </w:rPr>
        <w:footnoteReference w:id="14"/>
      </w:r>
      <w:r>
        <w:t>;</w:t>
      </w:r>
    </w:p>
    <w:p w14:paraId="2F9F8D9E" w14:textId="29EC5875" w:rsidR="00AC37F8" w:rsidRPr="00225964" w:rsidRDefault="00AC37F8" w:rsidP="00780276">
      <w:pPr>
        <w:pStyle w:val="Para10"/>
        <w:numPr>
          <w:ilvl w:val="2"/>
          <w:numId w:val="89"/>
        </w:numPr>
        <w:ind w:left="1985" w:hanging="284"/>
        <w:rPr>
          <w:iCs/>
          <w:kern w:val="22"/>
          <w:szCs w:val="22"/>
        </w:rPr>
      </w:pPr>
      <w:r>
        <w:t>Impulsores indirectos de la pérdida de diversidad biológica, incluidos aquellos señalados en el informe de la evaluación mundial de la diversidad biológica y los servicios de los ecosistemas preparado por la IPBES (hábitos de producción y consumo, dinámicas y tendencias de la población humana, comercio, innovaciones tecnológicas y sistemas de gobernanza, desde locales hasta mundiales)</w:t>
      </w:r>
      <w:r w:rsidRPr="00225964">
        <w:rPr>
          <w:rStyle w:val="Refdenotaalpie"/>
          <w:snapToGrid/>
          <w:kern w:val="22"/>
          <w:szCs w:val="22"/>
        </w:rPr>
        <w:footnoteReference w:id="15"/>
      </w:r>
      <w:r>
        <w:t>;</w:t>
      </w:r>
    </w:p>
    <w:p w14:paraId="1708A99D" w14:textId="77777777" w:rsidR="00AC37F8" w:rsidRPr="00225964" w:rsidRDefault="00AC37F8" w:rsidP="00780276">
      <w:pPr>
        <w:pStyle w:val="Para10"/>
        <w:numPr>
          <w:ilvl w:val="2"/>
          <w:numId w:val="89"/>
        </w:numPr>
        <w:ind w:left="1985" w:hanging="284"/>
        <w:rPr>
          <w:iCs/>
          <w:kern w:val="22"/>
          <w:szCs w:val="22"/>
        </w:rPr>
      </w:pPr>
      <w:r>
        <w:t>Facilitar/posibilitar la implementación</w:t>
      </w:r>
      <w:r w:rsidRPr="00225964">
        <w:rPr>
          <w:rStyle w:val="Refdenotaalpie"/>
          <w:snapToGrid/>
          <w:kern w:val="22"/>
          <w:szCs w:val="22"/>
        </w:rPr>
        <w:footnoteReference w:id="16"/>
      </w:r>
      <w:r>
        <w:t>;</w:t>
      </w:r>
    </w:p>
    <w:p w14:paraId="425F9CE3" w14:textId="77777777" w:rsidR="00AC37F8" w:rsidRPr="00225964" w:rsidRDefault="00AC37F8" w:rsidP="00780276">
      <w:pPr>
        <w:pStyle w:val="Para10"/>
        <w:numPr>
          <w:ilvl w:val="2"/>
          <w:numId w:val="89"/>
        </w:numPr>
        <w:ind w:left="1985" w:hanging="284"/>
        <w:rPr>
          <w:iCs/>
          <w:kern w:val="22"/>
          <w:szCs w:val="22"/>
        </w:rPr>
      </w:pPr>
      <w:r>
        <w:t xml:space="preserve">Fundamentación en las conclusiones de la quinta edición de la </w:t>
      </w:r>
      <w:r>
        <w:rPr>
          <w:i/>
          <w:iCs/>
          <w:szCs w:val="22"/>
        </w:rPr>
        <w:t>Perspectiva Mundial sobre la Diversidad Biológica</w:t>
      </w:r>
      <w:r>
        <w:t>;</w:t>
      </w:r>
    </w:p>
    <w:p w14:paraId="69129AC9" w14:textId="77777777" w:rsidR="00AC37F8" w:rsidRPr="00225964" w:rsidRDefault="00AC37F8" w:rsidP="00780276">
      <w:pPr>
        <w:pStyle w:val="Para10"/>
        <w:numPr>
          <w:ilvl w:val="2"/>
          <w:numId w:val="89"/>
        </w:numPr>
        <w:ind w:left="1985" w:hanging="284"/>
        <w:rPr>
          <w:iCs/>
          <w:kern w:val="22"/>
          <w:szCs w:val="22"/>
        </w:rPr>
      </w:pPr>
      <w:r>
        <w:t>Implementación.</w:t>
      </w:r>
    </w:p>
    <w:p w14:paraId="09C9078F" w14:textId="77777777" w:rsidR="00AC37F8" w:rsidRPr="00780276" w:rsidRDefault="00AC37F8" w:rsidP="00780276">
      <w:pPr>
        <w:pStyle w:val="Para2"/>
        <w:rPr>
          <w:kern w:val="22"/>
          <w:szCs w:val="22"/>
        </w:rPr>
      </w:pPr>
      <w:r>
        <w:t>Posibles cuestiones que podrían reflejarse en metas:</w:t>
      </w:r>
    </w:p>
    <w:p w14:paraId="0033BA11" w14:textId="77777777" w:rsidR="00AC37F8" w:rsidRPr="00225964" w:rsidRDefault="00AC37F8" w:rsidP="00780276">
      <w:pPr>
        <w:pStyle w:val="Para10"/>
        <w:numPr>
          <w:ilvl w:val="2"/>
          <w:numId w:val="90"/>
        </w:numPr>
        <w:ind w:left="1985" w:hanging="284"/>
        <w:rPr>
          <w:iCs/>
          <w:kern w:val="22"/>
          <w:szCs w:val="22"/>
        </w:rPr>
      </w:pPr>
      <w:r>
        <w:t>Temas de las Metas de Aichi para la Diversidad Biológica como punto de partida, pero posiblemente simplificados;</w:t>
      </w:r>
    </w:p>
    <w:p w14:paraId="5B75CBBB" w14:textId="6F57D379" w:rsidR="00AC37F8" w:rsidRPr="00225964" w:rsidRDefault="00AC37F8" w:rsidP="00780276">
      <w:pPr>
        <w:pStyle w:val="Para10"/>
        <w:numPr>
          <w:ilvl w:val="2"/>
          <w:numId w:val="90"/>
        </w:numPr>
        <w:ind w:left="1985" w:hanging="284"/>
        <w:rPr>
          <w:iCs/>
          <w:kern w:val="22"/>
          <w:szCs w:val="22"/>
        </w:rPr>
      </w:pPr>
      <w:r>
        <w:lastRenderedPageBreak/>
        <w:t>Las metas deberían ser específicas, medibles, viables, basadas en resultados y con plazos (SMART);</w:t>
      </w:r>
    </w:p>
    <w:p w14:paraId="5115AF8F" w14:textId="77777777" w:rsidR="00AC37F8" w:rsidRPr="00225964" w:rsidRDefault="00AC37F8" w:rsidP="00780276">
      <w:pPr>
        <w:pStyle w:val="Para10"/>
        <w:numPr>
          <w:ilvl w:val="2"/>
          <w:numId w:val="90"/>
        </w:numPr>
        <w:ind w:left="1985" w:hanging="284"/>
        <w:rPr>
          <w:iCs/>
          <w:kern w:val="22"/>
          <w:szCs w:val="22"/>
        </w:rPr>
      </w:pPr>
      <w:r>
        <w:t>Consistentes, coherentes, compatibles y de apoyo mutuo con otros acuerdos y procesos ambientales multilaterales pertinentes;</w:t>
      </w:r>
    </w:p>
    <w:p w14:paraId="47FCD505" w14:textId="77777777" w:rsidR="00AC37F8" w:rsidRPr="00225964" w:rsidRDefault="00AC37F8" w:rsidP="00780276">
      <w:pPr>
        <w:pStyle w:val="Para10"/>
        <w:numPr>
          <w:ilvl w:val="2"/>
          <w:numId w:val="90"/>
        </w:numPr>
        <w:ind w:left="1985" w:hanging="284"/>
        <w:rPr>
          <w:iCs/>
          <w:kern w:val="22"/>
          <w:szCs w:val="22"/>
        </w:rPr>
      </w:pPr>
      <w:r>
        <w:t>No duplicar otros procesos;</w:t>
      </w:r>
    </w:p>
    <w:p w14:paraId="4984F303" w14:textId="77777777" w:rsidR="00AC37F8" w:rsidRPr="00225964" w:rsidRDefault="00AC37F8" w:rsidP="00780276">
      <w:pPr>
        <w:pStyle w:val="Para10"/>
        <w:numPr>
          <w:ilvl w:val="2"/>
          <w:numId w:val="90"/>
        </w:numPr>
        <w:ind w:left="1985" w:hanging="284"/>
        <w:rPr>
          <w:iCs/>
          <w:kern w:val="22"/>
          <w:szCs w:val="22"/>
        </w:rPr>
      </w:pPr>
      <w:r>
        <w:t xml:space="preserve">Fundamentación en la quinta edición de la </w:t>
      </w:r>
      <w:r>
        <w:rPr>
          <w:i/>
          <w:iCs/>
          <w:szCs w:val="22"/>
        </w:rPr>
        <w:t>Perspectiva Mundial sobre la Diversidad Biológica</w:t>
      </w:r>
      <w:r>
        <w:t>;</w:t>
      </w:r>
    </w:p>
    <w:p w14:paraId="0C6B9DE6" w14:textId="77777777" w:rsidR="00AC37F8" w:rsidRPr="00780276" w:rsidRDefault="00AC37F8" w:rsidP="00780276">
      <w:pPr>
        <w:pStyle w:val="Para2"/>
        <w:rPr>
          <w:kern w:val="22"/>
          <w:szCs w:val="22"/>
        </w:rPr>
      </w:pPr>
      <w:r>
        <w:t>Posibles cuestiones que podrían reflejarse en submetas</w:t>
      </w:r>
      <w:r w:rsidRPr="00225964">
        <w:rPr>
          <w:rStyle w:val="Refdenotaalpie"/>
          <w:iCs/>
          <w:kern w:val="22"/>
          <w:szCs w:val="22"/>
        </w:rPr>
        <w:footnoteReference w:id="17"/>
      </w:r>
      <w:r>
        <w:t>:</w:t>
      </w:r>
    </w:p>
    <w:p w14:paraId="179531EF" w14:textId="77777777" w:rsidR="00AC37F8" w:rsidRPr="00225964" w:rsidRDefault="00AC37F8" w:rsidP="00780276">
      <w:pPr>
        <w:pStyle w:val="Para10"/>
        <w:numPr>
          <w:ilvl w:val="2"/>
          <w:numId w:val="91"/>
        </w:numPr>
        <w:ind w:left="1985" w:hanging="284"/>
        <w:rPr>
          <w:iCs/>
          <w:kern w:val="22"/>
          <w:szCs w:val="22"/>
        </w:rPr>
      </w:pPr>
      <w:r>
        <w:t>Abordar los elementos más específicos de las metas;</w:t>
      </w:r>
    </w:p>
    <w:p w14:paraId="51A96C33" w14:textId="77777777" w:rsidR="00AC37F8" w:rsidRPr="00780276" w:rsidRDefault="00AC37F8" w:rsidP="00780276">
      <w:pPr>
        <w:pStyle w:val="Para2"/>
        <w:rPr>
          <w:kern w:val="22"/>
          <w:szCs w:val="22"/>
        </w:rPr>
      </w:pPr>
      <w:r>
        <w:t>Posibles cuestiones que podrían reflejarse en indicadores:</w:t>
      </w:r>
    </w:p>
    <w:p w14:paraId="6BA8BA37" w14:textId="77777777" w:rsidR="00AC37F8" w:rsidRPr="00225964" w:rsidRDefault="00AC37F8" w:rsidP="00780276">
      <w:pPr>
        <w:pStyle w:val="Para10"/>
        <w:numPr>
          <w:ilvl w:val="2"/>
          <w:numId w:val="92"/>
        </w:numPr>
        <w:ind w:left="1985" w:hanging="284"/>
        <w:rPr>
          <w:iCs/>
          <w:kern w:val="22"/>
          <w:szCs w:val="22"/>
        </w:rPr>
      </w:pPr>
      <w:r>
        <w:t>Uso de los indicadores existentes identificados por la Conferencia de las Partes, aquellos para la Agenda 2030 para el Desarrollo Sostenible, aquellos utilizados en las evaluaciones de la IPBES, los indicadores identificados a través de la Alianza sobre Indicadores de Biodiversidad y mediante otros procesos pertinentes como punto de partida para hacer un seguimiento de los progresos;</w:t>
      </w:r>
    </w:p>
    <w:p w14:paraId="42FCBA14" w14:textId="77777777" w:rsidR="00AC37F8" w:rsidRPr="00225964" w:rsidRDefault="00AC37F8" w:rsidP="00780276">
      <w:pPr>
        <w:pStyle w:val="Para10"/>
        <w:numPr>
          <w:ilvl w:val="2"/>
          <w:numId w:val="92"/>
        </w:numPr>
        <w:ind w:left="1985" w:hanging="284"/>
        <w:rPr>
          <w:iCs/>
          <w:kern w:val="22"/>
          <w:szCs w:val="22"/>
        </w:rPr>
      </w:pPr>
      <w:r>
        <w:t>Los indicadores y las bases de referencia deberían identificarse al mismo tiempo que las metas del marco mundial de la diversidad biológica posterior a 2020;</w:t>
      </w:r>
    </w:p>
    <w:p w14:paraId="747B72E5" w14:textId="77777777" w:rsidR="00AC37F8" w:rsidRPr="00225964" w:rsidRDefault="00AC37F8" w:rsidP="00780276">
      <w:pPr>
        <w:pStyle w:val="Para10"/>
        <w:numPr>
          <w:ilvl w:val="2"/>
          <w:numId w:val="92"/>
        </w:numPr>
        <w:ind w:left="1985" w:hanging="284"/>
        <w:rPr>
          <w:iCs/>
          <w:kern w:val="22"/>
          <w:szCs w:val="22"/>
        </w:rPr>
      </w:pPr>
      <w:r>
        <w:t>Se debería prever la posibilidad de revisar la lista de indicadores y bases de referencia una vez que se adopte el marco mundial de la diversidad biológica posterior a 2020 con el fin de hacer las mejoras necesarias.</w:t>
      </w:r>
    </w:p>
    <w:p w14:paraId="3EF3AF08" w14:textId="3B04AC22" w:rsidR="00AC37F8" w:rsidRPr="00780276" w:rsidRDefault="00AC37F8" w:rsidP="00780276">
      <w:pPr>
        <w:pStyle w:val="Ttulo2"/>
        <w:numPr>
          <w:ilvl w:val="0"/>
          <w:numId w:val="78"/>
        </w:numPr>
        <w:rPr>
          <w:kern w:val="22"/>
          <w:szCs w:val="22"/>
        </w:rPr>
      </w:pPr>
      <w:r>
        <w:t>Medios de implementación y condiciones favorables</w:t>
      </w:r>
      <w:r w:rsidRPr="00780276">
        <w:rPr>
          <w:rStyle w:val="Refdenotaalpie"/>
          <w:b w:val="0"/>
          <w:iCs w:val="0"/>
          <w:kern w:val="22"/>
          <w:szCs w:val="22"/>
        </w:rPr>
        <w:footnoteReference w:id="18"/>
      </w:r>
    </w:p>
    <w:p w14:paraId="258E98DB" w14:textId="77777777" w:rsidR="00AC37F8" w:rsidRPr="00780276" w:rsidRDefault="00AC37F8" w:rsidP="00780276">
      <w:pPr>
        <w:pStyle w:val="Para2"/>
        <w:numPr>
          <w:ilvl w:val="0"/>
          <w:numId w:val="85"/>
        </w:numPr>
        <w:tabs>
          <w:tab w:val="clear" w:pos="1080"/>
        </w:tabs>
        <w:ind w:left="0" w:firstLine="709"/>
        <w:rPr>
          <w:kern w:val="22"/>
          <w:szCs w:val="22"/>
        </w:rPr>
      </w:pPr>
      <w:r>
        <w:t>Posibles cuestiones por reflejar:</w:t>
      </w:r>
    </w:p>
    <w:p w14:paraId="6A8ABFF4" w14:textId="77777777" w:rsidR="00AC37F8" w:rsidRPr="00225964" w:rsidRDefault="00AC37F8" w:rsidP="00780276">
      <w:pPr>
        <w:pStyle w:val="Para10"/>
        <w:numPr>
          <w:ilvl w:val="2"/>
          <w:numId w:val="93"/>
        </w:numPr>
        <w:ind w:left="1985" w:hanging="284"/>
        <w:rPr>
          <w:iCs/>
          <w:kern w:val="22"/>
          <w:szCs w:val="22"/>
        </w:rPr>
      </w:pPr>
      <w:r>
        <w:t>Movilización de recursos;</w:t>
      </w:r>
    </w:p>
    <w:p w14:paraId="67F2EEE5" w14:textId="77777777" w:rsidR="00AC37F8" w:rsidRPr="00225964" w:rsidRDefault="00AC37F8" w:rsidP="00780276">
      <w:pPr>
        <w:pStyle w:val="Para10"/>
        <w:numPr>
          <w:ilvl w:val="2"/>
          <w:numId w:val="93"/>
        </w:numPr>
        <w:ind w:left="1985" w:hanging="284"/>
        <w:rPr>
          <w:iCs/>
          <w:kern w:val="22"/>
          <w:szCs w:val="22"/>
        </w:rPr>
      </w:pPr>
      <w:r>
        <w:t>Provisión de recursos financieros;</w:t>
      </w:r>
    </w:p>
    <w:p w14:paraId="6DC3BFAC" w14:textId="77777777" w:rsidR="00AC37F8" w:rsidRPr="00225964" w:rsidRDefault="00AC37F8" w:rsidP="00780276">
      <w:pPr>
        <w:pStyle w:val="Para10"/>
        <w:numPr>
          <w:ilvl w:val="2"/>
          <w:numId w:val="93"/>
        </w:numPr>
        <w:ind w:left="1985" w:hanging="284"/>
        <w:rPr>
          <w:iCs/>
          <w:kern w:val="22"/>
          <w:szCs w:val="22"/>
        </w:rPr>
      </w:pPr>
      <w:r>
        <w:t>Mecanismo financiero;</w:t>
      </w:r>
    </w:p>
    <w:p w14:paraId="099D2CB0" w14:textId="77777777" w:rsidR="00AC37F8" w:rsidRPr="00225964" w:rsidRDefault="00AC37F8" w:rsidP="00780276">
      <w:pPr>
        <w:pStyle w:val="Para10"/>
        <w:numPr>
          <w:ilvl w:val="2"/>
          <w:numId w:val="93"/>
        </w:numPr>
        <w:ind w:left="1985" w:hanging="284"/>
        <w:rPr>
          <w:iCs/>
          <w:kern w:val="22"/>
          <w:szCs w:val="22"/>
        </w:rPr>
      </w:pPr>
      <w:r>
        <w:t>Creación de capacidad;</w:t>
      </w:r>
    </w:p>
    <w:p w14:paraId="6DC81182" w14:textId="77777777" w:rsidR="00AC37F8" w:rsidRPr="00225964" w:rsidRDefault="00AC37F8" w:rsidP="00780276">
      <w:pPr>
        <w:pStyle w:val="Para10"/>
        <w:numPr>
          <w:ilvl w:val="2"/>
          <w:numId w:val="93"/>
        </w:numPr>
        <w:ind w:left="1985" w:hanging="284"/>
        <w:rPr>
          <w:iCs/>
          <w:kern w:val="22"/>
          <w:szCs w:val="22"/>
        </w:rPr>
      </w:pPr>
      <w:r>
        <w:t>Conocimientos tradicionales y utilización consuetudinaria sostenible;</w:t>
      </w:r>
    </w:p>
    <w:p w14:paraId="2F54A38F" w14:textId="77777777" w:rsidR="00AC37F8" w:rsidRPr="00225964" w:rsidRDefault="00AC37F8" w:rsidP="00780276">
      <w:pPr>
        <w:pStyle w:val="Para10"/>
        <w:numPr>
          <w:ilvl w:val="2"/>
          <w:numId w:val="93"/>
        </w:numPr>
        <w:ind w:left="1985" w:hanging="284"/>
        <w:rPr>
          <w:iCs/>
          <w:kern w:val="22"/>
          <w:szCs w:val="22"/>
        </w:rPr>
      </w:pPr>
      <w:r>
        <w:t>Conocimientos científicos y datos comprobados de los sistemas de conocimientos pertinentes, tales como las ciencias naturales y las ciencias sociales, así como lecciones aprendidas con la aplicación hasta la fecha del Convenio y sus Protocolos;</w:t>
      </w:r>
    </w:p>
    <w:p w14:paraId="5D137E30" w14:textId="77777777" w:rsidR="00AC37F8" w:rsidRPr="00225964" w:rsidRDefault="00AC37F8" w:rsidP="00780276">
      <w:pPr>
        <w:pStyle w:val="Para10"/>
        <w:numPr>
          <w:ilvl w:val="2"/>
          <w:numId w:val="93"/>
        </w:numPr>
        <w:ind w:left="1985" w:hanging="284"/>
        <w:rPr>
          <w:iCs/>
          <w:kern w:val="22"/>
          <w:szCs w:val="22"/>
        </w:rPr>
      </w:pPr>
      <w:r>
        <w:t>Cooperación técnica y científica y transferencia de tecnología;</w:t>
      </w:r>
    </w:p>
    <w:p w14:paraId="4FDCDE17" w14:textId="77777777" w:rsidR="00AC37F8" w:rsidRPr="00225964" w:rsidRDefault="00AC37F8" w:rsidP="00780276">
      <w:pPr>
        <w:pStyle w:val="Para10"/>
        <w:numPr>
          <w:ilvl w:val="2"/>
          <w:numId w:val="93"/>
        </w:numPr>
        <w:ind w:left="1985" w:hanging="284"/>
        <w:rPr>
          <w:iCs/>
          <w:kern w:val="22"/>
          <w:szCs w:val="22"/>
        </w:rPr>
      </w:pPr>
      <w:r>
        <w:t>Generación y gestión de los conocimientos e intercambio de información;</w:t>
      </w:r>
    </w:p>
    <w:p w14:paraId="6740EC59" w14:textId="77777777" w:rsidR="00AC37F8" w:rsidRPr="00225964" w:rsidRDefault="00AC37F8" w:rsidP="00780276">
      <w:pPr>
        <w:pStyle w:val="Para10"/>
        <w:numPr>
          <w:ilvl w:val="2"/>
          <w:numId w:val="93"/>
        </w:numPr>
        <w:ind w:left="1985" w:hanging="284"/>
        <w:rPr>
          <w:iCs/>
          <w:kern w:val="22"/>
          <w:szCs w:val="22"/>
        </w:rPr>
      </w:pPr>
      <w:r>
        <w:t>Comunicación y concienciación;</w:t>
      </w:r>
    </w:p>
    <w:p w14:paraId="40B803EC" w14:textId="77777777" w:rsidR="00AC37F8" w:rsidRPr="00225964" w:rsidRDefault="00AC37F8" w:rsidP="00780276">
      <w:pPr>
        <w:pStyle w:val="Para10"/>
        <w:numPr>
          <w:ilvl w:val="2"/>
          <w:numId w:val="93"/>
        </w:numPr>
        <w:ind w:left="1985" w:hanging="284"/>
        <w:rPr>
          <w:iCs/>
          <w:kern w:val="22"/>
          <w:szCs w:val="22"/>
        </w:rPr>
      </w:pPr>
      <w:r>
        <w:t xml:space="preserve">Promoción de sinergias con otros acuerdos y procesos ambientales multilaterales pertinentes; </w:t>
      </w:r>
    </w:p>
    <w:p w14:paraId="6E7B5CA8" w14:textId="77777777" w:rsidR="00AC37F8" w:rsidRPr="00225964" w:rsidRDefault="00AC37F8" w:rsidP="00780276">
      <w:pPr>
        <w:pStyle w:val="Para10"/>
        <w:numPr>
          <w:ilvl w:val="2"/>
          <w:numId w:val="93"/>
        </w:numPr>
        <w:ind w:left="1985" w:hanging="284"/>
        <w:rPr>
          <w:iCs/>
          <w:kern w:val="22"/>
          <w:szCs w:val="22"/>
        </w:rPr>
      </w:pPr>
      <w:r>
        <w:t xml:space="preserve">Promoción de una mayor participación de los pueblos indígenas y las comunidades locales, las mujeres, los jóvenes, la sociedad civil, las autoridades locales y </w:t>
      </w:r>
      <w:r>
        <w:lastRenderedPageBreak/>
        <w:t>subnacionales, el sector privado e instituciones acadécimas y científicas en la implementación;</w:t>
      </w:r>
    </w:p>
    <w:p w14:paraId="0D9E96C4" w14:textId="6B0A5685" w:rsidR="00AC37F8" w:rsidRPr="00225964" w:rsidRDefault="00AC37F8" w:rsidP="00780276">
      <w:pPr>
        <w:pStyle w:val="Para10"/>
        <w:numPr>
          <w:ilvl w:val="2"/>
          <w:numId w:val="93"/>
        </w:numPr>
        <w:ind w:left="1985" w:hanging="284"/>
        <w:rPr>
          <w:iCs/>
          <w:kern w:val="22"/>
          <w:szCs w:val="22"/>
        </w:rPr>
      </w:pPr>
      <w:r>
        <w:t>Medidas basadas en la ciencia y estandarizadas, contabilidad del capital natural</w:t>
      </w:r>
      <w:r w:rsidRPr="00225964">
        <w:rPr>
          <w:rStyle w:val="Refdenotaalpie"/>
          <w:iCs/>
          <w:kern w:val="22"/>
          <w:szCs w:val="22"/>
        </w:rPr>
        <w:footnoteReference w:id="19"/>
      </w:r>
      <w:r>
        <w:t xml:space="preserve"> y enfoques de valoración integrales;</w:t>
      </w:r>
    </w:p>
    <w:p w14:paraId="180A88E4" w14:textId="77777777" w:rsidR="00AC37F8" w:rsidRPr="00225964" w:rsidRDefault="00AC37F8" w:rsidP="00780276">
      <w:pPr>
        <w:pStyle w:val="Para10"/>
        <w:numPr>
          <w:ilvl w:val="2"/>
          <w:numId w:val="93"/>
        </w:numPr>
        <w:ind w:left="1985" w:hanging="284"/>
        <w:rPr>
          <w:iCs/>
          <w:kern w:val="22"/>
          <w:szCs w:val="22"/>
        </w:rPr>
      </w:pPr>
      <w:r>
        <w:t>Gobernanza ambiental y procesos de políticas reforzados</w:t>
      </w:r>
      <w:r w:rsidRPr="00225964">
        <w:rPr>
          <w:rStyle w:val="Refdenotaalpie"/>
          <w:rFonts w:eastAsia="Malgun Gothic"/>
          <w:kern w:val="22"/>
          <w:szCs w:val="22"/>
        </w:rPr>
        <w:footnoteReference w:id="20"/>
      </w:r>
      <w:r>
        <w:t>;</w:t>
      </w:r>
    </w:p>
    <w:p w14:paraId="67324255" w14:textId="77777777" w:rsidR="00AC37F8" w:rsidRPr="00225964" w:rsidRDefault="00AC37F8" w:rsidP="00780276">
      <w:pPr>
        <w:pStyle w:val="Para10"/>
        <w:numPr>
          <w:ilvl w:val="2"/>
          <w:numId w:val="93"/>
        </w:numPr>
        <w:ind w:left="1985" w:hanging="284"/>
        <w:rPr>
          <w:iCs/>
          <w:kern w:val="22"/>
          <w:szCs w:val="22"/>
        </w:rPr>
      </w:pPr>
      <w:r>
        <w:t>Gestión basada en los ecosistemas;</w:t>
      </w:r>
    </w:p>
    <w:p w14:paraId="0E2796DE" w14:textId="77777777" w:rsidR="00AC37F8" w:rsidRPr="00225964" w:rsidRDefault="00AC37F8" w:rsidP="00780276">
      <w:pPr>
        <w:pStyle w:val="Para10"/>
        <w:numPr>
          <w:ilvl w:val="2"/>
          <w:numId w:val="93"/>
        </w:numPr>
        <w:ind w:left="1985" w:hanging="284"/>
        <w:rPr>
          <w:iCs/>
          <w:kern w:val="22"/>
          <w:szCs w:val="22"/>
        </w:rPr>
      </w:pPr>
      <w:r>
        <w:t>Estrategias y planes de acción nacionales en materia de biodiversidad;</w:t>
      </w:r>
    </w:p>
    <w:p w14:paraId="1FD369EA" w14:textId="2D495B9F" w:rsidR="00AC37F8" w:rsidRPr="00225964" w:rsidRDefault="00AC37F8" w:rsidP="00780276">
      <w:pPr>
        <w:pStyle w:val="Para10"/>
        <w:numPr>
          <w:ilvl w:val="2"/>
          <w:numId w:val="93"/>
        </w:numPr>
        <w:ind w:left="1985" w:hanging="284"/>
        <w:rPr>
          <w:iCs/>
          <w:kern w:val="22"/>
          <w:szCs w:val="22"/>
        </w:rPr>
      </w:pPr>
      <w:r>
        <w:t>“Palancas” del cambio transformador, dentro del ámbito de aplicación del Convenio.</w:t>
      </w:r>
    </w:p>
    <w:p w14:paraId="0C92F061" w14:textId="77777777" w:rsidR="00AC37F8" w:rsidRPr="00225964" w:rsidRDefault="00AC37F8" w:rsidP="00821A72">
      <w:pPr>
        <w:pStyle w:val="Para10"/>
        <w:numPr>
          <w:ilvl w:val="0"/>
          <w:numId w:val="0"/>
        </w:numPr>
        <w:ind w:left="1843"/>
        <w:rPr>
          <w:iCs/>
          <w:kern w:val="22"/>
          <w:szCs w:val="22"/>
        </w:rPr>
      </w:pPr>
    </w:p>
    <w:p w14:paraId="7C1C7FD1" w14:textId="5AA3CAED" w:rsidR="00AC37F8" w:rsidRPr="00780276" w:rsidRDefault="00AC37F8" w:rsidP="00780276">
      <w:pPr>
        <w:pStyle w:val="Ttulo2"/>
        <w:numPr>
          <w:ilvl w:val="0"/>
          <w:numId w:val="78"/>
        </w:numPr>
        <w:tabs>
          <w:tab w:val="clear" w:pos="720"/>
        </w:tabs>
        <w:rPr>
          <w:kern w:val="22"/>
          <w:szCs w:val="22"/>
        </w:rPr>
      </w:pPr>
      <w:r>
        <w:t>Cuestiones y enfoques transversales</w:t>
      </w:r>
      <w:r w:rsidRPr="00780276">
        <w:rPr>
          <w:rStyle w:val="Refdenotaalpie"/>
          <w:b w:val="0"/>
          <w:iCs w:val="0"/>
          <w:kern w:val="22"/>
          <w:szCs w:val="22"/>
        </w:rPr>
        <w:footnoteReference w:id="21"/>
      </w:r>
      <w:r>
        <w:rPr>
          <w:szCs w:val="22"/>
          <w:vertAlign w:val="superscript"/>
        </w:rPr>
        <w:t>,</w:t>
      </w:r>
      <w:r w:rsidRPr="00780276">
        <w:rPr>
          <w:rStyle w:val="Refdenotaalpie"/>
          <w:b w:val="0"/>
          <w:iCs w:val="0"/>
          <w:kern w:val="22"/>
          <w:szCs w:val="22"/>
        </w:rPr>
        <w:footnoteReference w:id="22"/>
      </w:r>
    </w:p>
    <w:p w14:paraId="6C60792C" w14:textId="77777777" w:rsidR="00AC37F8" w:rsidRPr="00780276" w:rsidRDefault="00AC37F8" w:rsidP="00780276">
      <w:pPr>
        <w:pStyle w:val="Para2"/>
        <w:numPr>
          <w:ilvl w:val="0"/>
          <w:numId w:val="94"/>
        </w:numPr>
        <w:tabs>
          <w:tab w:val="clear" w:pos="1080"/>
        </w:tabs>
        <w:ind w:left="0" w:firstLine="709"/>
        <w:rPr>
          <w:kern w:val="22"/>
          <w:szCs w:val="22"/>
        </w:rPr>
      </w:pPr>
      <w:r>
        <w:t>Posibles cuestiones por reflejar:</w:t>
      </w:r>
    </w:p>
    <w:p w14:paraId="4C157DC0" w14:textId="7CA1ADC4" w:rsidR="00AC37F8" w:rsidRPr="00225964" w:rsidRDefault="00AC37F8" w:rsidP="00780276">
      <w:pPr>
        <w:pStyle w:val="Para10"/>
        <w:numPr>
          <w:ilvl w:val="2"/>
          <w:numId w:val="95"/>
        </w:numPr>
        <w:ind w:left="1985" w:hanging="317"/>
        <w:rPr>
          <w:iCs/>
          <w:kern w:val="22"/>
          <w:szCs w:val="22"/>
        </w:rPr>
      </w:pPr>
      <w:r>
        <w:t>Integración, especialmente para las cuestiones relacionadas con los sectores de agricultura, silvicultura, pesca, acuicultura, turismo, energía y minería, infraestructura, manufactura y procesamiento, y se podrían abordar las presiones tanto directas como indirectas sobre la diversidad biológica;</w:t>
      </w:r>
    </w:p>
    <w:p w14:paraId="6F8616D3" w14:textId="77777777" w:rsidR="00AC37F8" w:rsidRPr="00225964" w:rsidRDefault="00AC37F8" w:rsidP="00780276">
      <w:pPr>
        <w:pStyle w:val="Para10"/>
        <w:numPr>
          <w:ilvl w:val="2"/>
          <w:numId w:val="95"/>
        </w:numPr>
        <w:ind w:left="1985" w:hanging="317"/>
        <w:rPr>
          <w:iCs/>
          <w:kern w:val="22"/>
          <w:szCs w:val="22"/>
        </w:rPr>
      </w:pPr>
      <w:r>
        <w:t>Igualdad de género, empoderamiento de la mujer y enfoques que tengan en cuenta las cuestiones de género;</w:t>
      </w:r>
    </w:p>
    <w:p w14:paraId="062681F6" w14:textId="77777777" w:rsidR="00AC37F8" w:rsidRPr="00225964" w:rsidRDefault="00AC37F8" w:rsidP="00780276">
      <w:pPr>
        <w:pStyle w:val="Para10"/>
        <w:numPr>
          <w:ilvl w:val="2"/>
          <w:numId w:val="95"/>
        </w:numPr>
        <w:ind w:left="1985" w:hanging="317"/>
        <w:rPr>
          <w:iCs/>
          <w:kern w:val="22"/>
          <w:szCs w:val="22"/>
        </w:rPr>
      </w:pPr>
      <w:r>
        <w:t>Pueblos indígenas y comunidades locales;</w:t>
      </w:r>
    </w:p>
    <w:p w14:paraId="0E545DA9" w14:textId="77777777" w:rsidR="00AC37F8" w:rsidRPr="00225964" w:rsidRDefault="00AC37F8" w:rsidP="00780276">
      <w:pPr>
        <w:pStyle w:val="Para10"/>
        <w:numPr>
          <w:ilvl w:val="2"/>
          <w:numId w:val="95"/>
        </w:numPr>
        <w:ind w:left="1985" w:hanging="317"/>
        <w:rPr>
          <w:iCs/>
          <w:kern w:val="22"/>
          <w:szCs w:val="22"/>
        </w:rPr>
      </w:pPr>
      <w:r>
        <w:t>Enfoques basados en los derechos;</w:t>
      </w:r>
    </w:p>
    <w:p w14:paraId="5599E513" w14:textId="77777777" w:rsidR="00AC37F8" w:rsidRPr="00225964" w:rsidRDefault="00AC37F8" w:rsidP="00780276">
      <w:pPr>
        <w:pStyle w:val="Para10"/>
        <w:numPr>
          <w:ilvl w:val="2"/>
          <w:numId w:val="95"/>
        </w:numPr>
        <w:ind w:left="1985" w:hanging="317"/>
        <w:rPr>
          <w:iCs/>
          <w:kern w:val="22"/>
          <w:szCs w:val="22"/>
        </w:rPr>
      </w:pPr>
      <w:r>
        <w:t>Alianzas;</w:t>
      </w:r>
    </w:p>
    <w:p w14:paraId="0BF5EB16" w14:textId="77777777" w:rsidR="00AC37F8" w:rsidRPr="00225964" w:rsidRDefault="00AC37F8" w:rsidP="00780276">
      <w:pPr>
        <w:pStyle w:val="Para10"/>
        <w:numPr>
          <w:ilvl w:val="2"/>
          <w:numId w:val="95"/>
        </w:numPr>
        <w:ind w:left="1985" w:hanging="317"/>
        <w:rPr>
          <w:iCs/>
          <w:kern w:val="22"/>
          <w:szCs w:val="22"/>
        </w:rPr>
      </w:pPr>
      <w:r>
        <w:t>Equidad intergeneracional;</w:t>
      </w:r>
    </w:p>
    <w:p w14:paraId="74487505" w14:textId="77777777" w:rsidR="00AC37F8" w:rsidRPr="00225964" w:rsidRDefault="00AC37F8" w:rsidP="00780276">
      <w:pPr>
        <w:pStyle w:val="Para10"/>
        <w:numPr>
          <w:ilvl w:val="2"/>
          <w:numId w:val="95"/>
        </w:numPr>
        <w:ind w:left="1985" w:hanging="317"/>
        <w:rPr>
          <w:iCs/>
          <w:kern w:val="22"/>
          <w:szCs w:val="22"/>
        </w:rPr>
      </w:pPr>
      <w:r>
        <w:t>Conectividad.</w:t>
      </w:r>
    </w:p>
    <w:p w14:paraId="1ABE2C57" w14:textId="2B28F67F" w:rsidR="00AC37F8" w:rsidRPr="00780276" w:rsidRDefault="00AC37F8" w:rsidP="00780276">
      <w:pPr>
        <w:pStyle w:val="Ttulo2"/>
        <w:numPr>
          <w:ilvl w:val="0"/>
          <w:numId w:val="78"/>
        </w:numPr>
        <w:tabs>
          <w:tab w:val="clear" w:pos="720"/>
          <w:tab w:val="left" w:pos="426"/>
        </w:tabs>
        <w:ind w:left="0" w:firstLine="0"/>
        <w:rPr>
          <w:kern w:val="22"/>
          <w:szCs w:val="22"/>
        </w:rPr>
      </w:pPr>
      <w:r>
        <w:t>Mecanismo transparente de implementación, seguimiento y presentación de informes</w:t>
      </w:r>
      <w:r w:rsidRPr="00780276">
        <w:rPr>
          <w:rStyle w:val="Refdenotaalpie"/>
          <w:b w:val="0"/>
          <w:iCs w:val="0"/>
          <w:kern w:val="22"/>
          <w:szCs w:val="22"/>
        </w:rPr>
        <w:footnoteReference w:id="23"/>
      </w:r>
    </w:p>
    <w:p w14:paraId="0CB7D243" w14:textId="77777777" w:rsidR="00AC37F8" w:rsidRPr="00225964" w:rsidRDefault="00AC37F8" w:rsidP="00780276">
      <w:pPr>
        <w:pStyle w:val="Para10"/>
        <w:numPr>
          <w:ilvl w:val="1"/>
          <w:numId w:val="96"/>
        </w:numPr>
        <w:ind w:left="0" w:firstLine="687"/>
        <w:rPr>
          <w:iCs/>
          <w:kern w:val="22"/>
          <w:szCs w:val="22"/>
        </w:rPr>
      </w:pPr>
      <w:r>
        <w:t>Posibles cuestiones por reflejar:</w:t>
      </w:r>
    </w:p>
    <w:p w14:paraId="030A00DA" w14:textId="724CA4D9" w:rsidR="00AC37F8" w:rsidRPr="00225964" w:rsidRDefault="00AC37F8" w:rsidP="00780276">
      <w:pPr>
        <w:pStyle w:val="Para10"/>
        <w:numPr>
          <w:ilvl w:val="2"/>
          <w:numId w:val="97"/>
        </w:numPr>
        <w:ind w:left="1985" w:hanging="284"/>
        <w:rPr>
          <w:iCs/>
          <w:kern w:val="22"/>
          <w:szCs w:val="22"/>
        </w:rPr>
      </w:pPr>
      <w:r>
        <w:t>Mantener y reforzar las estrategias y planes de acción nacionales en materia de biodiversidad como principal mecanismo para la aplicación del Convenio a nivel nacional;</w:t>
      </w:r>
    </w:p>
    <w:p w14:paraId="31CF5AA0" w14:textId="77777777" w:rsidR="00AC37F8" w:rsidRPr="00225964" w:rsidRDefault="00AC37F8" w:rsidP="00780276">
      <w:pPr>
        <w:pStyle w:val="Para10"/>
        <w:numPr>
          <w:ilvl w:val="2"/>
          <w:numId w:val="97"/>
        </w:numPr>
        <w:ind w:left="1985" w:hanging="284"/>
        <w:rPr>
          <w:iCs/>
          <w:kern w:val="22"/>
          <w:szCs w:val="22"/>
        </w:rPr>
      </w:pPr>
      <w:r>
        <w:t>Mejorar la orientación para las estrategias y planes de acción nacionales en materia de biodiversidad;</w:t>
      </w:r>
    </w:p>
    <w:p w14:paraId="7AD48524" w14:textId="77777777" w:rsidR="00AC37F8" w:rsidRPr="00225964" w:rsidRDefault="00AC37F8" w:rsidP="00780276">
      <w:pPr>
        <w:pStyle w:val="Para10"/>
        <w:numPr>
          <w:ilvl w:val="2"/>
          <w:numId w:val="97"/>
        </w:numPr>
        <w:ind w:left="1985" w:hanging="284"/>
        <w:rPr>
          <w:iCs/>
          <w:kern w:val="22"/>
          <w:szCs w:val="22"/>
        </w:rPr>
      </w:pPr>
      <w:r>
        <w:t>Aprovechar y reforzar los informes nacionales;</w:t>
      </w:r>
    </w:p>
    <w:p w14:paraId="46049ED4" w14:textId="77777777" w:rsidR="00AC37F8" w:rsidRPr="00225964" w:rsidRDefault="00AC37F8" w:rsidP="00780276">
      <w:pPr>
        <w:pStyle w:val="Para10"/>
        <w:numPr>
          <w:ilvl w:val="2"/>
          <w:numId w:val="97"/>
        </w:numPr>
        <w:ind w:left="1985" w:hanging="284"/>
        <w:rPr>
          <w:iCs/>
          <w:kern w:val="22"/>
          <w:szCs w:val="22"/>
        </w:rPr>
      </w:pPr>
      <w:r>
        <w:lastRenderedPageBreak/>
        <w:t>Mejorar la comparabilidad y la calidad de los informes nacionales y las estrategias y planes de acción nacionales en materia de biodiversidad;</w:t>
      </w:r>
    </w:p>
    <w:p w14:paraId="3A4E0275" w14:textId="77777777" w:rsidR="00AC37F8" w:rsidRPr="00225964" w:rsidRDefault="00AC37F8" w:rsidP="00780276">
      <w:pPr>
        <w:pStyle w:val="Para10"/>
        <w:numPr>
          <w:ilvl w:val="2"/>
          <w:numId w:val="97"/>
        </w:numPr>
        <w:ind w:left="1985" w:hanging="284"/>
        <w:rPr>
          <w:iCs/>
          <w:kern w:val="22"/>
          <w:szCs w:val="22"/>
        </w:rPr>
      </w:pPr>
      <w:r>
        <w:t>Mejorar la coherencia y sinergia entre los procesos de presentación de informes dentro y fuera del marco del Convenio;</w:t>
      </w:r>
    </w:p>
    <w:p w14:paraId="5DC11B5E" w14:textId="77777777" w:rsidR="00AC37F8" w:rsidRPr="00225964" w:rsidRDefault="00AC37F8" w:rsidP="00780276">
      <w:pPr>
        <w:pStyle w:val="Para10"/>
        <w:numPr>
          <w:ilvl w:val="2"/>
          <w:numId w:val="97"/>
        </w:numPr>
        <w:ind w:left="1985" w:hanging="284"/>
        <w:rPr>
          <w:iCs/>
          <w:kern w:val="22"/>
          <w:szCs w:val="22"/>
        </w:rPr>
      </w:pPr>
      <w:r>
        <w:t>Mejorar la colaboración entre los convenios con miras a elaborar marcos comunes de presentación de informes y sistemas modulares de presentación de informes;</w:t>
      </w:r>
    </w:p>
    <w:p w14:paraId="5443CF52" w14:textId="77777777" w:rsidR="00AC37F8" w:rsidRPr="00225964" w:rsidRDefault="00AC37F8" w:rsidP="00780276">
      <w:pPr>
        <w:pStyle w:val="Para10"/>
        <w:numPr>
          <w:ilvl w:val="2"/>
          <w:numId w:val="97"/>
        </w:numPr>
        <w:ind w:left="1985" w:hanging="284"/>
        <w:rPr>
          <w:iCs/>
          <w:kern w:val="22"/>
          <w:szCs w:val="22"/>
        </w:rPr>
      </w:pPr>
      <w:r>
        <w:t>Lecciones aprendidas con el Convenio y otros instrumentos ambientales internacionales;</w:t>
      </w:r>
    </w:p>
    <w:p w14:paraId="48756564" w14:textId="015CFA9E" w:rsidR="00AC37F8" w:rsidRPr="00225964" w:rsidRDefault="00AC37F8" w:rsidP="00780276">
      <w:pPr>
        <w:pStyle w:val="Para10"/>
        <w:numPr>
          <w:ilvl w:val="2"/>
          <w:numId w:val="97"/>
        </w:numPr>
        <w:ind w:left="1985" w:hanging="284"/>
        <w:rPr>
          <w:iCs/>
          <w:kern w:val="22"/>
          <w:szCs w:val="22"/>
        </w:rPr>
      </w:pPr>
      <w:r>
        <w:t>La relación entre este elemento y los demás elementos del marco mundial de la diversidad biológica posterior a 2020;</w:t>
      </w:r>
    </w:p>
    <w:p w14:paraId="5ABF76AE" w14:textId="77777777" w:rsidR="00AC37F8" w:rsidRPr="00225964" w:rsidRDefault="00AC37F8" w:rsidP="00780276">
      <w:pPr>
        <w:pStyle w:val="Para10"/>
        <w:numPr>
          <w:ilvl w:val="2"/>
          <w:numId w:val="97"/>
        </w:numPr>
        <w:ind w:left="1985" w:hanging="284"/>
        <w:rPr>
          <w:iCs/>
          <w:kern w:val="22"/>
          <w:szCs w:val="22"/>
        </w:rPr>
      </w:pPr>
      <w:r>
        <w:t>Seguimiento;</w:t>
      </w:r>
    </w:p>
    <w:p w14:paraId="7E38EABE" w14:textId="77777777" w:rsidR="00AC37F8" w:rsidRPr="00225964" w:rsidRDefault="00AC37F8" w:rsidP="00780276">
      <w:pPr>
        <w:pStyle w:val="Para10"/>
        <w:numPr>
          <w:ilvl w:val="2"/>
          <w:numId w:val="97"/>
        </w:numPr>
        <w:ind w:left="1985" w:hanging="284"/>
        <w:rPr>
          <w:iCs/>
          <w:kern w:val="22"/>
          <w:szCs w:val="22"/>
        </w:rPr>
      </w:pPr>
      <w:r>
        <w:t>Compromisos voluntarios</w:t>
      </w:r>
      <w:r w:rsidRPr="00225964">
        <w:rPr>
          <w:rStyle w:val="Refdenotaalpie"/>
          <w:kern w:val="22"/>
          <w:szCs w:val="22"/>
        </w:rPr>
        <w:footnoteReference w:id="24"/>
      </w:r>
      <w:r>
        <w:t>;</w:t>
      </w:r>
    </w:p>
    <w:p w14:paraId="68926CB0" w14:textId="67073485" w:rsidR="00AC37F8" w:rsidRPr="00225964" w:rsidRDefault="00AC37F8" w:rsidP="00780276">
      <w:pPr>
        <w:pStyle w:val="Para10"/>
        <w:numPr>
          <w:ilvl w:val="2"/>
          <w:numId w:val="97"/>
        </w:numPr>
        <w:ind w:left="1985" w:hanging="284"/>
        <w:rPr>
          <w:iCs/>
          <w:kern w:val="22"/>
          <w:szCs w:val="22"/>
        </w:rPr>
      </w:pPr>
      <w:r>
        <w:t>Transparencia y mecanismos de cumplimiento</w:t>
      </w:r>
      <w:r w:rsidRPr="00225964">
        <w:rPr>
          <w:rStyle w:val="Refdenotaalpie"/>
          <w:iCs/>
          <w:kern w:val="22"/>
          <w:szCs w:val="22"/>
        </w:rPr>
        <w:footnoteReference w:id="25"/>
      </w:r>
      <w:r>
        <w:t>;</w:t>
      </w:r>
    </w:p>
    <w:p w14:paraId="54608AE8" w14:textId="1A76CA35" w:rsidR="00AC37F8" w:rsidRPr="00225964" w:rsidRDefault="00AC37F8" w:rsidP="00780276">
      <w:pPr>
        <w:pStyle w:val="Para10"/>
        <w:numPr>
          <w:ilvl w:val="2"/>
          <w:numId w:val="97"/>
        </w:numPr>
        <w:ind w:left="1985" w:hanging="284"/>
        <w:rPr>
          <w:iCs/>
          <w:kern w:val="22"/>
          <w:szCs w:val="22"/>
        </w:rPr>
      </w:pPr>
      <w:r>
        <w:t>Sistema de medición, presentación de informes, revisión y verificación, balance transparente y global de la diversidad biológica, proceso de examen iterativo, sincronizado y coordinado, y mecanismo de incremento gradual</w:t>
      </w:r>
      <w:r w:rsidRPr="00225964">
        <w:rPr>
          <w:rStyle w:val="Refdenotaalpie"/>
          <w:iCs/>
          <w:kern w:val="22"/>
          <w:szCs w:val="22"/>
        </w:rPr>
        <w:footnoteReference w:id="26"/>
      </w:r>
      <w:r>
        <w:t>;</w:t>
      </w:r>
    </w:p>
    <w:p w14:paraId="16BDC07F" w14:textId="77777777" w:rsidR="00AC37F8" w:rsidRPr="00225964" w:rsidRDefault="00AC37F8" w:rsidP="00780276">
      <w:pPr>
        <w:pStyle w:val="Para10"/>
        <w:numPr>
          <w:ilvl w:val="2"/>
          <w:numId w:val="97"/>
        </w:numPr>
        <w:ind w:left="1985" w:hanging="284"/>
        <w:rPr>
          <w:iCs/>
          <w:kern w:val="22"/>
          <w:szCs w:val="22"/>
        </w:rPr>
      </w:pPr>
      <w:r>
        <w:t>Procesos de revisión existentes en el marco del Convenio, incluidos los procesos de revisión por pares;</w:t>
      </w:r>
    </w:p>
    <w:p w14:paraId="088E964A" w14:textId="77777777" w:rsidR="00AC37F8" w:rsidRPr="00225964" w:rsidRDefault="00AC37F8" w:rsidP="00780276">
      <w:pPr>
        <w:pStyle w:val="Para10"/>
        <w:numPr>
          <w:ilvl w:val="2"/>
          <w:numId w:val="97"/>
        </w:numPr>
        <w:ind w:left="1985" w:hanging="284"/>
        <w:rPr>
          <w:iCs/>
          <w:kern w:val="22"/>
          <w:szCs w:val="22"/>
        </w:rPr>
      </w:pPr>
      <w:r>
        <w:t>Orientación.</w:t>
      </w:r>
    </w:p>
    <w:p w14:paraId="6404C538" w14:textId="58DCC7A4" w:rsidR="00AC37F8" w:rsidRPr="00780276" w:rsidRDefault="00AC37F8" w:rsidP="00780276">
      <w:pPr>
        <w:pStyle w:val="Ttulo2"/>
        <w:numPr>
          <w:ilvl w:val="0"/>
          <w:numId w:val="78"/>
        </w:numPr>
        <w:tabs>
          <w:tab w:val="clear" w:pos="720"/>
          <w:tab w:val="left" w:pos="426"/>
        </w:tabs>
        <w:ind w:left="0" w:firstLine="0"/>
        <w:rPr>
          <w:kern w:val="22"/>
          <w:szCs w:val="22"/>
        </w:rPr>
      </w:pPr>
      <w:r>
        <w:t>Divulgación</w:t>
      </w:r>
      <w:bookmarkEnd w:id="2"/>
      <w:r>
        <w:t>, concienciación y aceptación</w:t>
      </w:r>
      <w:r w:rsidRPr="00780276">
        <w:rPr>
          <w:rStyle w:val="Refdenotaalpie"/>
          <w:b w:val="0"/>
          <w:iCs w:val="0"/>
          <w:kern w:val="22"/>
          <w:szCs w:val="22"/>
        </w:rPr>
        <w:footnoteReference w:id="27"/>
      </w:r>
      <w:r>
        <w:rPr>
          <w:szCs w:val="22"/>
          <w:vertAlign w:val="superscript"/>
        </w:rPr>
        <w:t xml:space="preserve"> </w:t>
      </w:r>
    </w:p>
    <w:p w14:paraId="260ED5DA" w14:textId="77777777" w:rsidR="00AC37F8" w:rsidRPr="00225964" w:rsidRDefault="00AC37F8" w:rsidP="00780276">
      <w:pPr>
        <w:pStyle w:val="Para10"/>
        <w:numPr>
          <w:ilvl w:val="1"/>
          <w:numId w:val="98"/>
        </w:numPr>
        <w:ind w:left="0" w:firstLine="687"/>
        <w:rPr>
          <w:iCs/>
          <w:kern w:val="22"/>
          <w:szCs w:val="22"/>
        </w:rPr>
      </w:pPr>
      <w:r>
        <w:t>Posibles elementos:</w:t>
      </w:r>
    </w:p>
    <w:p w14:paraId="222EE43D" w14:textId="77777777" w:rsidR="00AC37F8" w:rsidRPr="00225964" w:rsidRDefault="00AC37F8" w:rsidP="00780276">
      <w:pPr>
        <w:pStyle w:val="Para10"/>
        <w:numPr>
          <w:ilvl w:val="2"/>
          <w:numId w:val="99"/>
        </w:numPr>
        <w:ind w:left="1985" w:hanging="284"/>
        <w:rPr>
          <w:iCs/>
          <w:kern w:val="22"/>
          <w:szCs w:val="22"/>
        </w:rPr>
      </w:pPr>
      <w:r>
        <w:t>Una estrategia de comunicación coherente, integral e innovadora para el propio marco mundial de la diversidad biológica;</w:t>
      </w:r>
    </w:p>
    <w:p w14:paraId="7BF6BC0B" w14:textId="77777777" w:rsidR="00AC37F8" w:rsidRPr="00225964" w:rsidRDefault="00AC37F8" w:rsidP="00780276">
      <w:pPr>
        <w:pStyle w:val="Para10"/>
        <w:numPr>
          <w:ilvl w:val="2"/>
          <w:numId w:val="99"/>
        </w:numPr>
        <w:ind w:left="1985" w:hanging="284"/>
        <w:rPr>
          <w:iCs/>
          <w:kern w:val="22"/>
          <w:szCs w:val="22"/>
        </w:rPr>
      </w:pPr>
      <w:r>
        <w:t>Concienciación sobre el marco para asegurar que esté alineado con otros procesos y estrategias internacionales pertinentes.</w:t>
      </w:r>
    </w:p>
    <w:p w14:paraId="7D5DD8CC" w14:textId="77777777" w:rsidR="005466C8" w:rsidRDefault="005466C8" w:rsidP="00D0282A">
      <w:pPr>
        <w:ind w:firstLine="709"/>
        <w:rPr>
          <w:kern w:val="22"/>
          <w:szCs w:val="22"/>
          <w:lang w:eastAsia="en-CA"/>
        </w:rPr>
        <w:sectPr w:rsidR="005466C8" w:rsidSect="006B5DD9">
          <w:headerReference w:type="even" r:id="rId18"/>
          <w:headerReference w:type="default" r:id="rId19"/>
          <w:footerReference w:type="even" r:id="rId20"/>
          <w:footerReference w:type="default" r:id="rId21"/>
          <w:headerReference w:type="first" r:id="rId22"/>
          <w:footerReference w:type="first" r:id="rId23"/>
          <w:pgSz w:w="12240" w:h="15840" w:code="1"/>
          <w:pgMar w:top="567" w:right="1440" w:bottom="1134" w:left="1440" w:header="454" w:footer="720" w:gutter="0"/>
          <w:cols w:space="720"/>
          <w:titlePg/>
          <w:docGrid w:linePitch="299"/>
        </w:sectPr>
      </w:pPr>
    </w:p>
    <w:p w14:paraId="4E89A8FC" w14:textId="2A78F50E" w:rsidR="00817C4B" w:rsidRPr="00780276" w:rsidRDefault="00817C4B" w:rsidP="00D0282A">
      <w:pPr>
        <w:ind w:firstLine="709"/>
        <w:rPr>
          <w:kern w:val="22"/>
          <w:szCs w:val="22"/>
          <w:lang w:eastAsia="en-CA"/>
        </w:rPr>
      </w:pPr>
    </w:p>
    <w:p w14:paraId="0C074E41" w14:textId="77777777" w:rsidR="001E2016" w:rsidRPr="00225964" w:rsidRDefault="001E2016" w:rsidP="00412F38">
      <w:pPr>
        <w:spacing w:after="120"/>
        <w:jc w:val="center"/>
        <w:rPr>
          <w:kern w:val="22"/>
          <w:szCs w:val="22"/>
        </w:rPr>
      </w:pPr>
      <w:bookmarkStart w:id="3" w:name="ConclusionsAnnexII"/>
      <w:r>
        <w:rPr>
          <w:i/>
          <w:szCs w:val="22"/>
        </w:rPr>
        <w:t>Anexo II</w:t>
      </w:r>
    </w:p>
    <w:p w14:paraId="0F51BFF9" w14:textId="77777777" w:rsidR="001E2016" w:rsidRPr="00225964" w:rsidRDefault="001E2016" w:rsidP="00412F38">
      <w:pPr>
        <w:pStyle w:val="Ttulo1"/>
        <w:spacing w:before="120"/>
        <w:rPr>
          <w:kern w:val="22"/>
          <w:szCs w:val="22"/>
        </w:rPr>
      </w:pPr>
      <w:bookmarkStart w:id="4" w:name="_Hlk17977802"/>
      <w:bookmarkEnd w:id="3"/>
      <w:r>
        <w:t>LISTA PRELIMINAR DE REUNIONES, CONSULTAS Y TALLERES PARA LA ELABORACIÓN DEL MARCO MUNDIAL DE LA DIVERSIDAD BIOLÓGICA POSTERIOR A 2020</w:t>
      </w:r>
      <w:bookmarkEnd w:id="4"/>
    </w:p>
    <w:p w14:paraId="4E3E7B50" w14:textId="6256621A" w:rsidR="001E2016" w:rsidRPr="00780276" w:rsidRDefault="001E2016" w:rsidP="00780276">
      <w:pPr>
        <w:pStyle w:val="Ttulo2"/>
        <w:tabs>
          <w:tab w:val="clear" w:pos="720"/>
        </w:tabs>
        <w:spacing w:before="0"/>
        <w:rPr>
          <w:bCs w:val="0"/>
          <w:kern w:val="22"/>
          <w:szCs w:val="22"/>
        </w:rPr>
      </w:pPr>
      <w:r>
        <w:t>Cuadro 1. Reuniones oficiales, celebradas por mandato de la Conferencia de las Partes</w:t>
      </w:r>
    </w:p>
    <w:tbl>
      <w:tblPr>
        <w:tblStyle w:val="Tablaconcuadrcula"/>
        <w:tblW w:w="5000" w:type="pct"/>
        <w:jc w:val="center"/>
        <w:tblLayout w:type="fixed"/>
        <w:tblLook w:val="04A0" w:firstRow="1" w:lastRow="0" w:firstColumn="1" w:lastColumn="0" w:noHBand="0" w:noVBand="1"/>
      </w:tblPr>
      <w:tblGrid>
        <w:gridCol w:w="2154"/>
        <w:gridCol w:w="2157"/>
        <w:gridCol w:w="3016"/>
        <w:gridCol w:w="1032"/>
        <w:gridCol w:w="3909"/>
        <w:gridCol w:w="1861"/>
      </w:tblGrid>
      <w:tr w:rsidR="001E2016" w:rsidRPr="00225964" w14:paraId="05FA1B19" w14:textId="77777777" w:rsidTr="00780276">
        <w:trPr>
          <w:cantSplit/>
          <w:tblHeader/>
          <w:jc w:val="center"/>
        </w:trPr>
        <w:tc>
          <w:tcPr>
            <w:tcW w:w="2154" w:type="dxa"/>
            <w:tcBorders>
              <w:bottom w:val="single" w:sz="4" w:space="0" w:color="auto"/>
            </w:tcBorders>
            <w:shd w:val="clear" w:color="auto" w:fill="auto"/>
          </w:tcPr>
          <w:p w14:paraId="4E0D8D52" w14:textId="77777777" w:rsidR="001E2016" w:rsidRPr="00780276" w:rsidRDefault="001E2016" w:rsidP="00412F38">
            <w:pPr>
              <w:spacing w:before="40" w:after="40"/>
              <w:jc w:val="center"/>
              <w:rPr>
                <w:rFonts w:ascii="Times New Roman" w:hAnsi="Times New Roman" w:cs="Times New Roman"/>
                <w:i/>
                <w:color w:val="000000" w:themeColor="text1"/>
                <w:kern w:val="22"/>
                <w:szCs w:val="22"/>
              </w:rPr>
            </w:pPr>
            <w:r>
              <w:rPr>
                <w:rFonts w:ascii="Times New Roman" w:hAnsi="Times New Roman"/>
                <w:i/>
                <w:color w:val="000000" w:themeColor="text1"/>
                <w:szCs w:val="22"/>
              </w:rPr>
              <w:t>Fecha y lugar</w:t>
            </w:r>
          </w:p>
        </w:tc>
        <w:tc>
          <w:tcPr>
            <w:tcW w:w="2157" w:type="dxa"/>
            <w:tcBorders>
              <w:bottom w:val="single" w:sz="4" w:space="0" w:color="auto"/>
            </w:tcBorders>
            <w:shd w:val="clear" w:color="auto" w:fill="auto"/>
          </w:tcPr>
          <w:p w14:paraId="78F353C9" w14:textId="77777777" w:rsidR="001E2016" w:rsidRPr="00780276" w:rsidRDefault="001E2016" w:rsidP="00412F38">
            <w:pPr>
              <w:spacing w:before="40" w:after="40"/>
              <w:jc w:val="center"/>
              <w:rPr>
                <w:rFonts w:ascii="Times New Roman" w:hAnsi="Times New Roman" w:cs="Times New Roman"/>
                <w:i/>
                <w:color w:val="000000" w:themeColor="text1"/>
                <w:kern w:val="22"/>
                <w:szCs w:val="22"/>
              </w:rPr>
            </w:pPr>
            <w:r>
              <w:rPr>
                <w:rFonts w:ascii="Times New Roman" w:hAnsi="Times New Roman"/>
                <w:i/>
                <w:color w:val="000000" w:themeColor="text1"/>
                <w:szCs w:val="22"/>
              </w:rPr>
              <w:t>Reunión</w:t>
            </w:r>
          </w:p>
        </w:tc>
        <w:tc>
          <w:tcPr>
            <w:tcW w:w="3016" w:type="dxa"/>
            <w:tcBorders>
              <w:bottom w:val="single" w:sz="4" w:space="0" w:color="auto"/>
            </w:tcBorders>
            <w:shd w:val="clear" w:color="auto" w:fill="auto"/>
          </w:tcPr>
          <w:p w14:paraId="29E22D6C" w14:textId="77777777" w:rsidR="001E2016" w:rsidRPr="00780276" w:rsidRDefault="001E2016" w:rsidP="00412F38">
            <w:pPr>
              <w:spacing w:before="40" w:after="40"/>
              <w:jc w:val="center"/>
              <w:rPr>
                <w:rFonts w:ascii="Times New Roman" w:hAnsi="Times New Roman" w:cs="Times New Roman"/>
                <w:i/>
                <w:color w:val="000000" w:themeColor="text1"/>
                <w:kern w:val="22"/>
                <w:szCs w:val="22"/>
              </w:rPr>
            </w:pPr>
            <w:r>
              <w:rPr>
                <w:rFonts w:ascii="Times New Roman" w:hAnsi="Times New Roman"/>
                <w:i/>
                <w:color w:val="000000" w:themeColor="text1"/>
                <w:szCs w:val="22"/>
              </w:rPr>
              <w:t>Elemento del marco mundial de la diversidad biológica posterior a 2020</w:t>
            </w:r>
          </w:p>
        </w:tc>
        <w:tc>
          <w:tcPr>
            <w:tcW w:w="1032" w:type="dxa"/>
            <w:tcBorders>
              <w:bottom w:val="single" w:sz="4" w:space="0" w:color="auto"/>
            </w:tcBorders>
            <w:shd w:val="clear" w:color="auto" w:fill="auto"/>
          </w:tcPr>
          <w:p w14:paraId="64F5552F" w14:textId="77777777" w:rsidR="001E2016" w:rsidRPr="00780276" w:rsidRDefault="001E2016" w:rsidP="00412F38">
            <w:pPr>
              <w:spacing w:before="40" w:after="40"/>
              <w:jc w:val="center"/>
              <w:rPr>
                <w:rFonts w:ascii="Times New Roman" w:hAnsi="Times New Roman" w:cs="Times New Roman"/>
                <w:i/>
                <w:color w:val="000000" w:themeColor="text1"/>
                <w:kern w:val="22"/>
                <w:szCs w:val="22"/>
              </w:rPr>
            </w:pPr>
            <w:r>
              <w:rPr>
                <w:rFonts w:ascii="Times New Roman" w:hAnsi="Times New Roman"/>
                <w:i/>
                <w:color w:val="000000" w:themeColor="text1"/>
                <w:szCs w:val="22"/>
              </w:rPr>
              <w:t>Mandato</w:t>
            </w:r>
          </w:p>
        </w:tc>
        <w:tc>
          <w:tcPr>
            <w:tcW w:w="3909" w:type="dxa"/>
            <w:tcBorders>
              <w:bottom w:val="single" w:sz="4" w:space="0" w:color="auto"/>
            </w:tcBorders>
            <w:shd w:val="clear" w:color="auto" w:fill="auto"/>
          </w:tcPr>
          <w:p w14:paraId="32D1DAD2" w14:textId="77777777" w:rsidR="001E2016" w:rsidRPr="00780276" w:rsidRDefault="001E2016" w:rsidP="00412F38">
            <w:pPr>
              <w:spacing w:before="40" w:after="40"/>
              <w:jc w:val="center"/>
              <w:rPr>
                <w:rFonts w:ascii="Times New Roman" w:hAnsi="Times New Roman" w:cs="Times New Roman"/>
                <w:i/>
                <w:color w:val="000000" w:themeColor="text1"/>
                <w:kern w:val="22"/>
                <w:szCs w:val="22"/>
              </w:rPr>
            </w:pPr>
            <w:r>
              <w:rPr>
                <w:rFonts w:ascii="Times New Roman" w:hAnsi="Times New Roman"/>
                <w:i/>
                <w:color w:val="000000" w:themeColor="text1"/>
                <w:szCs w:val="22"/>
              </w:rPr>
              <w:t>Función/modalidad</w:t>
            </w:r>
          </w:p>
        </w:tc>
        <w:tc>
          <w:tcPr>
            <w:tcW w:w="1861" w:type="dxa"/>
            <w:tcBorders>
              <w:bottom w:val="single" w:sz="4" w:space="0" w:color="auto"/>
            </w:tcBorders>
            <w:shd w:val="clear" w:color="auto" w:fill="auto"/>
          </w:tcPr>
          <w:p w14:paraId="37C46F99" w14:textId="77777777" w:rsidR="001E2016" w:rsidRPr="00780276" w:rsidRDefault="001E2016" w:rsidP="00412F38">
            <w:pPr>
              <w:spacing w:before="40" w:after="40"/>
              <w:jc w:val="center"/>
              <w:rPr>
                <w:rFonts w:ascii="Times New Roman" w:hAnsi="Times New Roman" w:cs="Times New Roman"/>
                <w:i/>
                <w:color w:val="000000" w:themeColor="text1"/>
                <w:kern w:val="22"/>
                <w:szCs w:val="22"/>
              </w:rPr>
            </w:pPr>
            <w:r>
              <w:rPr>
                <w:rFonts w:ascii="Times New Roman" w:hAnsi="Times New Roman"/>
                <w:i/>
                <w:color w:val="000000" w:themeColor="text1"/>
                <w:szCs w:val="22"/>
              </w:rPr>
              <w:t>Tipo</w:t>
            </w:r>
            <w:r w:rsidRPr="00780276">
              <w:rPr>
                <w:rStyle w:val="Refdenotaalpie"/>
                <w:rFonts w:ascii="Times New Roman" w:hAnsi="Times New Roman" w:cs="Times New Roman"/>
                <w:i/>
                <w:color w:val="000000" w:themeColor="text1"/>
                <w:kern w:val="22"/>
                <w:szCs w:val="22"/>
              </w:rPr>
              <w:footnoteReference w:id="28"/>
            </w:r>
          </w:p>
        </w:tc>
      </w:tr>
      <w:tr w:rsidR="001E2016" w:rsidRPr="00225964" w14:paraId="572B429C" w14:textId="77777777" w:rsidTr="00780276">
        <w:trPr>
          <w:cantSplit/>
          <w:jc w:val="center"/>
        </w:trPr>
        <w:tc>
          <w:tcPr>
            <w:tcW w:w="2154" w:type="dxa"/>
            <w:tcBorders>
              <w:bottom w:val="single" w:sz="4" w:space="0" w:color="auto"/>
            </w:tcBorders>
            <w:shd w:val="clear" w:color="auto" w:fill="FFFFFF" w:themeFill="background1"/>
          </w:tcPr>
          <w:p w14:paraId="66EE51BD"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22 a 25 de octubre de 2019, Montreal (Canadá)</w:t>
            </w:r>
          </w:p>
        </w:tc>
        <w:tc>
          <w:tcPr>
            <w:tcW w:w="2157" w:type="dxa"/>
            <w:tcBorders>
              <w:bottom w:val="single" w:sz="4" w:space="0" w:color="auto"/>
            </w:tcBorders>
            <w:shd w:val="clear" w:color="auto" w:fill="FFFFFF" w:themeFill="background1"/>
          </w:tcPr>
          <w:p w14:paraId="5FC2C0AF"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Grupo de Enlace del Protocolo de Cartagena sobre Seguridad de la Biotecnología</w:t>
            </w:r>
          </w:p>
        </w:tc>
        <w:tc>
          <w:tcPr>
            <w:tcW w:w="3016" w:type="dxa"/>
            <w:tcBorders>
              <w:bottom w:val="single" w:sz="4" w:space="0" w:color="auto"/>
            </w:tcBorders>
            <w:shd w:val="clear" w:color="auto" w:fill="FFFFFF" w:themeFill="background1"/>
          </w:tcPr>
          <w:p w14:paraId="4D66F189"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Seguridad de la biotecnología</w:t>
            </w:r>
          </w:p>
        </w:tc>
        <w:tc>
          <w:tcPr>
            <w:tcW w:w="1032" w:type="dxa"/>
            <w:tcBorders>
              <w:bottom w:val="single" w:sz="4" w:space="0" w:color="auto"/>
            </w:tcBorders>
            <w:shd w:val="clear" w:color="auto" w:fill="FFFFFF" w:themeFill="background1"/>
          </w:tcPr>
          <w:p w14:paraId="014CE732" w14:textId="77777777" w:rsidR="001E2016" w:rsidRPr="00780276" w:rsidRDefault="001E2016" w:rsidP="00412F38">
            <w:pPr>
              <w:spacing w:before="40" w:after="40"/>
              <w:jc w:val="left"/>
              <w:rPr>
                <w:rFonts w:ascii="Times New Roman" w:hAnsi="Times New Roman" w:cs="Times New Roman"/>
                <w:iCs/>
                <w:snapToGrid w:val="0"/>
                <w:color w:val="000000" w:themeColor="text1"/>
                <w:kern w:val="22"/>
                <w:szCs w:val="22"/>
              </w:rPr>
            </w:pPr>
            <w:r>
              <w:rPr>
                <w:rFonts w:ascii="Times New Roman" w:hAnsi="Times New Roman"/>
                <w:iCs/>
                <w:snapToGrid w:val="0"/>
                <w:color w:val="000000" w:themeColor="text1"/>
                <w:szCs w:val="22"/>
              </w:rPr>
              <w:t>Decisión </w:t>
            </w:r>
            <w:hyperlink r:id="rId24" w:history="1">
              <w:r>
                <w:rPr>
                  <w:rStyle w:val="Hipervnculo"/>
                  <w:rFonts w:ascii="Times New Roman" w:hAnsi="Times New Roman"/>
                  <w:iCs/>
                  <w:snapToGrid w:val="0"/>
                  <w:color w:val="000000" w:themeColor="text1"/>
                  <w:sz w:val="22"/>
                  <w:szCs w:val="22"/>
                  <w:u w:val="none"/>
                </w:rPr>
                <w:t>CP-9/7</w:t>
              </w:r>
            </w:hyperlink>
          </w:p>
        </w:tc>
        <w:tc>
          <w:tcPr>
            <w:tcW w:w="3909" w:type="dxa"/>
            <w:tcBorders>
              <w:bottom w:val="single" w:sz="4" w:space="0" w:color="auto"/>
            </w:tcBorders>
            <w:shd w:val="clear" w:color="auto" w:fill="FFFFFF" w:themeFill="background1"/>
          </w:tcPr>
          <w:p w14:paraId="7E4E1525" w14:textId="77777777" w:rsidR="001E2016" w:rsidRPr="00780276" w:rsidRDefault="001E2016" w:rsidP="00412F38">
            <w:pPr>
              <w:spacing w:before="40" w:after="40"/>
              <w:jc w:val="left"/>
              <w:rPr>
                <w:rFonts w:ascii="Times New Roman" w:hAnsi="Times New Roman" w:cs="Times New Roman"/>
                <w:bCs/>
                <w:color w:val="000000" w:themeColor="text1"/>
                <w:kern w:val="22"/>
                <w:szCs w:val="22"/>
                <w:shd w:val="clear" w:color="auto" w:fill="FFFFFF"/>
              </w:rPr>
            </w:pPr>
            <w:r>
              <w:rPr>
                <w:rFonts w:ascii="Times New Roman" w:hAnsi="Times New Roman"/>
                <w:iCs/>
                <w:snapToGrid w:val="0"/>
                <w:szCs w:val="22"/>
              </w:rPr>
              <w:t>El Grupo de Enlace preparará un proyecto del componente de seguridad de la biotecnología del marco mundial de la diversidad biológica posterior a 2020</w:t>
            </w:r>
            <w:r w:rsidRPr="00780276">
              <w:rPr>
                <w:rFonts w:ascii="Times New Roman" w:hAnsi="Times New Roman" w:cs="Times New Roman"/>
                <w:iCs/>
                <w:snapToGrid w:val="0"/>
                <w:kern w:val="22"/>
                <w:szCs w:val="22"/>
                <w:vertAlign w:val="superscript"/>
              </w:rPr>
              <w:footnoteReference w:id="29"/>
            </w:r>
            <w:r>
              <w:rPr>
                <w:rFonts w:ascii="Times New Roman" w:hAnsi="Times New Roman"/>
                <w:iCs/>
                <w:snapToGrid w:val="0"/>
                <w:szCs w:val="22"/>
              </w:rPr>
              <w:t>, que se presentará a la WG2020-2.</w:t>
            </w:r>
          </w:p>
        </w:tc>
        <w:tc>
          <w:tcPr>
            <w:tcW w:w="1861" w:type="dxa"/>
            <w:tcBorders>
              <w:bottom w:val="single" w:sz="4" w:space="0" w:color="auto"/>
            </w:tcBorders>
            <w:shd w:val="clear" w:color="auto" w:fill="FFFFFF" w:themeFill="background1"/>
          </w:tcPr>
          <w:p w14:paraId="148E1E30"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Comité</w:t>
            </w:r>
          </w:p>
          <w:p w14:paraId="2B28CC1D" w14:textId="77777777" w:rsidR="001E2016" w:rsidRPr="00780276" w:rsidRDefault="001E2016" w:rsidP="00412F38">
            <w:pPr>
              <w:spacing w:before="40" w:after="40"/>
              <w:jc w:val="left"/>
              <w:rPr>
                <w:rFonts w:ascii="Times New Roman" w:hAnsi="Times New Roman" w:cs="Times New Roman"/>
                <w:bCs/>
                <w:color w:val="000000" w:themeColor="text1"/>
                <w:kern w:val="22"/>
                <w:szCs w:val="22"/>
                <w:shd w:val="clear" w:color="auto" w:fill="FFFFFF"/>
              </w:rPr>
            </w:pPr>
            <w:r>
              <w:rPr>
                <w:rFonts w:ascii="Times New Roman" w:hAnsi="Times New Roman"/>
                <w:color w:val="000000" w:themeColor="text1"/>
                <w:szCs w:val="22"/>
              </w:rPr>
              <w:t>2</w:t>
            </w:r>
          </w:p>
        </w:tc>
      </w:tr>
      <w:tr w:rsidR="001E2016" w:rsidRPr="00225964" w14:paraId="42BC481D" w14:textId="77777777" w:rsidTr="00780276">
        <w:trPr>
          <w:cantSplit/>
          <w:jc w:val="center"/>
        </w:trPr>
        <w:tc>
          <w:tcPr>
            <w:tcW w:w="2154" w:type="dxa"/>
            <w:vMerge w:val="restart"/>
            <w:shd w:val="clear" w:color="auto" w:fill="FFFFFF" w:themeFill="background1"/>
          </w:tcPr>
          <w:p w14:paraId="31A73EDA" w14:textId="06F63438" w:rsidR="001E2016" w:rsidRPr="00780276" w:rsidRDefault="001E2016" w:rsidP="00412F38">
            <w:pPr>
              <w:spacing w:before="40" w:after="40"/>
              <w:jc w:val="left"/>
              <w:rPr>
                <w:rFonts w:ascii="Times New Roman" w:hAnsi="Times New Roman" w:cs="Times New Roman"/>
                <w:bCs/>
                <w:color w:val="000000" w:themeColor="text1"/>
                <w:kern w:val="22"/>
                <w:szCs w:val="22"/>
                <w:shd w:val="clear" w:color="auto" w:fill="FFFFFF"/>
              </w:rPr>
            </w:pPr>
            <w:r>
              <w:rPr>
                <w:rFonts w:ascii="Times New Roman" w:hAnsi="Times New Roman"/>
                <w:color w:val="000000" w:themeColor="text1"/>
                <w:szCs w:val="22"/>
              </w:rPr>
              <w:t>20 a 22 de noviembre de 2019, Montreal (Canadá)</w:t>
            </w:r>
          </w:p>
        </w:tc>
        <w:tc>
          <w:tcPr>
            <w:tcW w:w="2157" w:type="dxa"/>
            <w:vMerge w:val="restart"/>
            <w:shd w:val="clear" w:color="auto" w:fill="FFFFFF" w:themeFill="background1"/>
          </w:tcPr>
          <w:p w14:paraId="78230569"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 xml:space="preserve">11ª reunión del Grupo de Trabajo Especial de Composición Abierta sobre el Artículo 8 j) y Disposiciones Conexas del Convenio sobre la </w:t>
            </w:r>
            <w:r>
              <w:rPr>
                <w:rFonts w:ascii="Times New Roman" w:hAnsi="Times New Roman"/>
                <w:color w:val="000000" w:themeColor="text1"/>
                <w:szCs w:val="22"/>
              </w:rPr>
              <w:lastRenderedPageBreak/>
              <w:t>Diversidad Biológica (WG8J))</w:t>
            </w:r>
          </w:p>
        </w:tc>
        <w:tc>
          <w:tcPr>
            <w:tcW w:w="3016" w:type="dxa"/>
            <w:tcBorders>
              <w:bottom w:val="single" w:sz="4" w:space="0" w:color="auto"/>
            </w:tcBorders>
            <w:shd w:val="clear" w:color="auto" w:fill="FFFFFF" w:themeFill="background1"/>
          </w:tcPr>
          <w:p w14:paraId="729393A3"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lastRenderedPageBreak/>
              <w:t>Conocimientos tradicionales, innovaciones y prácticas</w:t>
            </w:r>
          </w:p>
        </w:tc>
        <w:tc>
          <w:tcPr>
            <w:tcW w:w="1032" w:type="dxa"/>
            <w:tcBorders>
              <w:bottom w:val="single" w:sz="4" w:space="0" w:color="auto"/>
            </w:tcBorders>
            <w:shd w:val="clear" w:color="auto" w:fill="FFFFFF" w:themeFill="background1"/>
          </w:tcPr>
          <w:p w14:paraId="2293D638"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iCs/>
                <w:snapToGrid w:val="0"/>
                <w:color w:val="000000" w:themeColor="text1"/>
                <w:szCs w:val="22"/>
              </w:rPr>
              <w:t>Decisión 14/34</w:t>
            </w:r>
          </w:p>
        </w:tc>
        <w:tc>
          <w:tcPr>
            <w:tcW w:w="3909" w:type="dxa"/>
            <w:tcBorders>
              <w:bottom w:val="single" w:sz="4" w:space="0" w:color="auto"/>
            </w:tcBorders>
            <w:shd w:val="clear" w:color="auto" w:fill="FFFFFF" w:themeFill="background1"/>
          </w:tcPr>
          <w:p w14:paraId="1C8DDB84"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iCs/>
                <w:snapToGrid w:val="0"/>
                <w:color w:val="000000" w:themeColor="text1"/>
                <w:szCs w:val="22"/>
              </w:rPr>
              <w:t>El WG8J formula recomendaciones al Grupo de Trabajo en su segunda reunión relativas al posible papel de los conocimientos tradicionales, la utilización consuetudinaria sostenible y la contribución de las acciones colectivas de los pueblos indígenas y las comunidades locales al marco mundial de la diversidad biológica posterior a 2020</w:t>
            </w:r>
          </w:p>
        </w:tc>
        <w:tc>
          <w:tcPr>
            <w:tcW w:w="1861" w:type="dxa"/>
            <w:vMerge w:val="restart"/>
            <w:shd w:val="clear" w:color="auto" w:fill="FFFFFF" w:themeFill="background1"/>
          </w:tcPr>
          <w:p w14:paraId="092B2123" w14:textId="0977EED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Reunión intergubernamen</w:t>
            </w:r>
            <w:r w:rsidR="004565D6">
              <w:rPr>
                <w:rFonts w:ascii="Times New Roman" w:hAnsi="Times New Roman"/>
                <w:color w:val="000000" w:themeColor="text1"/>
                <w:szCs w:val="22"/>
              </w:rPr>
              <w:t>-</w:t>
            </w:r>
            <w:r>
              <w:rPr>
                <w:rFonts w:ascii="Times New Roman" w:hAnsi="Times New Roman"/>
                <w:color w:val="000000" w:themeColor="text1"/>
                <w:szCs w:val="22"/>
              </w:rPr>
              <w:t>tal</w:t>
            </w:r>
          </w:p>
          <w:p w14:paraId="56A2E872" w14:textId="77777777" w:rsidR="001E2016" w:rsidRPr="00780276" w:rsidRDefault="001E2016" w:rsidP="00412F38">
            <w:pPr>
              <w:spacing w:before="40" w:after="40"/>
              <w:jc w:val="left"/>
              <w:rPr>
                <w:rFonts w:ascii="Times New Roman" w:hAnsi="Times New Roman" w:cs="Times New Roman"/>
                <w:bCs/>
                <w:color w:val="000000" w:themeColor="text1"/>
                <w:kern w:val="22"/>
                <w:szCs w:val="22"/>
                <w:shd w:val="clear" w:color="auto" w:fill="FFFFFF"/>
              </w:rPr>
            </w:pPr>
            <w:r>
              <w:rPr>
                <w:rFonts w:ascii="Times New Roman" w:hAnsi="Times New Roman"/>
                <w:color w:val="000000" w:themeColor="text1"/>
                <w:szCs w:val="22"/>
              </w:rPr>
              <w:t>1</w:t>
            </w:r>
          </w:p>
        </w:tc>
      </w:tr>
      <w:tr w:rsidR="001E2016" w:rsidRPr="00225964" w14:paraId="6AB4C06F" w14:textId="77777777" w:rsidTr="00780276">
        <w:trPr>
          <w:cantSplit/>
          <w:jc w:val="center"/>
        </w:trPr>
        <w:tc>
          <w:tcPr>
            <w:tcW w:w="2154" w:type="dxa"/>
            <w:vMerge/>
            <w:tcBorders>
              <w:bottom w:val="single" w:sz="4" w:space="0" w:color="auto"/>
            </w:tcBorders>
            <w:shd w:val="clear" w:color="auto" w:fill="auto"/>
          </w:tcPr>
          <w:p w14:paraId="4C274D30" w14:textId="77777777" w:rsidR="001E2016" w:rsidRPr="00225964" w:rsidRDefault="001E2016" w:rsidP="00412F38">
            <w:pPr>
              <w:spacing w:before="40" w:after="40"/>
              <w:jc w:val="left"/>
              <w:rPr>
                <w:rFonts w:ascii="Times New Roman" w:hAnsi="Times New Roman" w:cs="Times New Roman"/>
                <w:color w:val="000000" w:themeColor="text1"/>
                <w:kern w:val="22"/>
                <w:szCs w:val="22"/>
                <w:shd w:val="clear" w:color="auto" w:fill="FFFFFF"/>
              </w:rPr>
            </w:pPr>
          </w:p>
        </w:tc>
        <w:tc>
          <w:tcPr>
            <w:tcW w:w="2157" w:type="dxa"/>
            <w:vMerge/>
            <w:tcBorders>
              <w:bottom w:val="single" w:sz="4" w:space="0" w:color="auto"/>
            </w:tcBorders>
            <w:shd w:val="clear" w:color="auto" w:fill="auto"/>
          </w:tcPr>
          <w:p w14:paraId="1AC8FD50" w14:textId="77777777" w:rsidR="001E2016" w:rsidRPr="00225964" w:rsidRDefault="001E2016" w:rsidP="00412F38">
            <w:pPr>
              <w:spacing w:before="40" w:after="40"/>
              <w:jc w:val="left"/>
              <w:rPr>
                <w:rFonts w:ascii="Times New Roman" w:hAnsi="Times New Roman" w:cs="Times New Roman"/>
                <w:bCs/>
                <w:color w:val="000000" w:themeColor="text1"/>
                <w:kern w:val="22"/>
                <w:szCs w:val="22"/>
                <w:shd w:val="clear" w:color="auto" w:fill="FFFFFF"/>
              </w:rPr>
            </w:pPr>
          </w:p>
        </w:tc>
        <w:tc>
          <w:tcPr>
            <w:tcW w:w="3016" w:type="dxa"/>
            <w:tcBorders>
              <w:bottom w:val="single" w:sz="4" w:space="0" w:color="auto"/>
            </w:tcBorders>
            <w:shd w:val="clear" w:color="auto" w:fill="FFFFFF" w:themeFill="background1"/>
          </w:tcPr>
          <w:p w14:paraId="2BAA957E"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snapToGrid w:val="0"/>
                <w:color w:val="000000" w:themeColor="text1"/>
                <w:szCs w:val="22"/>
              </w:rPr>
              <w:t>Peticiones de la primera reunión del Grupo de Trabajo</w:t>
            </w:r>
          </w:p>
        </w:tc>
        <w:tc>
          <w:tcPr>
            <w:tcW w:w="1032" w:type="dxa"/>
            <w:tcBorders>
              <w:bottom w:val="single" w:sz="4" w:space="0" w:color="auto"/>
            </w:tcBorders>
            <w:shd w:val="clear" w:color="auto" w:fill="FFFFFF" w:themeFill="background1"/>
          </w:tcPr>
          <w:p w14:paraId="4A35DBCA" w14:textId="77777777" w:rsidR="001E2016" w:rsidRPr="00780276" w:rsidRDefault="001E2016" w:rsidP="00412F38">
            <w:pPr>
              <w:spacing w:before="40" w:after="40"/>
              <w:jc w:val="left"/>
              <w:rPr>
                <w:rFonts w:ascii="Times New Roman" w:hAnsi="Times New Roman" w:cs="Times New Roman"/>
                <w:iCs/>
                <w:snapToGrid w:val="0"/>
                <w:color w:val="000000" w:themeColor="text1"/>
                <w:kern w:val="22"/>
                <w:szCs w:val="22"/>
              </w:rPr>
            </w:pPr>
          </w:p>
        </w:tc>
        <w:tc>
          <w:tcPr>
            <w:tcW w:w="3909" w:type="dxa"/>
            <w:tcBorders>
              <w:bottom w:val="single" w:sz="4" w:space="0" w:color="auto"/>
            </w:tcBorders>
            <w:shd w:val="clear" w:color="auto" w:fill="FFFFFF" w:themeFill="background1"/>
          </w:tcPr>
          <w:p w14:paraId="0F3DA622" w14:textId="77777777" w:rsidR="001E2016" w:rsidRPr="00780276" w:rsidRDefault="001E2016" w:rsidP="00412F38">
            <w:pPr>
              <w:spacing w:before="40" w:after="40"/>
              <w:jc w:val="left"/>
              <w:rPr>
                <w:rFonts w:ascii="Times New Roman" w:hAnsi="Times New Roman" w:cs="Times New Roman"/>
                <w:bCs/>
                <w:color w:val="000000" w:themeColor="text1"/>
                <w:kern w:val="22"/>
                <w:szCs w:val="22"/>
                <w:shd w:val="clear" w:color="auto" w:fill="FFFFFF"/>
              </w:rPr>
            </w:pPr>
            <w:r>
              <w:rPr>
                <w:rFonts w:ascii="Times New Roman" w:hAnsi="Times New Roman"/>
                <w:iCs/>
                <w:snapToGrid w:val="0"/>
                <w:color w:val="000000" w:themeColor="text1"/>
                <w:szCs w:val="22"/>
              </w:rPr>
              <w:t>El WG8J examinará cualquier petición adicional derivada de la primera reunión del Grupo de Trabajo y formulará su recomendación a la segunda reunión del Grupo de Trabajo</w:t>
            </w:r>
          </w:p>
        </w:tc>
        <w:tc>
          <w:tcPr>
            <w:tcW w:w="1861" w:type="dxa"/>
            <w:vMerge/>
            <w:tcBorders>
              <w:bottom w:val="single" w:sz="4" w:space="0" w:color="auto"/>
            </w:tcBorders>
            <w:shd w:val="clear" w:color="auto" w:fill="auto"/>
          </w:tcPr>
          <w:p w14:paraId="4B1B2059" w14:textId="77777777" w:rsidR="001E2016" w:rsidRPr="00225964" w:rsidRDefault="001E2016" w:rsidP="00412F38">
            <w:pPr>
              <w:spacing w:before="40" w:after="40"/>
              <w:jc w:val="left"/>
              <w:rPr>
                <w:rFonts w:ascii="Times New Roman" w:hAnsi="Times New Roman" w:cs="Times New Roman"/>
                <w:bCs/>
                <w:color w:val="000000" w:themeColor="text1"/>
                <w:kern w:val="22"/>
                <w:szCs w:val="22"/>
                <w:shd w:val="clear" w:color="auto" w:fill="FFFFFF"/>
              </w:rPr>
            </w:pPr>
          </w:p>
        </w:tc>
      </w:tr>
      <w:tr w:rsidR="001E2016" w:rsidRPr="00225964" w14:paraId="507E4E8D" w14:textId="77777777" w:rsidTr="00780276">
        <w:trPr>
          <w:cantSplit/>
          <w:jc w:val="center"/>
        </w:trPr>
        <w:tc>
          <w:tcPr>
            <w:tcW w:w="2154" w:type="dxa"/>
            <w:vMerge w:val="restart"/>
            <w:shd w:val="clear" w:color="auto" w:fill="FFFFFF" w:themeFill="background1"/>
          </w:tcPr>
          <w:p w14:paraId="334754D1" w14:textId="1DEC36B1"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r>
              <w:rPr>
                <w:rFonts w:ascii="Times New Roman" w:hAnsi="Times New Roman"/>
                <w:color w:val="000000" w:themeColor="text1"/>
                <w:szCs w:val="22"/>
              </w:rPr>
              <w:t>25 a 29 de noviembre de 2019, Montreal (Canadá)</w:t>
            </w:r>
          </w:p>
        </w:tc>
        <w:tc>
          <w:tcPr>
            <w:tcW w:w="2157" w:type="dxa"/>
            <w:vMerge w:val="restart"/>
            <w:shd w:val="clear" w:color="auto" w:fill="FFFFFF" w:themeFill="background1"/>
          </w:tcPr>
          <w:p w14:paraId="528D9E61"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iCs/>
                <w:snapToGrid w:val="0"/>
                <w:color w:val="000000" w:themeColor="text1"/>
                <w:szCs w:val="22"/>
              </w:rPr>
              <w:t>23ª reunión del Órgano Subsidiario de Asesoramiento Científico, Técnico y Tecnológico (OSACTT-23)</w:t>
            </w:r>
          </w:p>
        </w:tc>
        <w:tc>
          <w:tcPr>
            <w:tcW w:w="3016" w:type="dxa"/>
            <w:tcBorders>
              <w:bottom w:val="single" w:sz="4" w:space="0" w:color="auto"/>
            </w:tcBorders>
            <w:shd w:val="clear" w:color="auto" w:fill="FFFFFF" w:themeFill="background1"/>
          </w:tcPr>
          <w:p w14:paraId="1E01E1E2"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Base y evidencia científicas</w:t>
            </w:r>
          </w:p>
        </w:tc>
        <w:tc>
          <w:tcPr>
            <w:tcW w:w="1032" w:type="dxa"/>
            <w:tcBorders>
              <w:bottom w:val="single" w:sz="4" w:space="0" w:color="auto"/>
            </w:tcBorders>
            <w:shd w:val="clear" w:color="auto" w:fill="FFFFFF" w:themeFill="background1"/>
          </w:tcPr>
          <w:p w14:paraId="49434B21"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Decisión </w:t>
            </w:r>
            <w:hyperlink r:id="rId25" w:history="1">
              <w:r>
                <w:rPr>
                  <w:rStyle w:val="Hipervnculo"/>
                  <w:rFonts w:ascii="Times New Roman" w:hAnsi="Times New Roman"/>
                  <w:color w:val="000000" w:themeColor="text1"/>
                  <w:sz w:val="22"/>
                  <w:szCs w:val="22"/>
                  <w:u w:val="none"/>
                </w:rPr>
                <w:t>14/35</w:t>
              </w:r>
            </w:hyperlink>
          </w:p>
        </w:tc>
        <w:tc>
          <w:tcPr>
            <w:tcW w:w="3909" w:type="dxa"/>
            <w:tcBorders>
              <w:bottom w:val="single" w:sz="4" w:space="0" w:color="auto"/>
            </w:tcBorders>
            <w:shd w:val="clear" w:color="auto" w:fill="FFFFFF" w:themeFill="background1"/>
          </w:tcPr>
          <w:p w14:paraId="35A61B63" w14:textId="09FAEBC9"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 xml:space="preserve">Se examinarán los progresos en la preparación de la quinta edición de la </w:t>
            </w:r>
            <w:r>
              <w:rPr>
                <w:rFonts w:ascii="Times New Roman" w:hAnsi="Times New Roman"/>
                <w:i/>
                <w:color w:val="000000" w:themeColor="text1"/>
                <w:szCs w:val="22"/>
              </w:rPr>
              <w:t>Perspectiva Mundial sobre la Diversidad Biológica</w:t>
            </w:r>
            <w:r>
              <w:rPr>
                <w:rFonts w:ascii="Times New Roman" w:hAnsi="Times New Roman"/>
                <w:color w:val="000000" w:themeColor="text1"/>
                <w:szCs w:val="22"/>
              </w:rPr>
              <w:t xml:space="preserve"> y sus proyectos de mensajes y las conclusiones de las evaluaciones de la IPBES. El OSACTT comunicará al Grupo de Trabajo cualquier resultado o conclusión de sus deliberaciones que pueda ser relevante para la elaboración del marco mundial de la diversidad biológica posterior a 2020 para someterlos al examen del Grupo de Trabajo.</w:t>
            </w:r>
          </w:p>
        </w:tc>
        <w:tc>
          <w:tcPr>
            <w:tcW w:w="1861" w:type="dxa"/>
            <w:vMerge w:val="restart"/>
            <w:shd w:val="clear" w:color="auto" w:fill="FFFFFF" w:themeFill="background1"/>
          </w:tcPr>
          <w:p w14:paraId="40757C1B" w14:textId="591251EC"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Reunión intergubernamen</w:t>
            </w:r>
            <w:r w:rsidR="004565D6">
              <w:rPr>
                <w:rFonts w:ascii="Times New Roman" w:hAnsi="Times New Roman"/>
                <w:color w:val="000000" w:themeColor="text1"/>
                <w:szCs w:val="22"/>
              </w:rPr>
              <w:t>-</w:t>
            </w:r>
            <w:r>
              <w:rPr>
                <w:rFonts w:ascii="Times New Roman" w:hAnsi="Times New Roman"/>
                <w:color w:val="000000" w:themeColor="text1"/>
                <w:szCs w:val="22"/>
              </w:rPr>
              <w:t>tal</w:t>
            </w:r>
          </w:p>
          <w:p w14:paraId="7626FB29"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1</w:t>
            </w:r>
          </w:p>
        </w:tc>
      </w:tr>
      <w:tr w:rsidR="001E2016" w:rsidRPr="00225964" w14:paraId="464D8E4D" w14:textId="77777777" w:rsidTr="00780276">
        <w:trPr>
          <w:cantSplit/>
          <w:jc w:val="center"/>
        </w:trPr>
        <w:tc>
          <w:tcPr>
            <w:tcW w:w="2154" w:type="dxa"/>
            <w:vMerge/>
            <w:tcBorders>
              <w:bottom w:val="single" w:sz="4" w:space="0" w:color="auto"/>
            </w:tcBorders>
            <w:shd w:val="clear" w:color="auto" w:fill="FFFFFF" w:themeFill="background1"/>
          </w:tcPr>
          <w:p w14:paraId="18985E67"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2157" w:type="dxa"/>
            <w:vMerge/>
            <w:tcBorders>
              <w:bottom w:val="single" w:sz="4" w:space="0" w:color="auto"/>
            </w:tcBorders>
            <w:shd w:val="clear" w:color="auto" w:fill="FFFFFF" w:themeFill="background1"/>
          </w:tcPr>
          <w:p w14:paraId="286A4D77"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3016" w:type="dxa"/>
            <w:tcBorders>
              <w:bottom w:val="single" w:sz="4" w:space="0" w:color="auto"/>
            </w:tcBorders>
            <w:shd w:val="clear" w:color="auto" w:fill="FFFFFF" w:themeFill="background1"/>
          </w:tcPr>
          <w:p w14:paraId="112AA2FA" w14:textId="77777777" w:rsidR="001E2016" w:rsidRPr="00780276" w:rsidRDefault="001E2016" w:rsidP="00412F38">
            <w:pPr>
              <w:pStyle w:val="Para3"/>
              <w:numPr>
                <w:ilvl w:val="0"/>
                <w:numId w:val="0"/>
              </w:numPr>
              <w:spacing w:before="40" w:after="40"/>
              <w:jc w:val="left"/>
              <w:rPr>
                <w:rFonts w:ascii="Times New Roman" w:hAnsi="Times New Roman" w:cs="Times New Roman"/>
                <w:color w:val="000000" w:themeColor="text1"/>
                <w:kern w:val="22"/>
                <w:szCs w:val="22"/>
              </w:rPr>
            </w:pPr>
            <w:r>
              <w:rPr>
                <w:rFonts w:ascii="Times New Roman" w:hAnsi="Times New Roman"/>
                <w:snapToGrid w:val="0"/>
                <w:color w:val="000000" w:themeColor="text1"/>
                <w:szCs w:val="22"/>
              </w:rPr>
              <w:t>Peticiones de la primera reunión del Grupo de Trabajo</w:t>
            </w:r>
          </w:p>
        </w:tc>
        <w:tc>
          <w:tcPr>
            <w:tcW w:w="1032" w:type="dxa"/>
            <w:tcBorders>
              <w:bottom w:val="single" w:sz="4" w:space="0" w:color="auto"/>
            </w:tcBorders>
            <w:shd w:val="clear" w:color="auto" w:fill="FFFFFF" w:themeFill="background1"/>
          </w:tcPr>
          <w:p w14:paraId="2BBB1502"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c>
          <w:tcPr>
            <w:tcW w:w="3909" w:type="dxa"/>
            <w:tcBorders>
              <w:bottom w:val="single" w:sz="4" w:space="0" w:color="auto"/>
            </w:tcBorders>
            <w:shd w:val="clear" w:color="auto" w:fill="FFFFFF" w:themeFill="background1"/>
          </w:tcPr>
          <w:p w14:paraId="4321AC71"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El OSACTT examinará cualquier petición adicional derivada de la primera reunión del Grupo de Trabajo y formulará su recomendación a la segunda reunión del Grupo de Trabajo</w:t>
            </w:r>
          </w:p>
        </w:tc>
        <w:tc>
          <w:tcPr>
            <w:tcW w:w="1861" w:type="dxa"/>
            <w:vMerge/>
            <w:tcBorders>
              <w:bottom w:val="single" w:sz="4" w:space="0" w:color="auto"/>
            </w:tcBorders>
            <w:shd w:val="clear" w:color="auto" w:fill="FFFFFF" w:themeFill="background1"/>
          </w:tcPr>
          <w:p w14:paraId="7DE14629"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r>
      <w:tr w:rsidR="001E2016" w:rsidRPr="00225964" w14:paraId="7E197060" w14:textId="77777777" w:rsidTr="00780276">
        <w:trPr>
          <w:cantSplit/>
          <w:jc w:val="center"/>
        </w:trPr>
        <w:tc>
          <w:tcPr>
            <w:tcW w:w="2154" w:type="dxa"/>
            <w:tcBorders>
              <w:bottom w:val="single" w:sz="4" w:space="0" w:color="auto"/>
            </w:tcBorders>
            <w:shd w:val="clear" w:color="auto" w:fill="FFFFFF" w:themeFill="background1"/>
          </w:tcPr>
          <w:p w14:paraId="2859001C"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24 a 28 de febrero de 2020, Kunming (China)</w:t>
            </w:r>
          </w:p>
        </w:tc>
        <w:tc>
          <w:tcPr>
            <w:tcW w:w="2157" w:type="dxa"/>
            <w:tcBorders>
              <w:bottom w:val="single" w:sz="4" w:space="0" w:color="auto"/>
            </w:tcBorders>
            <w:shd w:val="clear" w:color="auto" w:fill="FFFFFF" w:themeFill="background1"/>
          </w:tcPr>
          <w:p w14:paraId="7965E75E"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Segunda reunión del Grupo de Trabajo</w:t>
            </w:r>
          </w:p>
        </w:tc>
        <w:tc>
          <w:tcPr>
            <w:tcW w:w="3016" w:type="dxa"/>
            <w:tcBorders>
              <w:bottom w:val="single" w:sz="4" w:space="0" w:color="auto"/>
            </w:tcBorders>
            <w:shd w:val="clear" w:color="auto" w:fill="FFFFFF" w:themeFill="background1"/>
          </w:tcPr>
          <w:p w14:paraId="556A0000"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Alcance y contenido del marco mundial de la diversidad biológica posterior a 2020</w:t>
            </w:r>
          </w:p>
        </w:tc>
        <w:tc>
          <w:tcPr>
            <w:tcW w:w="1032" w:type="dxa"/>
            <w:tcBorders>
              <w:bottom w:val="single" w:sz="4" w:space="0" w:color="auto"/>
            </w:tcBorders>
            <w:shd w:val="clear" w:color="auto" w:fill="FFFFFF" w:themeFill="background1"/>
          </w:tcPr>
          <w:p w14:paraId="5E8EEDC5"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iCs/>
                <w:color w:val="000000" w:themeColor="text1"/>
                <w:szCs w:val="22"/>
              </w:rPr>
              <w:t>Decisión 14/34</w:t>
            </w:r>
          </w:p>
        </w:tc>
        <w:tc>
          <w:tcPr>
            <w:tcW w:w="3909" w:type="dxa"/>
            <w:tcBorders>
              <w:bottom w:val="single" w:sz="4" w:space="0" w:color="auto"/>
            </w:tcBorders>
            <w:shd w:val="clear" w:color="auto" w:fill="FFFFFF" w:themeFill="background1"/>
          </w:tcPr>
          <w:p w14:paraId="2C447C61"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Iniciar negociaciones del texto sobre el marco mundial de la diversidad biológica posterior a 2020 basado en el borrador preliminar de los copresidentes.</w:t>
            </w:r>
          </w:p>
        </w:tc>
        <w:tc>
          <w:tcPr>
            <w:tcW w:w="1861" w:type="dxa"/>
            <w:tcBorders>
              <w:bottom w:val="single" w:sz="4" w:space="0" w:color="auto"/>
            </w:tcBorders>
            <w:shd w:val="clear" w:color="auto" w:fill="FFFFFF" w:themeFill="background1"/>
          </w:tcPr>
          <w:p w14:paraId="5A645899" w14:textId="2EDDB4D3"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Reunión intergubernamen</w:t>
            </w:r>
            <w:r w:rsidR="004565D6">
              <w:rPr>
                <w:rFonts w:ascii="Times New Roman" w:hAnsi="Times New Roman"/>
                <w:color w:val="000000" w:themeColor="text1"/>
                <w:szCs w:val="22"/>
              </w:rPr>
              <w:t>-</w:t>
            </w:r>
            <w:r>
              <w:rPr>
                <w:rFonts w:ascii="Times New Roman" w:hAnsi="Times New Roman"/>
                <w:color w:val="000000" w:themeColor="text1"/>
                <w:szCs w:val="22"/>
              </w:rPr>
              <w:t>tal</w:t>
            </w:r>
          </w:p>
          <w:p w14:paraId="56A7CABC"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1</w:t>
            </w:r>
          </w:p>
        </w:tc>
      </w:tr>
      <w:tr w:rsidR="001E2016" w:rsidRPr="00225964" w14:paraId="186AA484" w14:textId="77777777" w:rsidTr="00780276">
        <w:trPr>
          <w:cantSplit/>
          <w:jc w:val="center"/>
        </w:trPr>
        <w:tc>
          <w:tcPr>
            <w:tcW w:w="2154" w:type="dxa"/>
            <w:shd w:val="clear" w:color="auto" w:fill="FFFFFF" w:themeFill="background1"/>
          </w:tcPr>
          <w:p w14:paraId="30F90A29" w14:textId="77777777" w:rsidR="001E2016" w:rsidRPr="00780276" w:rsidRDefault="001E2016" w:rsidP="00412F38">
            <w:pPr>
              <w:spacing w:before="40" w:after="40"/>
              <w:jc w:val="left"/>
              <w:rPr>
                <w:rFonts w:ascii="Times New Roman" w:hAnsi="Times New Roman" w:cs="Times New Roman"/>
                <w:bCs/>
                <w:color w:val="000000" w:themeColor="text1"/>
                <w:kern w:val="22"/>
                <w:szCs w:val="22"/>
                <w:shd w:val="clear" w:color="auto" w:fill="FFFFFF"/>
              </w:rPr>
            </w:pPr>
            <w:r>
              <w:rPr>
                <w:rFonts w:ascii="Times New Roman" w:hAnsi="Times New Roman"/>
                <w:color w:val="000000" w:themeColor="text1"/>
                <w:szCs w:val="22"/>
              </w:rPr>
              <w:lastRenderedPageBreak/>
              <w:t>17 a 20 de marzo de 2020, Montreal (Canadá)</w:t>
            </w:r>
          </w:p>
        </w:tc>
        <w:tc>
          <w:tcPr>
            <w:tcW w:w="2157" w:type="dxa"/>
            <w:shd w:val="clear" w:color="auto" w:fill="FFFFFF" w:themeFill="background1"/>
          </w:tcPr>
          <w:p w14:paraId="5D07A753"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Grupo Especial de Expertos Técnicos en Información Digital sobre Secuencias de Recursos Genéticos</w:t>
            </w:r>
          </w:p>
        </w:tc>
        <w:tc>
          <w:tcPr>
            <w:tcW w:w="3016" w:type="dxa"/>
            <w:shd w:val="clear" w:color="auto" w:fill="FFFFFF" w:themeFill="background1"/>
          </w:tcPr>
          <w:p w14:paraId="09AB1297"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Información digital sobre secuencias</w:t>
            </w:r>
          </w:p>
        </w:tc>
        <w:tc>
          <w:tcPr>
            <w:tcW w:w="1032" w:type="dxa"/>
            <w:shd w:val="clear" w:color="auto" w:fill="FFFFFF" w:themeFill="background1"/>
          </w:tcPr>
          <w:p w14:paraId="02F4F2DE"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iCs/>
                <w:snapToGrid w:val="0"/>
                <w:color w:val="000000" w:themeColor="text1"/>
                <w:szCs w:val="22"/>
              </w:rPr>
              <w:t>Decisión </w:t>
            </w:r>
            <w:hyperlink r:id="rId26" w:history="1">
              <w:r>
                <w:rPr>
                  <w:rStyle w:val="Hipervnculo"/>
                  <w:rFonts w:ascii="Times New Roman" w:hAnsi="Times New Roman"/>
                  <w:iCs/>
                  <w:snapToGrid w:val="0"/>
                  <w:color w:val="000000" w:themeColor="text1"/>
                  <w:sz w:val="22"/>
                  <w:szCs w:val="22"/>
                  <w:u w:val="none"/>
                </w:rPr>
                <w:t>14/20</w:t>
              </w:r>
            </w:hyperlink>
          </w:p>
        </w:tc>
        <w:tc>
          <w:tcPr>
            <w:tcW w:w="3909" w:type="dxa"/>
            <w:shd w:val="clear" w:color="auto" w:fill="FFFFFF" w:themeFill="background1"/>
          </w:tcPr>
          <w:p w14:paraId="0A15D11E" w14:textId="77777777" w:rsidR="001E2016" w:rsidRPr="00780276" w:rsidRDefault="001E2016" w:rsidP="00412F38">
            <w:pPr>
              <w:suppressLineNumbers/>
              <w:suppressAutoHyphens/>
              <w:kinsoku w:val="0"/>
              <w:overflowPunct w:val="0"/>
              <w:autoSpaceDE w:val="0"/>
              <w:autoSpaceDN w:val="0"/>
              <w:adjustRightInd w:val="0"/>
              <w:snapToGrid w:val="0"/>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El Grupo Especial de Expertos Técnicos en Información Digital sobre Secuencias ampliado formula recomendaciones a la WG2020-3 sobre cómo tratar la información digital sobre secuencias de recursos genéticos en el contexto del marco mundial de la diversidad biológica posterior a 2020</w:t>
            </w:r>
          </w:p>
        </w:tc>
        <w:tc>
          <w:tcPr>
            <w:tcW w:w="1861" w:type="dxa"/>
            <w:shd w:val="clear" w:color="auto" w:fill="FFFFFF" w:themeFill="background1"/>
          </w:tcPr>
          <w:p w14:paraId="020434A9"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Comité</w:t>
            </w:r>
          </w:p>
          <w:p w14:paraId="7664E9CF" w14:textId="77777777" w:rsidR="001E2016" w:rsidRPr="00780276" w:rsidRDefault="001E2016" w:rsidP="00412F38">
            <w:pPr>
              <w:suppressLineNumbers/>
              <w:suppressAutoHyphens/>
              <w:kinsoku w:val="0"/>
              <w:overflowPunct w:val="0"/>
              <w:autoSpaceDE w:val="0"/>
              <w:autoSpaceDN w:val="0"/>
              <w:adjustRightInd w:val="0"/>
              <w:snapToGrid w:val="0"/>
              <w:spacing w:before="40" w:after="40"/>
              <w:jc w:val="left"/>
              <w:rPr>
                <w:rFonts w:ascii="Times New Roman" w:hAnsi="Times New Roman" w:cs="Times New Roman"/>
                <w:iCs/>
                <w:snapToGrid w:val="0"/>
                <w:color w:val="000000" w:themeColor="text1"/>
                <w:kern w:val="22"/>
                <w:szCs w:val="22"/>
              </w:rPr>
            </w:pPr>
            <w:r>
              <w:rPr>
                <w:rFonts w:ascii="Times New Roman" w:hAnsi="Times New Roman"/>
                <w:color w:val="000000" w:themeColor="text1"/>
                <w:szCs w:val="22"/>
              </w:rPr>
              <w:t>2</w:t>
            </w:r>
          </w:p>
        </w:tc>
      </w:tr>
      <w:tr w:rsidR="001E2016" w:rsidRPr="00225964" w14:paraId="4FA2823F" w14:textId="77777777" w:rsidTr="00780276">
        <w:trPr>
          <w:cantSplit/>
          <w:jc w:val="center"/>
        </w:trPr>
        <w:tc>
          <w:tcPr>
            <w:tcW w:w="2154" w:type="dxa"/>
            <w:tcBorders>
              <w:bottom w:val="single" w:sz="4" w:space="0" w:color="auto"/>
            </w:tcBorders>
            <w:shd w:val="clear" w:color="auto" w:fill="FFFFFF" w:themeFill="background1"/>
          </w:tcPr>
          <w:p w14:paraId="4E361845"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21 a 23 de abril de 2020, Montreal (Canadá)</w:t>
            </w:r>
          </w:p>
        </w:tc>
        <w:tc>
          <w:tcPr>
            <w:tcW w:w="2157" w:type="dxa"/>
            <w:tcBorders>
              <w:bottom w:val="single" w:sz="4" w:space="0" w:color="auto"/>
            </w:tcBorders>
            <w:shd w:val="clear" w:color="auto" w:fill="FFFFFF" w:themeFill="background1"/>
          </w:tcPr>
          <w:p w14:paraId="0C4DF160"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Comité de Cumplimiento en virtud del Protocolo de Nagoya</w:t>
            </w:r>
          </w:p>
        </w:tc>
        <w:tc>
          <w:tcPr>
            <w:tcW w:w="3016" w:type="dxa"/>
            <w:tcBorders>
              <w:bottom w:val="single" w:sz="4" w:space="0" w:color="auto"/>
            </w:tcBorders>
            <w:shd w:val="clear" w:color="auto" w:fill="FFFFFF" w:themeFill="background1"/>
          </w:tcPr>
          <w:p w14:paraId="2531AF57"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Protocolo de Nagoya/ Acceso y participación en los beneficios</w:t>
            </w:r>
          </w:p>
        </w:tc>
        <w:tc>
          <w:tcPr>
            <w:tcW w:w="1032" w:type="dxa"/>
            <w:tcBorders>
              <w:bottom w:val="single" w:sz="4" w:space="0" w:color="auto"/>
            </w:tcBorders>
            <w:shd w:val="clear" w:color="auto" w:fill="FFFFFF" w:themeFill="background1"/>
          </w:tcPr>
          <w:p w14:paraId="7E2070AC"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iCs/>
                <w:snapToGrid w:val="0"/>
                <w:color w:val="000000" w:themeColor="text1"/>
                <w:szCs w:val="22"/>
              </w:rPr>
              <w:t>Decisión </w:t>
            </w:r>
            <w:hyperlink r:id="rId27" w:history="1">
              <w:r>
                <w:rPr>
                  <w:rStyle w:val="Hipervnculo"/>
                  <w:rFonts w:ascii="Times New Roman" w:hAnsi="Times New Roman"/>
                  <w:iCs/>
                  <w:snapToGrid w:val="0"/>
                  <w:color w:val="000000" w:themeColor="text1"/>
                  <w:sz w:val="22"/>
                  <w:szCs w:val="22"/>
                  <w:u w:val="none"/>
                </w:rPr>
                <w:t>NP-3/15</w:t>
              </w:r>
            </w:hyperlink>
          </w:p>
        </w:tc>
        <w:tc>
          <w:tcPr>
            <w:tcW w:w="3909" w:type="dxa"/>
            <w:tcBorders>
              <w:bottom w:val="single" w:sz="4" w:space="0" w:color="auto"/>
            </w:tcBorders>
            <w:shd w:val="clear" w:color="auto" w:fill="FFFFFF" w:themeFill="background1"/>
          </w:tcPr>
          <w:p w14:paraId="3D8F6F0B" w14:textId="7A343C6E"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iCs/>
                <w:snapToGrid w:val="0"/>
                <w:color w:val="000000" w:themeColor="text1"/>
                <w:szCs w:val="22"/>
              </w:rPr>
              <w:t>El Comité de Cumplimiento examina cómo apoyar y promover el cumplimiento del Protocolo de Nagoya dentro del marco mundial de la diversidad biológica posterior a 2020. El Comité puede formular recomendaciones a la WG2020-3.</w:t>
            </w:r>
          </w:p>
        </w:tc>
        <w:tc>
          <w:tcPr>
            <w:tcW w:w="1861" w:type="dxa"/>
            <w:tcBorders>
              <w:bottom w:val="single" w:sz="4" w:space="0" w:color="auto"/>
            </w:tcBorders>
            <w:shd w:val="clear" w:color="auto" w:fill="FFFFFF" w:themeFill="background1"/>
          </w:tcPr>
          <w:p w14:paraId="42A3DCE0"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Comité</w:t>
            </w:r>
          </w:p>
          <w:p w14:paraId="235D5C16" w14:textId="77777777" w:rsidR="001E2016" w:rsidRPr="00780276" w:rsidRDefault="001E2016" w:rsidP="00412F38">
            <w:pPr>
              <w:spacing w:before="40" w:after="40"/>
              <w:jc w:val="left"/>
              <w:rPr>
                <w:rFonts w:ascii="Times New Roman" w:hAnsi="Times New Roman" w:cs="Times New Roman"/>
                <w:iCs/>
                <w:snapToGrid w:val="0"/>
                <w:color w:val="000000" w:themeColor="text1"/>
                <w:kern w:val="22"/>
                <w:szCs w:val="22"/>
              </w:rPr>
            </w:pPr>
            <w:r>
              <w:rPr>
                <w:rFonts w:ascii="Times New Roman" w:hAnsi="Times New Roman"/>
                <w:color w:val="000000" w:themeColor="text1"/>
                <w:szCs w:val="22"/>
              </w:rPr>
              <w:t>2</w:t>
            </w:r>
          </w:p>
        </w:tc>
      </w:tr>
      <w:tr w:rsidR="001E2016" w:rsidRPr="00225964" w14:paraId="60E67D6E" w14:textId="77777777" w:rsidTr="00780276">
        <w:trPr>
          <w:cantSplit/>
          <w:jc w:val="center"/>
        </w:trPr>
        <w:tc>
          <w:tcPr>
            <w:tcW w:w="2154" w:type="dxa"/>
            <w:vMerge w:val="restart"/>
            <w:shd w:val="clear" w:color="auto" w:fill="FFFFFF" w:themeFill="background1"/>
          </w:tcPr>
          <w:p w14:paraId="286B84F4"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18 a 23 de mayo de 2020, Montreal (Canadá)</w:t>
            </w:r>
          </w:p>
        </w:tc>
        <w:tc>
          <w:tcPr>
            <w:tcW w:w="2157" w:type="dxa"/>
            <w:vMerge w:val="restart"/>
            <w:shd w:val="clear" w:color="auto" w:fill="FFFFFF" w:themeFill="background1"/>
          </w:tcPr>
          <w:p w14:paraId="3FD844DB"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24ª reunión del Órgano Subsidiario de Asesoramiento Científico, Técnico y Tecnológico (OSACTT-24)</w:t>
            </w:r>
          </w:p>
        </w:tc>
        <w:tc>
          <w:tcPr>
            <w:tcW w:w="3016" w:type="dxa"/>
            <w:shd w:val="clear" w:color="auto" w:fill="FFFFFF" w:themeFill="background1"/>
          </w:tcPr>
          <w:p w14:paraId="66D65295"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Validación de objetivos, metas, indicadores, bases de referencia y marco de seguimiento</w:t>
            </w:r>
          </w:p>
        </w:tc>
        <w:tc>
          <w:tcPr>
            <w:tcW w:w="1032" w:type="dxa"/>
            <w:shd w:val="clear" w:color="auto" w:fill="FFFFFF" w:themeFill="background1"/>
          </w:tcPr>
          <w:p w14:paraId="472B13D7"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Decisión </w:t>
            </w:r>
            <w:hyperlink r:id="rId28" w:history="1">
              <w:r>
                <w:rPr>
                  <w:rStyle w:val="Hipervnculo"/>
                  <w:rFonts w:ascii="Times New Roman" w:hAnsi="Times New Roman"/>
                  <w:color w:val="000000" w:themeColor="text1"/>
                  <w:sz w:val="22"/>
                  <w:szCs w:val="22"/>
                  <w:u w:val="none"/>
                </w:rPr>
                <w:t>14/35</w:t>
              </w:r>
            </w:hyperlink>
          </w:p>
        </w:tc>
        <w:tc>
          <w:tcPr>
            <w:tcW w:w="3909" w:type="dxa"/>
            <w:shd w:val="clear" w:color="auto" w:fill="FFFFFF" w:themeFill="background1"/>
          </w:tcPr>
          <w:p w14:paraId="5AA506A8" w14:textId="40FF53ED"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El OSACTT examinará los resultados de las reuniones primera y segunda del Grupo de Trabajo y, basándose en ellos, formulará recomendaciones a la WG2020-3 en relación con los elementos científicos y técnicos del marco mundial de la diversidad biológica posterior a 2020</w:t>
            </w:r>
          </w:p>
        </w:tc>
        <w:tc>
          <w:tcPr>
            <w:tcW w:w="1861" w:type="dxa"/>
            <w:vMerge w:val="restart"/>
            <w:shd w:val="clear" w:color="auto" w:fill="FFFFFF" w:themeFill="background1"/>
          </w:tcPr>
          <w:p w14:paraId="07FD35EC" w14:textId="0A6ED501"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Reunión intergubernamen</w:t>
            </w:r>
            <w:r w:rsidR="004565D6">
              <w:rPr>
                <w:rFonts w:ascii="Times New Roman" w:hAnsi="Times New Roman"/>
                <w:color w:val="000000" w:themeColor="text1"/>
                <w:szCs w:val="22"/>
              </w:rPr>
              <w:t>-</w:t>
            </w:r>
            <w:r>
              <w:rPr>
                <w:rFonts w:ascii="Times New Roman" w:hAnsi="Times New Roman"/>
                <w:color w:val="000000" w:themeColor="text1"/>
                <w:szCs w:val="22"/>
              </w:rPr>
              <w:t>tal</w:t>
            </w:r>
          </w:p>
          <w:p w14:paraId="180A5EE0"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1</w:t>
            </w:r>
          </w:p>
        </w:tc>
      </w:tr>
      <w:tr w:rsidR="001E2016" w:rsidRPr="00225964" w14:paraId="75FFBC37" w14:textId="77777777" w:rsidTr="00780276">
        <w:trPr>
          <w:cantSplit/>
          <w:jc w:val="center"/>
        </w:trPr>
        <w:tc>
          <w:tcPr>
            <w:tcW w:w="2154" w:type="dxa"/>
            <w:vMerge/>
            <w:shd w:val="clear" w:color="auto" w:fill="FFFFFF" w:themeFill="background1"/>
          </w:tcPr>
          <w:p w14:paraId="0566DECC"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2157" w:type="dxa"/>
            <w:vMerge/>
            <w:shd w:val="clear" w:color="auto" w:fill="FFFFFF" w:themeFill="background1"/>
          </w:tcPr>
          <w:p w14:paraId="567DF8EC"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3016" w:type="dxa"/>
            <w:shd w:val="clear" w:color="auto" w:fill="FFFFFF" w:themeFill="background1"/>
          </w:tcPr>
          <w:p w14:paraId="39C35425" w14:textId="77777777" w:rsidR="001E2016" w:rsidRPr="00780276" w:rsidRDefault="001E2016" w:rsidP="00412F38">
            <w:pPr>
              <w:pStyle w:val="Para10"/>
              <w:numPr>
                <w:ilvl w:val="0"/>
                <w:numId w:val="0"/>
              </w:numPr>
              <w:spacing w:before="40" w:after="40"/>
              <w:jc w:val="left"/>
              <w:rPr>
                <w:rFonts w:ascii="Times New Roman" w:eastAsia="Malgun Gothic" w:hAnsi="Times New Roman" w:cs="Times New Roman"/>
                <w:color w:val="000000" w:themeColor="text1"/>
                <w:kern w:val="22"/>
                <w:szCs w:val="22"/>
              </w:rPr>
            </w:pPr>
            <w:r>
              <w:rPr>
                <w:rFonts w:ascii="Times New Roman" w:hAnsi="Times New Roman"/>
                <w:color w:val="000000" w:themeColor="text1"/>
                <w:szCs w:val="22"/>
              </w:rPr>
              <w:t>Peticiones de las reuniones del Grupo de Trabajo</w:t>
            </w:r>
          </w:p>
        </w:tc>
        <w:tc>
          <w:tcPr>
            <w:tcW w:w="1032" w:type="dxa"/>
            <w:shd w:val="clear" w:color="auto" w:fill="FFFFFF" w:themeFill="background1"/>
          </w:tcPr>
          <w:p w14:paraId="157FE430" w14:textId="77777777" w:rsidR="001E2016" w:rsidRPr="00780276" w:rsidRDefault="001E2016" w:rsidP="00412F38">
            <w:pPr>
              <w:spacing w:before="40" w:after="40"/>
              <w:jc w:val="left"/>
              <w:rPr>
                <w:rFonts w:ascii="Times New Roman" w:eastAsia="Malgun Gothic" w:hAnsi="Times New Roman" w:cs="Times New Roman"/>
                <w:color w:val="000000" w:themeColor="text1"/>
                <w:kern w:val="22"/>
                <w:szCs w:val="22"/>
              </w:rPr>
            </w:pPr>
          </w:p>
        </w:tc>
        <w:tc>
          <w:tcPr>
            <w:tcW w:w="3909" w:type="dxa"/>
            <w:shd w:val="clear" w:color="auto" w:fill="FFFFFF" w:themeFill="background1"/>
          </w:tcPr>
          <w:p w14:paraId="6661C99F" w14:textId="1E4390A1" w:rsidR="001E2016" w:rsidRPr="00780276" w:rsidRDefault="001E2016" w:rsidP="00412F38">
            <w:pPr>
              <w:pStyle w:val="Para10"/>
              <w:numPr>
                <w:ilvl w:val="0"/>
                <w:numId w:val="0"/>
              </w:num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El OSACTT examinará cualquier petición derivada de las reuniones primera y segunda del Grupo de Trabajo y formulará su recomendación a la WG2020</w:t>
            </w:r>
            <w:r>
              <w:rPr>
                <w:rFonts w:ascii="Times New Roman" w:hAnsi="Times New Roman"/>
                <w:color w:val="000000" w:themeColor="text1"/>
                <w:szCs w:val="22"/>
              </w:rPr>
              <w:noBreakHyphen/>
              <w:t>3</w:t>
            </w:r>
          </w:p>
        </w:tc>
        <w:tc>
          <w:tcPr>
            <w:tcW w:w="1861" w:type="dxa"/>
            <w:vMerge/>
            <w:shd w:val="clear" w:color="auto" w:fill="FFFFFF" w:themeFill="background1"/>
          </w:tcPr>
          <w:p w14:paraId="5080BDD7"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r>
      <w:tr w:rsidR="001E2016" w:rsidRPr="00225964" w14:paraId="1763CC3F" w14:textId="77777777" w:rsidTr="00780276">
        <w:trPr>
          <w:cantSplit/>
          <w:jc w:val="center"/>
        </w:trPr>
        <w:tc>
          <w:tcPr>
            <w:tcW w:w="2154" w:type="dxa"/>
            <w:vMerge w:val="restart"/>
            <w:shd w:val="clear" w:color="auto" w:fill="FFFFFF" w:themeFill="background1"/>
          </w:tcPr>
          <w:p w14:paraId="6EE48563" w14:textId="77777777" w:rsidR="001E2016" w:rsidRPr="00780276" w:rsidRDefault="001E2016" w:rsidP="00412F38">
            <w:pPr>
              <w:spacing w:before="40" w:after="40"/>
              <w:jc w:val="left"/>
              <w:rPr>
                <w:rFonts w:ascii="Times New Roman" w:hAnsi="Times New Roman" w:cs="Times New Roman"/>
                <w:bCs/>
                <w:color w:val="000000" w:themeColor="text1"/>
                <w:kern w:val="22"/>
                <w:szCs w:val="22"/>
                <w:shd w:val="clear" w:color="auto" w:fill="FFFFFF"/>
              </w:rPr>
            </w:pPr>
            <w:r>
              <w:rPr>
                <w:rFonts w:ascii="Times New Roman" w:hAnsi="Times New Roman"/>
                <w:color w:val="000000" w:themeColor="text1"/>
                <w:szCs w:val="22"/>
                <w:shd w:val="clear" w:color="auto" w:fill="FFFFFF"/>
              </w:rPr>
              <w:lastRenderedPageBreak/>
              <w:t xml:space="preserve">25 a 30 de mayo de 2020, </w:t>
            </w:r>
            <w:r>
              <w:rPr>
                <w:rFonts w:ascii="Times New Roman" w:hAnsi="Times New Roman"/>
                <w:color w:val="000000" w:themeColor="text1"/>
                <w:szCs w:val="22"/>
              </w:rPr>
              <w:t>Montreal (Canadá)</w:t>
            </w:r>
          </w:p>
        </w:tc>
        <w:tc>
          <w:tcPr>
            <w:tcW w:w="2157" w:type="dxa"/>
            <w:vMerge w:val="restart"/>
            <w:shd w:val="clear" w:color="auto" w:fill="FFFFFF" w:themeFill="background1"/>
          </w:tcPr>
          <w:p w14:paraId="4FDE0719"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Tercera reunión del Órgano Subsidiario sobre la Aplicación (OSA</w:t>
            </w:r>
            <w:r>
              <w:rPr>
                <w:rFonts w:ascii="Times New Roman" w:hAnsi="Times New Roman"/>
                <w:color w:val="000000" w:themeColor="text1"/>
                <w:szCs w:val="22"/>
              </w:rPr>
              <w:noBreakHyphen/>
              <w:t>3)</w:t>
            </w:r>
          </w:p>
        </w:tc>
        <w:tc>
          <w:tcPr>
            <w:tcW w:w="3016" w:type="dxa"/>
            <w:tcBorders>
              <w:bottom w:val="single" w:sz="4" w:space="0" w:color="auto"/>
            </w:tcBorders>
            <w:shd w:val="clear" w:color="auto" w:fill="FFFFFF" w:themeFill="background1"/>
          </w:tcPr>
          <w:p w14:paraId="13C325B9" w14:textId="77777777" w:rsidR="001E2016" w:rsidRPr="00780276" w:rsidRDefault="001E2016" w:rsidP="00780276">
            <w:pPr>
              <w:keepNext/>
              <w:keepLines/>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Movilización de recursos</w:t>
            </w:r>
          </w:p>
        </w:tc>
        <w:tc>
          <w:tcPr>
            <w:tcW w:w="1032" w:type="dxa"/>
            <w:tcBorders>
              <w:bottom w:val="single" w:sz="4" w:space="0" w:color="auto"/>
            </w:tcBorders>
            <w:shd w:val="clear" w:color="auto" w:fill="FFFFFF" w:themeFill="background1"/>
          </w:tcPr>
          <w:p w14:paraId="408AE34D" w14:textId="77777777" w:rsidR="001E2016" w:rsidRPr="00780276" w:rsidRDefault="001E2016" w:rsidP="00780276">
            <w:pPr>
              <w:keepNext/>
              <w:keepLines/>
              <w:spacing w:before="40" w:after="40"/>
              <w:jc w:val="left"/>
              <w:rPr>
                <w:rFonts w:ascii="Times New Roman" w:hAnsi="Times New Roman" w:cs="Times New Roman"/>
                <w:color w:val="000000" w:themeColor="text1"/>
                <w:kern w:val="22"/>
                <w:szCs w:val="22"/>
              </w:rPr>
            </w:pPr>
            <w:r>
              <w:rPr>
                <w:rFonts w:ascii="Times New Roman" w:hAnsi="Times New Roman"/>
                <w:iCs/>
                <w:snapToGrid w:val="0"/>
                <w:color w:val="000000" w:themeColor="text1"/>
                <w:szCs w:val="22"/>
              </w:rPr>
              <w:t>Decisión </w:t>
            </w:r>
            <w:hyperlink r:id="rId29" w:history="1">
              <w:r>
                <w:rPr>
                  <w:rStyle w:val="Hipervnculo"/>
                  <w:rFonts w:ascii="Times New Roman" w:hAnsi="Times New Roman"/>
                  <w:iCs/>
                  <w:snapToGrid w:val="0"/>
                  <w:color w:val="000000" w:themeColor="text1"/>
                  <w:sz w:val="22"/>
                  <w:szCs w:val="22"/>
                  <w:u w:val="none"/>
                </w:rPr>
                <w:t>14/22</w:t>
              </w:r>
            </w:hyperlink>
          </w:p>
        </w:tc>
        <w:tc>
          <w:tcPr>
            <w:tcW w:w="3909" w:type="dxa"/>
            <w:tcBorders>
              <w:bottom w:val="single" w:sz="4" w:space="0" w:color="auto"/>
            </w:tcBorders>
            <w:shd w:val="clear" w:color="auto" w:fill="FFFFFF" w:themeFill="background1"/>
          </w:tcPr>
          <w:p w14:paraId="2B3EEA8C" w14:textId="211028B0" w:rsidR="001E2016" w:rsidRPr="00780276" w:rsidRDefault="001E2016" w:rsidP="00780276">
            <w:pPr>
              <w:keepNext/>
              <w:keepLines/>
              <w:suppressLineNumbers/>
              <w:suppressAutoHyphens/>
              <w:kinsoku w:val="0"/>
              <w:overflowPunct w:val="0"/>
              <w:autoSpaceDE w:val="0"/>
              <w:autoSpaceDN w:val="0"/>
              <w:adjustRightInd w:val="0"/>
              <w:snapToGrid w:val="0"/>
              <w:spacing w:before="40" w:after="40"/>
              <w:jc w:val="left"/>
              <w:rPr>
                <w:rFonts w:ascii="Times New Roman" w:hAnsi="Times New Roman" w:cs="Times New Roman"/>
                <w:color w:val="000000" w:themeColor="text1"/>
                <w:kern w:val="22"/>
                <w:szCs w:val="22"/>
              </w:rPr>
            </w:pPr>
            <w:r>
              <w:rPr>
                <w:rFonts w:ascii="Times New Roman" w:hAnsi="Times New Roman"/>
                <w:iCs/>
                <w:color w:val="000000" w:themeColor="text1"/>
                <w:szCs w:val="22"/>
              </w:rPr>
              <w:t>El OSA examinará los resultados de la labor de un panel de expertos para preparar informes sobre varios asuntos relacionados con el componente de movilización de recursos del marco mundial de la diversidad biológica posterior a 2020 y formulará recomendaciones a la WG2020-3</w:t>
            </w:r>
          </w:p>
        </w:tc>
        <w:tc>
          <w:tcPr>
            <w:tcW w:w="1861" w:type="dxa"/>
            <w:vMerge w:val="restart"/>
            <w:shd w:val="clear" w:color="auto" w:fill="FFFFFF" w:themeFill="background1"/>
          </w:tcPr>
          <w:p w14:paraId="27B8D414" w14:textId="58EE2C60" w:rsidR="001E2016" w:rsidRPr="00780276" w:rsidRDefault="001E2016" w:rsidP="00780276">
            <w:pPr>
              <w:keepNext/>
              <w:keepLines/>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Reunión intergubernamen</w:t>
            </w:r>
            <w:r w:rsidR="004565D6">
              <w:rPr>
                <w:rFonts w:ascii="Times New Roman" w:hAnsi="Times New Roman"/>
                <w:color w:val="000000" w:themeColor="text1"/>
                <w:szCs w:val="22"/>
              </w:rPr>
              <w:t>-</w:t>
            </w:r>
            <w:r>
              <w:rPr>
                <w:rFonts w:ascii="Times New Roman" w:hAnsi="Times New Roman"/>
                <w:color w:val="000000" w:themeColor="text1"/>
                <w:szCs w:val="22"/>
              </w:rPr>
              <w:t>tal</w:t>
            </w:r>
          </w:p>
          <w:p w14:paraId="78ACC739" w14:textId="77777777" w:rsidR="001E2016" w:rsidRPr="00780276" w:rsidRDefault="001E2016" w:rsidP="00780276">
            <w:pPr>
              <w:keepNext/>
              <w:keepLines/>
              <w:suppressLineNumbers/>
              <w:suppressAutoHyphens/>
              <w:kinsoku w:val="0"/>
              <w:overflowPunct w:val="0"/>
              <w:autoSpaceDE w:val="0"/>
              <w:autoSpaceDN w:val="0"/>
              <w:adjustRightInd w:val="0"/>
              <w:snapToGrid w:val="0"/>
              <w:spacing w:before="40" w:after="40"/>
              <w:jc w:val="left"/>
              <w:rPr>
                <w:rFonts w:ascii="Times New Roman" w:hAnsi="Times New Roman" w:cs="Times New Roman"/>
                <w:iCs/>
                <w:snapToGrid w:val="0"/>
                <w:color w:val="000000" w:themeColor="text1"/>
                <w:kern w:val="22"/>
                <w:szCs w:val="22"/>
              </w:rPr>
            </w:pPr>
            <w:r>
              <w:rPr>
                <w:rFonts w:ascii="Times New Roman" w:hAnsi="Times New Roman"/>
                <w:color w:val="000000" w:themeColor="text1"/>
                <w:szCs w:val="22"/>
              </w:rPr>
              <w:t>1</w:t>
            </w:r>
          </w:p>
        </w:tc>
      </w:tr>
      <w:tr w:rsidR="001E2016" w:rsidRPr="00225964" w14:paraId="00334E08" w14:textId="77777777" w:rsidTr="00780276">
        <w:trPr>
          <w:cantSplit/>
          <w:jc w:val="center"/>
        </w:trPr>
        <w:tc>
          <w:tcPr>
            <w:tcW w:w="2154" w:type="dxa"/>
            <w:vMerge/>
            <w:shd w:val="clear" w:color="auto" w:fill="auto"/>
          </w:tcPr>
          <w:p w14:paraId="6A9F4E26" w14:textId="77777777" w:rsidR="001E2016" w:rsidRPr="00225964"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2157" w:type="dxa"/>
            <w:vMerge/>
            <w:shd w:val="clear" w:color="auto" w:fill="auto"/>
          </w:tcPr>
          <w:p w14:paraId="7C85E9A8" w14:textId="77777777" w:rsidR="001E2016" w:rsidRPr="00225964"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3016" w:type="dxa"/>
            <w:tcBorders>
              <w:bottom w:val="single" w:sz="4" w:space="0" w:color="auto"/>
            </w:tcBorders>
            <w:shd w:val="clear" w:color="auto" w:fill="FFFFFF" w:themeFill="background1"/>
          </w:tcPr>
          <w:p w14:paraId="3861DAC7" w14:textId="77777777" w:rsidR="001E2016" w:rsidRPr="00780276" w:rsidRDefault="001E2016" w:rsidP="00780276">
            <w:pPr>
              <w:keepNext/>
              <w:keepLines/>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El mecanismo financiero</w:t>
            </w:r>
          </w:p>
        </w:tc>
        <w:tc>
          <w:tcPr>
            <w:tcW w:w="1032" w:type="dxa"/>
            <w:tcBorders>
              <w:bottom w:val="single" w:sz="4" w:space="0" w:color="auto"/>
            </w:tcBorders>
            <w:shd w:val="clear" w:color="auto" w:fill="FFFFFF" w:themeFill="background1"/>
          </w:tcPr>
          <w:p w14:paraId="1D12CACE" w14:textId="77777777" w:rsidR="001E2016" w:rsidRPr="00780276" w:rsidRDefault="001E2016" w:rsidP="00780276">
            <w:pPr>
              <w:keepNext/>
              <w:keepLines/>
              <w:spacing w:before="40" w:after="40"/>
              <w:jc w:val="left"/>
              <w:rPr>
                <w:rFonts w:ascii="Times New Roman" w:hAnsi="Times New Roman" w:cs="Times New Roman"/>
                <w:iCs/>
                <w:snapToGrid w:val="0"/>
                <w:color w:val="000000" w:themeColor="text1"/>
                <w:kern w:val="22"/>
                <w:szCs w:val="22"/>
              </w:rPr>
            </w:pPr>
            <w:r>
              <w:rPr>
                <w:rFonts w:ascii="Times New Roman" w:hAnsi="Times New Roman"/>
                <w:iCs/>
                <w:snapToGrid w:val="0"/>
                <w:color w:val="000000" w:themeColor="text1"/>
                <w:szCs w:val="22"/>
              </w:rPr>
              <w:t>Decisión 14/23</w:t>
            </w:r>
          </w:p>
        </w:tc>
        <w:tc>
          <w:tcPr>
            <w:tcW w:w="3909" w:type="dxa"/>
            <w:tcBorders>
              <w:bottom w:val="single" w:sz="4" w:space="0" w:color="auto"/>
            </w:tcBorders>
            <w:shd w:val="clear" w:color="auto" w:fill="FFFFFF" w:themeFill="background1"/>
          </w:tcPr>
          <w:p w14:paraId="74FAF163" w14:textId="77777777" w:rsidR="001E2016" w:rsidRPr="00780276" w:rsidRDefault="001E2016" w:rsidP="00780276">
            <w:pPr>
              <w:keepNext/>
              <w:keepLines/>
              <w:suppressLineNumbers/>
              <w:suppressAutoHyphens/>
              <w:kinsoku w:val="0"/>
              <w:overflowPunct w:val="0"/>
              <w:autoSpaceDE w:val="0"/>
              <w:autoSpaceDN w:val="0"/>
              <w:adjustRightInd w:val="0"/>
              <w:snapToGrid w:val="0"/>
              <w:spacing w:before="40" w:after="40"/>
              <w:jc w:val="left"/>
              <w:rPr>
                <w:rFonts w:ascii="Times New Roman" w:hAnsi="Times New Roman" w:cs="Times New Roman"/>
                <w:iCs/>
                <w:snapToGrid w:val="0"/>
                <w:color w:val="000000" w:themeColor="text1"/>
                <w:kern w:val="22"/>
                <w:szCs w:val="22"/>
              </w:rPr>
            </w:pPr>
            <w:r>
              <w:rPr>
                <w:rFonts w:ascii="Times New Roman" w:hAnsi="Times New Roman"/>
                <w:iCs/>
                <w:color w:val="000000" w:themeColor="text1"/>
                <w:szCs w:val="22"/>
              </w:rPr>
              <w:t>El OSA examinará los informes del panel de expertos creado de conformidad con la decisión 14/23, así como las opiniones de las Partes, y formulará recomendaciones a la WG2020-3</w:t>
            </w:r>
          </w:p>
        </w:tc>
        <w:tc>
          <w:tcPr>
            <w:tcW w:w="1861" w:type="dxa"/>
            <w:vMerge/>
            <w:shd w:val="clear" w:color="auto" w:fill="auto"/>
          </w:tcPr>
          <w:p w14:paraId="5A0B57C7" w14:textId="77777777" w:rsidR="001E2016" w:rsidRPr="00225964" w:rsidRDefault="001E2016" w:rsidP="00780276">
            <w:pPr>
              <w:keepNext/>
              <w:keepLines/>
              <w:suppressLineNumbers/>
              <w:suppressAutoHyphens/>
              <w:kinsoku w:val="0"/>
              <w:overflowPunct w:val="0"/>
              <w:autoSpaceDE w:val="0"/>
              <w:autoSpaceDN w:val="0"/>
              <w:adjustRightInd w:val="0"/>
              <w:snapToGrid w:val="0"/>
              <w:spacing w:before="40" w:after="40"/>
              <w:jc w:val="left"/>
              <w:rPr>
                <w:rFonts w:ascii="Times New Roman" w:hAnsi="Times New Roman" w:cs="Times New Roman"/>
                <w:iCs/>
                <w:color w:val="000000" w:themeColor="text1"/>
                <w:kern w:val="22"/>
                <w:szCs w:val="22"/>
              </w:rPr>
            </w:pPr>
          </w:p>
        </w:tc>
      </w:tr>
      <w:tr w:rsidR="001E2016" w:rsidRPr="00225964" w14:paraId="2661ECB6" w14:textId="77777777" w:rsidTr="00780276">
        <w:trPr>
          <w:jc w:val="center"/>
        </w:trPr>
        <w:tc>
          <w:tcPr>
            <w:tcW w:w="2154" w:type="dxa"/>
            <w:vMerge/>
            <w:shd w:val="clear" w:color="auto" w:fill="auto"/>
          </w:tcPr>
          <w:p w14:paraId="4B452920" w14:textId="77777777" w:rsidR="001E2016" w:rsidRPr="00225964"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2157" w:type="dxa"/>
            <w:vMerge/>
            <w:shd w:val="clear" w:color="auto" w:fill="auto"/>
          </w:tcPr>
          <w:p w14:paraId="37478E83" w14:textId="77777777" w:rsidR="001E2016" w:rsidRPr="00225964"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3016" w:type="dxa"/>
            <w:shd w:val="clear" w:color="auto" w:fill="FFFFFF" w:themeFill="background1"/>
          </w:tcPr>
          <w:p w14:paraId="4F33104E" w14:textId="77777777" w:rsidR="001E2016" w:rsidRPr="00780276" w:rsidRDefault="001E2016" w:rsidP="00780276">
            <w:pPr>
              <w:keepNext/>
              <w:keepLines/>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Integración</w:t>
            </w:r>
          </w:p>
        </w:tc>
        <w:tc>
          <w:tcPr>
            <w:tcW w:w="1032" w:type="dxa"/>
            <w:shd w:val="clear" w:color="auto" w:fill="FFFFFF" w:themeFill="background1"/>
          </w:tcPr>
          <w:p w14:paraId="75055C92" w14:textId="77777777" w:rsidR="001E2016" w:rsidRPr="00780276" w:rsidRDefault="001E2016" w:rsidP="00780276">
            <w:pPr>
              <w:keepNext/>
              <w:keepLines/>
              <w:spacing w:before="40" w:after="40"/>
              <w:jc w:val="left"/>
              <w:rPr>
                <w:rFonts w:ascii="Times New Roman" w:hAnsi="Times New Roman" w:cs="Times New Roman"/>
                <w:iCs/>
                <w:snapToGrid w:val="0"/>
                <w:color w:val="000000" w:themeColor="text1"/>
                <w:kern w:val="22"/>
                <w:szCs w:val="22"/>
              </w:rPr>
            </w:pPr>
            <w:r>
              <w:rPr>
                <w:rFonts w:ascii="Times New Roman" w:hAnsi="Times New Roman"/>
                <w:iCs/>
                <w:snapToGrid w:val="0"/>
                <w:color w:val="000000" w:themeColor="text1"/>
                <w:szCs w:val="22"/>
              </w:rPr>
              <w:t>Decisión </w:t>
            </w:r>
            <w:hyperlink r:id="rId30" w:history="1">
              <w:r>
                <w:rPr>
                  <w:rStyle w:val="Hipervnculo"/>
                  <w:rFonts w:ascii="Times New Roman" w:hAnsi="Times New Roman"/>
                  <w:iCs/>
                  <w:snapToGrid w:val="0"/>
                  <w:color w:val="000000" w:themeColor="text1"/>
                  <w:sz w:val="22"/>
                  <w:szCs w:val="22"/>
                  <w:u w:val="none"/>
                </w:rPr>
                <w:t>14/3</w:t>
              </w:r>
            </w:hyperlink>
          </w:p>
        </w:tc>
        <w:tc>
          <w:tcPr>
            <w:tcW w:w="3909" w:type="dxa"/>
            <w:shd w:val="clear" w:color="auto" w:fill="FFFFFF" w:themeFill="background1"/>
          </w:tcPr>
          <w:p w14:paraId="69BD3DE1" w14:textId="01AB33EC" w:rsidR="001E2016" w:rsidRPr="00780276" w:rsidRDefault="001E2016" w:rsidP="00780276">
            <w:pPr>
              <w:keepNext/>
              <w:keepLines/>
              <w:suppressLineNumbers/>
              <w:suppressAutoHyphens/>
              <w:kinsoku w:val="0"/>
              <w:overflowPunct w:val="0"/>
              <w:autoSpaceDE w:val="0"/>
              <w:autoSpaceDN w:val="0"/>
              <w:adjustRightInd w:val="0"/>
              <w:snapToGrid w:val="0"/>
              <w:spacing w:before="40" w:after="40"/>
              <w:jc w:val="left"/>
              <w:rPr>
                <w:rFonts w:ascii="Times New Roman" w:hAnsi="Times New Roman" w:cs="Times New Roman"/>
                <w:iCs/>
                <w:snapToGrid w:val="0"/>
                <w:color w:val="000000" w:themeColor="text1"/>
                <w:kern w:val="22"/>
                <w:szCs w:val="22"/>
              </w:rPr>
            </w:pPr>
            <w:r>
              <w:rPr>
                <w:rFonts w:ascii="Times New Roman" w:hAnsi="Times New Roman"/>
                <w:color w:val="000000" w:themeColor="text1"/>
                <w:szCs w:val="22"/>
              </w:rPr>
              <w:t>El OSA examinará el informe del Grupo Asesor Oficioso sobre la Integración de la Diversidad Biológica en un enfoque estratégico a largo plazo para la integración y los elementos de integración para el marco mundial de la diversidad biológica posterior a 2020, responderá a cualquier petición de la WG2020-1 y la WG2020</w:t>
            </w:r>
            <w:r>
              <w:rPr>
                <w:rFonts w:ascii="Times New Roman" w:hAnsi="Times New Roman"/>
                <w:color w:val="000000" w:themeColor="text1"/>
                <w:szCs w:val="22"/>
              </w:rPr>
              <w:noBreakHyphen/>
              <w:t>2, y formulará recomendaciones a la</w:t>
            </w:r>
            <w:r>
              <w:rPr>
                <w:rFonts w:ascii="Times New Roman" w:hAnsi="Times New Roman"/>
                <w:iCs/>
                <w:snapToGrid w:val="0"/>
                <w:color w:val="000000" w:themeColor="text1"/>
                <w:szCs w:val="22"/>
              </w:rPr>
              <w:t xml:space="preserve"> WG2020-3</w:t>
            </w:r>
          </w:p>
        </w:tc>
        <w:tc>
          <w:tcPr>
            <w:tcW w:w="1861" w:type="dxa"/>
            <w:vMerge/>
            <w:shd w:val="clear" w:color="auto" w:fill="auto"/>
          </w:tcPr>
          <w:p w14:paraId="1BFBCFDC" w14:textId="77777777" w:rsidR="001E2016" w:rsidRPr="00225964" w:rsidRDefault="001E2016" w:rsidP="00780276">
            <w:pPr>
              <w:keepNext/>
              <w:keepLines/>
              <w:suppressLineNumbers/>
              <w:suppressAutoHyphens/>
              <w:kinsoku w:val="0"/>
              <w:overflowPunct w:val="0"/>
              <w:autoSpaceDE w:val="0"/>
              <w:autoSpaceDN w:val="0"/>
              <w:adjustRightInd w:val="0"/>
              <w:snapToGrid w:val="0"/>
              <w:spacing w:before="40" w:after="40"/>
              <w:jc w:val="left"/>
              <w:rPr>
                <w:rFonts w:ascii="Times New Roman" w:hAnsi="Times New Roman" w:cs="Times New Roman"/>
                <w:color w:val="000000" w:themeColor="text1"/>
                <w:kern w:val="22"/>
                <w:szCs w:val="22"/>
              </w:rPr>
            </w:pPr>
          </w:p>
        </w:tc>
      </w:tr>
      <w:tr w:rsidR="001E2016" w:rsidRPr="00780276" w14:paraId="40973A4A" w14:textId="77777777" w:rsidTr="00780276">
        <w:trPr>
          <w:jc w:val="center"/>
        </w:trPr>
        <w:tc>
          <w:tcPr>
            <w:tcW w:w="2154" w:type="dxa"/>
            <w:vMerge/>
            <w:shd w:val="clear" w:color="auto" w:fill="auto"/>
          </w:tcPr>
          <w:p w14:paraId="15C2C807"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2157" w:type="dxa"/>
            <w:vMerge/>
            <w:shd w:val="clear" w:color="auto" w:fill="auto"/>
          </w:tcPr>
          <w:p w14:paraId="6C807A13"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3016" w:type="dxa"/>
            <w:shd w:val="clear" w:color="auto" w:fill="FFFFFF" w:themeFill="background1"/>
          </w:tcPr>
          <w:p w14:paraId="17D81A53" w14:textId="77777777" w:rsidR="001E2016" w:rsidRPr="00780276" w:rsidRDefault="001E2016" w:rsidP="00412F38">
            <w:pPr>
              <w:spacing w:before="40" w:after="40"/>
              <w:jc w:val="left"/>
              <w:rPr>
                <w:rFonts w:ascii="Times New Roman" w:hAnsi="Times New Roman" w:cs="Times New Roman"/>
                <w:iCs/>
                <w:snapToGrid w:val="0"/>
                <w:color w:val="000000" w:themeColor="text1"/>
                <w:kern w:val="22"/>
                <w:szCs w:val="22"/>
              </w:rPr>
            </w:pPr>
            <w:r>
              <w:rPr>
                <w:rFonts w:ascii="Times New Roman" w:hAnsi="Times New Roman"/>
                <w:iCs/>
                <w:snapToGrid w:val="0"/>
                <w:color w:val="000000" w:themeColor="text1"/>
                <w:szCs w:val="22"/>
              </w:rPr>
              <w:t>Incorporación de la perspectiva de género</w:t>
            </w:r>
          </w:p>
        </w:tc>
        <w:tc>
          <w:tcPr>
            <w:tcW w:w="1032" w:type="dxa"/>
            <w:shd w:val="clear" w:color="auto" w:fill="FFFFFF" w:themeFill="background1"/>
          </w:tcPr>
          <w:p w14:paraId="58769986" w14:textId="77777777" w:rsidR="001E2016" w:rsidRPr="00780276" w:rsidRDefault="001E2016" w:rsidP="00412F38">
            <w:pPr>
              <w:spacing w:before="40" w:after="40"/>
              <w:jc w:val="left"/>
              <w:rPr>
                <w:rFonts w:ascii="Times New Roman" w:hAnsi="Times New Roman" w:cs="Times New Roman"/>
                <w:iCs/>
                <w:snapToGrid w:val="0"/>
                <w:color w:val="000000" w:themeColor="text1"/>
                <w:kern w:val="22"/>
                <w:szCs w:val="22"/>
              </w:rPr>
            </w:pPr>
            <w:r>
              <w:rPr>
                <w:rFonts w:ascii="Times New Roman" w:hAnsi="Times New Roman"/>
                <w:iCs/>
                <w:snapToGrid w:val="0"/>
                <w:color w:val="000000" w:themeColor="text1"/>
                <w:szCs w:val="22"/>
              </w:rPr>
              <w:t>Decisión 14/18</w:t>
            </w:r>
          </w:p>
        </w:tc>
        <w:tc>
          <w:tcPr>
            <w:tcW w:w="3909" w:type="dxa"/>
            <w:shd w:val="clear" w:color="auto" w:fill="FFFFFF" w:themeFill="background1"/>
          </w:tcPr>
          <w:p w14:paraId="58EC8C6F" w14:textId="60EF0C99" w:rsidR="001E2016" w:rsidRPr="00780276" w:rsidDel="00D1134E" w:rsidRDefault="001E2016" w:rsidP="00412F38">
            <w:pPr>
              <w:spacing w:before="40" w:after="40"/>
              <w:jc w:val="left"/>
              <w:rPr>
                <w:rFonts w:ascii="Times New Roman" w:hAnsi="Times New Roman" w:cs="Times New Roman"/>
                <w:iCs/>
                <w:snapToGrid w:val="0"/>
                <w:color w:val="000000" w:themeColor="text1"/>
                <w:kern w:val="22"/>
                <w:szCs w:val="22"/>
              </w:rPr>
            </w:pPr>
            <w:r>
              <w:rPr>
                <w:rFonts w:ascii="Times New Roman" w:hAnsi="Times New Roman"/>
                <w:iCs/>
                <w:snapToGrid w:val="0"/>
                <w:color w:val="000000" w:themeColor="text1"/>
                <w:szCs w:val="22"/>
              </w:rPr>
              <w:t>El OSA examinará la revisión de la aplicación del Plan de Acción sobre Género 2015-2020. Como parte de estas deliberaciones, el OSA también podría elaborar una recomendación sobre la preparación de un nuevo plan o estrategia en materia de género para el período posterior a 2020.</w:t>
            </w:r>
          </w:p>
        </w:tc>
        <w:tc>
          <w:tcPr>
            <w:tcW w:w="1861" w:type="dxa"/>
            <w:vMerge/>
            <w:shd w:val="clear" w:color="auto" w:fill="auto"/>
          </w:tcPr>
          <w:p w14:paraId="05D4679A"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r>
      <w:tr w:rsidR="001E2016" w:rsidRPr="00780276" w14:paraId="1A549132" w14:textId="77777777" w:rsidTr="00780276">
        <w:trPr>
          <w:jc w:val="center"/>
        </w:trPr>
        <w:tc>
          <w:tcPr>
            <w:tcW w:w="2154" w:type="dxa"/>
            <w:vMerge/>
            <w:shd w:val="clear" w:color="auto" w:fill="auto"/>
          </w:tcPr>
          <w:p w14:paraId="04A3FD55"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2157" w:type="dxa"/>
            <w:vMerge/>
            <w:shd w:val="clear" w:color="auto" w:fill="auto"/>
          </w:tcPr>
          <w:p w14:paraId="223A4E31"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3016" w:type="dxa"/>
            <w:shd w:val="clear" w:color="auto" w:fill="FFFFFF" w:themeFill="background1"/>
          </w:tcPr>
          <w:p w14:paraId="31D67D00"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Gestión de los conocimientos en el marco del Convenio y sus Protocolos</w:t>
            </w:r>
          </w:p>
        </w:tc>
        <w:tc>
          <w:tcPr>
            <w:tcW w:w="1032" w:type="dxa"/>
            <w:shd w:val="clear" w:color="auto" w:fill="FFFFFF" w:themeFill="background1"/>
          </w:tcPr>
          <w:p w14:paraId="0C86429E" w14:textId="77777777" w:rsidR="001E2016" w:rsidRPr="00780276" w:rsidRDefault="001E2016" w:rsidP="00412F38">
            <w:pPr>
              <w:spacing w:before="40" w:after="40"/>
              <w:jc w:val="left"/>
              <w:rPr>
                <w:rFonts w:ascii="Times New Roman" w:hAnsi="Times New Roman" w:cs="Times New Roman"/>
                <w:iCs/>
                <w:snapToGrid w:val="0"/>
                <w:color w:val="000000" w:themeColor="text1"/>
                <w:kern w:val="22"/>
                <w:szCs w:val="22"/>
              </w:rPr>
            </w:pPr>
            <w:r>
              <w:rPr>
                <w:rFonts w:ascii="Times New Roman" w:hAnsi="Times New Roman"/>
                <w:color w:val="000000" w:themeColor="text1"/>
                <w:szCs w:val="22"/>
              </w:rPr>
              <w:t>Decisión </w:t>
            </w:r>
            <w:hyperlink r:id="rId31" w:history="1">
              <w:r>
                <w:rPr>
                  <w:rStyle w:val="Hipervnculo"/>
                  <w:rFonts w:ascii="Times New Roman" w:hAnsi="Times New Roman"/>
                  <w:color w:val="000000" w:themeColor="text1"/>
                  <w:sz w:val="22"/>
                  <w:szCs w:val="22"/>
                  <w:u w:val="none"/>
                </w:rPr>
                <w:t>14/25</w:t>
              </w:r>
            </w:hyperlink>
          </w:p>
        </w:tc>
        <w:tc>
          <w:tcPr>
            <w:tcW w:w="3909" w:type="dxa"/>
            <w:shd w:val="clear" w:color="auto" w:fill="FFFFFF" w:themeFill="background1"/>
          </w:tcPr>
          <w:p w14:paraId="15B6642B" w14:textId="4DC332C8"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iCs/>
                <w:snapToGrid w:val="0"/>
                <w:color w:val="000000" w:themeColor="text1"/>
                <w:szCs w:val="22"/>
              </w:rPr>
              <w:t xml:space="preserve">Se prevé que el OSA examinará los posibles elementos relacionados con la gestión de los conocimientos en virtud del Convenio y sus Protocolos y formule recomendaciones a la </w:t>
            </w:r>
            <w:r>
              <w:rPr>
                <w:rFonts w:ascii="Times New Roman" w:hAnsi="Times New Roman"/>
                <w:color w:val="000000" w:themeColor="text1"/>
                <w:szCs w:val="22"/>
              </w:rPr>
              <w:t>WG2020-3</w:t>
            </w:r>
          </w:p>
        </w:tc>
        <w:tc>
          <w:tcPr>
            <w:tcW w:w="1861" w:type="dxa"/>
            <w:vMerge/>
            <w:shd w:val="clear" w:color="auto" w:fill="auto"/>
          </w:tcPr>
          <w:p w14:paraId="112D8503"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r>
      <w:tr w:rsidR="001E2016" w:rsidRPr="00780276" w14:paraId="5C34BF00" w14:textId="77777777" w:rsidTr="00780276">
        <w:trPr>
          <w:jc w:val="center"/>
        </w:trPr>
        <w:tc>
          <w:tcPr>
            <w:tcW w:w="2154" w:type="dxa"/>
            <w:vMerge/>
            <w:shd w:val="clear" w:color="auto" w:fill="auto"/>
          </w:tcPr>
          <w:p w14:paraId="3952DB1E"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2157" w:type="dxa"/>
            <w:vMerge/>
            <w:shd w:val="clear" w:color="auto" w:fill="auto"/>
          </w:tcPr>
          <w:p w14:paraId="3AACF154"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3016" w:type="dxa"/>
            <w:tcBorders>
              <w:bottom w:val="single" w:sz="4" w:space="0" w:color="auto"/>
            </w:tcBorders>
            <w:shd w:val="clear" w:color="auto" w:fill="FFFFFF" w:themeFill="background1"/>
          </w:tcPr>
          <w:p w14:paraId="17B2FEC8" w14:textId="77777777" w:rsidR="001E2016" w:rsidRPr="00780276" w:rsidRDefault="001E2016" w:rsidP="00412F38">
            <w:pPr>
              <w:spacing w:before="40" w:after="40"/>
              <w:jc w:val="left"/>
              <w:rPr>
                <w:rFonts w:ascii="Times New Roman" w:eastAsia="Malgun Gothic" w:hAnsi="Times New Roman" w:cs="Times New Roman"/>
                <w:color w:val="000000" w:themeColor="text1"/>
                <w:kern w:val="22"/>
                <w:szCs w:val="22"/>
              </w:rPr>
            </w:pPr>
            <w:r>
              <w:rPr>
                <w:rFonts w:ascii="Times New Roman" w:hAnsi="Times New Roman"/>
                <w:color w:val="000000" w:themeColor="text1"/>
                <w:szCs w:val="22"/>
              </w:rPr>
              <w:t>Armonización de la presentación de informes nacionales en el marco del Convenio y sus Protocolos</w:t>
            </w:r>
          </w:p>
        </w:tc>
        <w:tc>
          <w:tcPr>
            <w:tcW w:w="1032" w:type="dxa"/>
            <w:tcBorders>
              <w:bottom w:val="single" w:sz="4" w:space="0" w:color="auto"/>
            </w:tcBorders>
            <w:shd w:val="clear" w:color="auto" w:fill="FFFFFF" w:themeFill="background1"/>
          </w:tcPr>
          <w:p w14:paraId="48E4FB46" w14:textId="77777777" w:rsidR="001E2016" w:rsidRPr="00780276" w:rsidRDefault="001E2016" w:rsidP="00412F38">
            <w:pPr>
              <w:spacing w:before="40" w:after="40"/>
              <w:jc w:val="left"/>
              <w:rPr>
                <w:rFonts w:ascii="Times New Roman" w:eastAsia="Malgun Gothic" w:hAnsi="Times New Roman" w:cs="Times New Roman"/>
                <w:color w:val="000000" w:themeColor="text1"/>
                <w:kern w:val="22"/>
                <w:szCs w:val="22"/>
              </w:rPr>
            </w:pPr>
            <w:r>
              <w:rPr>
                <w:rFonts w:ascii="Times New Roman" w:hAnsi="Times New Roman"/>
                <w:color w:val="000000" w:themeColor="text1"/>
                <w:szCs w:val="22"/>
              </w:rPr>
              <w:t>Decisión </w:t>
            </w:r>
            <w:hyperlink r:id="rId32" w:history="1">
              <w:r>
                <w:rPr>
                  <w:rStyle w:val="Hipervnculo"/>
                  <w:rFonts w:ascii="Times New Roman" w:hAnsi="Times New Roman"/>
                  <w:color w:val="000000" w:themeColor="text1"/>
                  <w:sz w:val="22"/>
                  <w:szCs w:val="22"/>
                  <w:u w:val="none"/>
                </w:rPr>
                <w:t>14/27</w:t>
              </w:r>
            </w:hyperlink>
          </w:p>
        </w:tc>
        <w:tc>
          <w:tcPr>
            <w:tcW w:w="3909" w:type="dxa"/>
            <w:tcBorders>
              <w:bottom w:val="single" w:sz="4" w:space="0" w:color="auto"/>
            </w:tcBorders>
            <w:shd w:val="clear" w:color="auto" w:fill="FFFFFF" w:themeFill="background1"/>
          </w:tcPr>
          <w:p w14:paraId="13888440" w14:textId="547FFD65"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Se prevé que el OSA examinará una serie de cuestiones relacionadas con la presentación de informes nacionales en el marco del Convenio y sus Protocolos. Como parte de estas deliberaciones, el OSA también podría elaborar una recomendación sobre los medios para revisar la implementación del marco mundial de la diversidad biológica posterior a 2020 y para mejorar los mecanismos de rendición de cuentas.</w:t>
            </w:r>
          </w:p>
        </w:tc>
        <w:tc>
          <w:tcPr>
            <w:tcW w:w="1861" w:type="dxa"/>
            <w:vMerge/>
            <w:shd w:val="clear" w:color="auto" w:fill="auto"/>
          </w:tcPr>
          <w:p w14:paraId="77463A3A"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r>
      <w:tr w:rsidR="001E2016" w:rsidRPr="00780276" w14:paraId="58747A94" w14:textId="77777777" w:rsidTr="00780276">
        <w:trPr>
          <w:cantSplit/>
          <w:jc w:val="center"/>
        </w:trPr>
        <w:tc>
          <w:tcPr>
            <w:tcW w:w="2154" w:type="dxa"/>
            <w:vMerge/>
            <w:shd w:val="clear" w:color="auto" w:fill="auto"/>
          </w:tcPr>
          <w:p w14:paraId="6E904D9F"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2157" w:type="dxa"/>
            <w:vMerge/>
            <w:shd w:val="clear" w:color="auto" w:fill="auto"/>
          </w:tcPr>
          <w:p w14:paraId="30FEB8CF"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3016" w:type="dxa"/>
            <w:shd w:val="clear" w:color="auto" w:fill="FFFFFF" w:themeFill="background1"/>
          </w:tcPr>
          <w:p w14:paraId="3704B457" w14:textId="77777777" w:rsidR="001E2016" w:rsidRPr="00780276" w:rsidRDefault="001E2016" w:rsidP="00412F38">
            <w:pPr>
              <w:spacing w:before="40" w:after="40"/>
              <w:jc w:val="left"/>
              <w:rPr>
                <w:rFonts w:ascii="Times New Roman" w:eastAsia="Malgun Gothic" w:hAnsi="Times New Roman" w:cs="Times New Roman"/>
                <w:color w:val="000000" w:themeColor="text1"/>
                <w:kern w:val="22"/>
                <w:szCs w:val="22"/>
              </w:rPr>
            </w:pPr>
            <w:r>
              <w:rPr>
                <w:rFonts w:ascii="Times New Roman" w:hAnsi="Times New Roman"/>
                <w:color w:val="000000" w:themeColor="text1"/>
                <w:szCs w:val="22"/>
              </w:rPr>
              <w:t>Posibles mecanismos de revisión</w:t>
            </w:r>
          </w:p>
        </w:tc>
        <w:tc>
          <w:tcPr>
            <w:tcW w:w="1032" w:type="dxa"/>
            <w:shd w:val="clear" w:color="auto" w:fill="FFFFFF" w:themeFill="background1"/>
          </w:tcPr>
          <w:p w14:paraId="4A8750F6" w14:textId="77777777" w:rsidR="001E2016" w:rsidRPr="00780276" w:rsidRDefault="001E2016" w:rsidP="00412F38">
            <w:pPr>
              <w:spacing w:before="40" w:after="40"/>
              <w:jc w:val="left"/>
              <w:rPr>
                <w:rFonts w:ascii="Times New Roman" w:eastAsia="Malgun Gothic" w:hAnsi="Times New Roman" w:cs="Times New Roman"/>
                <w:color w:val="000000" w:themeColor="text1"/>
                <w:kern w:val="22"/>
                <w:szCs w:val="22"/>
              </w:rPr>
            </w:pPr>
            <w:r>
              <w:rPr>
                <w:rFonts w:ascii="Times New Roman" w:hAnsi="Times New Roman"/>
                <w:color w:val="000000" w:themeColor="text1"/>
                <w:szCs w:val="22"/>
              </w:rPr>
              <w:t>Decisión </w:t>
            </w:r>
            <w:hyperlink r:id="rId33" w:history="1">
              <w:r>
                <w:rPr>
                  <w:rStyle w:val="Hipervnculo"/>
                  <w:rFonts w:ascii="Times New Roman" w:hAnsi="Times New Roman"/>
                  <w:color w:val="000000" w:themeColor="text1"/>
                  <w:sz w:val="22"/>
                  <w:szCs w:val="22"/>
                  <w:u w:val="none"/>
                </w:rPr>
                <w:t>14/29</w:t>
              </w:r>
            </w:hyperlink>
          </w:p>
        </w:tc>
        <w:tc>
          <w:tcPr>
            <w:tcW w:w="3909" w:type="dxa"/>
            <w:shd w:val="clear" w:color="auto" w:fill="FFFFFF" w:themeFill="background1"/>
          </w:tcPr>
          <w:p w14:paraId="4439C1A9" w14:textId="4D28E442"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iCs/>
                <w:snapToGrid w:val="0"/>
                <w:color w:val="000000" w:themeColor="text1"/>
                <w:szCs w:val="22"/>
              </w:rPr>
              <w:t xml:space="preserve">El OSA examinará opciones para mejorar los mecanismos de revisión, con miras a reforzar la aplicación del Convenio. </w:t>
            </w:r>
            <w:r>
              <w:rPr>
                <w:rFonts w:ascii="Times New Roman" w:hAnsi="Times New Roman"/>
                <w:color w:val="000000" w:themeColor="text1"/>
                <w:szCs w:val="22"/>
              </w:rPr>
              <w:t>El OSA probará asimismo un proceso de revisión dirigido por las Partes mediante un foro de participación abierta en la OSA-3. Sobre esta base, el OSA puede formular una recomendación a la WG2020-3 acerca de esta cuestión para su examen.</w:t>
            </w:r>
          </w:p>
        </w:tc>
        <w:tc>
          <w:tcPr>
            <w:tcW w:w="1861" w:type="dxa"/>
            <w:vMerge/>
            <w:shd w:val="clear" w:color="auto" w:fill="FFFFFF" w:themeFill="background1"/>
          </w:tcPr>
          <w:p w14:paraId="76C7577E"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r>
      <w:tr w:rsidR="001E2016" w:rsidRPr="00780276" w14:paraId="2E319667" w14:textId="77777777" w:rsidTr="00780276">
        <w:trPr>
          <w:cantSplit/>
          <w:jc w:val="center"/>
        </w:trPr>
        <w:tc>
          <w:tcPr>
            <w:tcW w:w="2154" w:type="dxa"/>
            <w:vMerge/>
            <w:tcBorders>
              <w:bottom w:val="single" w:sz="4" w:space="0" w:color="auto"/>
            </w:tcBorders>
            <w:shd w:val="clear" w:color="auto" w:fill="auto"/>
          </w:tcPr>
          <w:p w14:paraId="078F58B6"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2157" w:type="dxa"/>
            <w:vMerge/>
            <w:tcBorders>
              <w:bottom w:val="single" w:sz="4" w:space="0" w:color="auto"/>
            </w:tcBorders>
            <w:shd w:val="clear" w:color="auto" w:fill="auto"/>
          </w:tcPr>
          <w:p w14:paraId="214AE289" w14:textId="77777777" w:rsidR="001E2016" w:rsidRPr="00780276" w:rsidRDefault="001E2016" w:rsidP="00412F38">
            <w:pPr>
              <w:spacing w:before="40" w:after="40"/>
              <w:jc w:val="left"/>
              <w:rPr>
                <w:rFonts w:ascii="Times New Roman" w:hAnsi="Times New Roman" w:cs="Times New Roman"/>
                <w:b/>
                <w:bCs/>
                <w:color w:val="000000" w:themeColor="text1"/>
                <w:kern w:val="22"/>
                <w:szCs w:val="22"/>
                <w:shd w:val="clear" w:color="auto" w:fill="FFFFFF"/>
              </w:rPr>
            </w:pPr>
          </w:p>
        </w:tc>
        <w:tc>
          <w:tcPr>
            <w:tcW w:w="3016" w:type="dxa"/>
            <w:tcBorders>
              <w:bottom w:val="single" w:sz="4" w:space="0" w:color="auto"/>
            </w:tcBorders>
            <w:shd w:val="clear" w:color="auto" w:fill="FFFFFF" w:themeFill="background1"/>
          </w:tcPr>
          <w:p w14:paraId="50E15FE2" w14:textId="77777777" w:rsidR="001E2016" w:rsidRPr="00780276" w:rsidDel="00873F2D" w:rsidRDefault="001E2016" w:rsidP="00412F38">
            <w:pPr>
              <w:spacing w:before="40" w:after="40"/>
              <w:jc w:val="left"/>
              <w:rPr>
                <w:rFonts w:ascii="Times New Roman" w:eastAsia="Malgun Gothic" w:hAnsi="Times New Roman" w:cs="Times New Roman"/>
                <w:color w:val="000000" w:themeColor="text1"/>
                <w:kern w:val="22"/>
                <w:szCs w:val="22"/>
              </w:rPr>
            </w:pPr>
            <w:r>
              <w:rPr>
                <w:rFonts w:ascii="Times New Roman" w:hAnsi="Times New Roman"/>
                <w:color w:val="000000" w:themeColor="text1"/>
                <w:szCs w:val="22"/>
              </w:rPr>
              <w:t>Peticiones de las reuniones primera y segunda del Grupo de Trabajo</w:t>
            </w:r>
          </w:p>
        </w:tc>
        <w:tc>
          <w:tcPr>
            <w:tcW w:w="1032" w:type="dxa"/>
            <w:tcBorders>
              <w:bottom w:val="single" w:sz="4" w:space="0" w:color="auto"/>
            </w:tcBorders>
            <w:shd w:val="clear" w:color="auto" w:fill="FFFFFF" w:themeFill="background1"/>
          </w:tcPr>
          <w:p w14:paraId="71285131" w14:textId="77777777" w:rsidR="001E2016" w:rsidRPr="00780276" w:rsidRDefault="001E2016" w:rsidP="00412F38">
            <w:pPr>
              <w:spacing w:before="40" w:after="40"/>
              <w:jc w:val="left"/>
              <w:rPr>
                <w:rFonts w:ascii="Times New Roman" w:eastAsia="Malgun Gothic" w:hAnsi="Times New Roman" w:cs="Times New Roman"/>
                <w:color w:val="000000" w:themeColor="text1"/>
                <w:kern w:val="22"/>
                <w:szCs w:val="22"/>
              </w:rPr>
            </w:pPr>
          </w:p>
        </w:tc>
        <w:tc>
          <w:tcPr>
            <w:tcW w:w="3909" w:type="dxa"/>
            <w:tcBorders>
              <w:bottom w:val="single" w:sz="4" w:space="0" w:color="auto"/>
            </w:tcBorders>
            <w:shd w:val="clear" w:color="auto" w:fill="FFFFFF" w:themeFill="background1"/>
          </w:tcPr>
          <w:p w14:paraId="32BFBAD0" w14:textId="34C98647" w:rsidR="001E2016" w:rsidRPr="00780276" w:rsidRDefault="001E2016" w:rsidP="00412F38">
            <w:pPr>
              <w:spacing w:before="40" w:after="40"/>
              <w:jc w:val="left"/>
              <w:rPr>
                <w:rFonts w:ascii="Times New Roman" w:hAnsi="Times New Roman" w:cs="Times New Roman"/>
                <w:color w:val="000000" w:themeColor="text1"/>
                <w:kern w:val="22"/>
                <w:szCs w:val="22"/>
                <w:shd w:val="clear" w:color="auto" w:fill="FFFFFF"/>
              </w:rPr>
            </w:pPr>
            <w:r>
              <w:rPr>
                <w:rFonts w:ascii="Times New Roman" w:hAnsi="Times New Roman"/>
                <w:color w:val="000000" w:themeColor="text1"/>
                <w:szCs w:val="22"/>
              </w:rPr>
              <w:t>El OSA examinará cualquier petición derivada de las reuniones primera y segunda del Grupo de Trabajo y formulará su recomendación a la WG2020-3, con inclusión de posibles orientaciones sobre las EPANB y el abordaje de otros mecanismos de implementación</w:t>
            </w:r>
          </w:p>
        </w:tc>
        <w:tc>
          <w:tcPr>
            <w:tcW w:w="1861" w:type="dxa"/>
            <w:vMerge/>
            <w:tcBorders>
              <w:bottom w:val="single" w:sz="4" w:space="0" w:color="auto"/>
            </w:tcBorders>
            <w:shd w:val="clear" w:color="auto" w:fill="FFFFFF" w:themeFill="background1"/>
          </w:tcPr>
          <w:p w14:paraId="006E9AB4"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r>
      <w:tr w:rsidR="001E2016" w:rsidRPr="00780276" w14:paraId="6B7A33C0" w14:textId="77777777" w:rsidTr="00780276">
        <w:trPr>
          <w:cantSplit/>
          <w:jc w:val="center"/>
        </w:trPr>
        <w:tc>
          <w:tcPr>
            <w:tcW w:w="2154" w:type="dxa"/>
            <w:shd w:val="clear" w:color="auto" w:fill="FFFFFF" w:themeFill="background1"/>
          </w:tcPr>
          <w:p w14:paraId="3F63AAF0" w14:textId="02B81F7D" w:rsidR="001E2016" w:rsidRPr="00780276" w:rsidRDefault="001E2016" w:rsidP="00412F38">
            <w:pPr>
              <w:spacing w:before="40" w:after="40"/>
              <w:jc w:val="left"/>
              <w:rPr>
                <w:rFonts w:ascii="Times New Roman" w:hAnsi="Times New Roman" w:cs="Times New Roman"/>
                <w:bCs/>
                <w:color w:val="000000" w:themeColor="text1"/>
                <w:kern w:val="22"/>
                <w:szCs w:val="22"/>
                <w:shd w:val="clear" w:color="auto" w:fill="FFFFFF"/>
              </w:rPr>
            </w:pPr>
            <w:r>
              <w:rPr>
                <w:rFonts w:ascii="Times New Roman" w:hAnsi="Times New Roman"/>
                <w:color w:val="000000" w:themeColor="text1"/>
                <w:szCs w:val="22"/>
              </w:rPr>
              <w:t xml:space="preserve">27 a 31 de Julio de 2020, </w:t>
            </w:r>
            <w:r w:rsidR="00CE438D">
              <w:rPr>
                <w:rFonts w:ascii="Times New Roman" w:hAnsi="Times New Roman"/>
                <w:color w:val="000000" w:themeColor="text1"/>
                <w:szCs w:val="22"/>
              </w:rPr>
              <w:t>Cali</w:t>
            </w:r>
            <w:r>
              <w:rPr>
                <w:rFonts w:ascii="Times New Roman" w:hAnsi="Times New Roman"/>
                <w:color w:val="000000" w:themeColor="text1"/>
                <w:szCs w:val="22"/>
              </w:rPr>
              <w:t xml:space="preserve"> (Colombia)</w:t>
            </w:r>
          </w:p>
        </w:tc>
        <w:tc>
          <w:tcPr>
            <w:tcW w:w="2157" w:type="dxa"/>
            <w:shd w:val="clear" w:color="auto" w:fill="FFFFFF" w:themeFill="background1"/>
          </w:tcPr>
          <w:p w14:paraId="6DA17D08" w14:textId="77777777" w:rsidR="001E2016" w:rsidRPr="00780276" w:rsidRDefault="001E2016" w:rsidP="00412F38">
            <w:pPr>
              <w:spacing w:before="40" w:after="40"/>
              <w:jc w:val="left"/>
              <w:rPr>
                <w:rFonts w:ascii="Times New Roman" w:hAnsi="Times New Roman" w:cs="Times New Roman"/>
                <w:bCs/>
                <w:color w:val="000000" w:themeColor="text1"/>
                <w:kern w:val="22"/>
                <w:szCs w:val="22"/>
                <w:shd w:val="clear" w:color="auto" w:fill="FFFFFF"/>
              </w:rPr>
            </w:pPr>
            <w:r>
              <w:rPr>
                <w:rFonts w:ascii="Times New Roman" w:hAnsi="Times New Roman"/>
                <w:color w:val="000000" w:themeColor="text1"/>
                <w:szCs w:val="22"/>
              </w:rPr>
              <w:t>Tercera reunión del Grupo de Trabajo</w:t>
            </w:r>
          </w:p>
        </w:tc>
        <w:tc>
          <w:tcPr>
            <w:tcW w:w="3016" w:type="dxa"/>
            <w:shd w:val="clear" w:color="auto" w:fill="FFFFFF" w:themeFill="background1"/>
          </w:tcPr>
          <w:p w14:paraId="67469B22" w14:textId="77777777" w:rsidR="001E2016" w:rsidRPr="00780276" w:rsidDel="00873F2D" w:rsidRDefault="001E2016" w:rsidP="00412F38">
            <w:pPr>
              <w:pStyle w:val="Para3"/>
              <w:numPr>
                <w:ilvl w:val="0"/>
                <w:numId w:val="0"/>
              </w:numPr>
              <w:spacing w:before="40" w:after="40"/>
              <w:ind w:left="40"/>
              <w:jc w:val="left"/>
              <w:rPr>
                <w:rFonts w:ascii="Times New Roman" w:hAnsi="Times New Roman" w:cs="Times New Roman"/>
                <w:snapToGrid w:val="0"/>
                <w:color w:val="000000" w:themeColor="text1"/>
                <w:kern w:val="22"/>
                <w:szCs w:val="22"/>
              </w:rPr>
            </w:pPr>
          </w:p>
        </w:tc>
        <w:tc>
          <w:tcPr>
            <w:tcW w:w="1032" w:type="dxa"/>
            <w:shd w:val="clear" w:color="auto" w:fill="FFFFFF" w:themeFill="background1"/>
          </w:tcPr>
          <w:p w14:paraId="1ABA51AD"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iCs/>
                <w:color w:val="000000" w:themeColor="text1"/>
                <w:szCs w:val="22"/>
              </w:rPr>
              <w:t>Decisión 14/34</w:t>
            </w:r>
          </w:p>
        </w:tc>
        <w:tc>
          <w:tcPr>
            <w:tcW w:w="3909" w:type="dxa"/>
            <w:shd w:val="clear" w:color="auto" w:fill="FFFFFF" w:themeFill="background1"/>
          </w:tcPr>
          <w:p w14:paraId="78DC2A05" w14:textId="77777777" w:rsidR="001E2016" w:rsidRPr="00780276" w:rsidRDefault="001E2016" w:rsidP="00412F38">
            <w:pPr>
              <w:spacing w:before="40" w:after="40"/>
              <w:jc w:val="left"/>
              <w:rPr>
                <w:rFonts w:ascii="Times New Roman" w:hAnsi="Times New Roman" w:cs="Times New Roman"/>
                <w:iCs/>
                <w:snapToGrid w:val="0"/>
                <w:color w:val="000000" w:themeColor="text1"/>
                <w:kern w:val="22"/>
                <w:szCs w:val="22"/>
              </w:rPr>
            </w:pPr>
            <w:r>
              <w:rPr>
                <w:rFonts w:ascii="Times New Roman" w:hAnsi="Times New Roman"/>
                <w:iCs/>
                <w:snapToGrid w:val="0"/>
                <w:color w:val="000000" w:themeColor="text1"/>
                <w:szCs w:val="22"/>
              </w:rPr>
              <w:t>Basándose en su labor previa, así como en el trabajo de los órganos subsidiarios y otras consultas, el Grupo de Trabajo elaborará un texto del marco posterior a 2020 para someterlo al examen de la Conferencia de las Partes en su 15ª reunión.</w:t>
            </w:r>
          </w:p>
        </w:tc>
        <w:tc>
          <w:tcPr>
            <w:tcW w:w="1861" w:type="dxa"/>
            <w:shd w:val="clear" w:color="auto" w:fill="FFFFFF" w:themeFill="background1"/>
          </w:tcPr>
          <w:p w14:paraId="3144E94B" w14:textId="442954BD"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Reunión intergubernamen</w:t>
            </w:r>
            <w:r w:rsidR="004565D6">
              <w:rPr>
                <w:rFonts w:ascii="Times New Roman" w:hAnsi="Times New Roman"/>
                <w:color w:val="000000" w:themeColor="text1"/>
                <w:szCs w:val="22"/>
              </w:rPr>
              <w:t>-</w:t>
            </w:r>
            <w:r>
              <w:rPr>
                <w:rFonts w:ascii="Times New Roman" w:hAnsi="Times New Roman"/>
                <w:color w:val="000000" w:themeColor="text1"/>
                <w:szCs w:val="22"/>
              </w:rPr>
              <w:t>tal</w:t>
            </w:r>
          </w:p>
          <w:p w14:paraId="3BB6B63E"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1</w:t>
            </w:r>
          </w:p>
        </w:tc>
      </w:tr>
    </w:tbl>
    <w:p w14:paraId="5CD56C72" w14:textId="77777777" w:rsidR="001E2016" w:rsidRPr="00780276" w:rsidRDefault="001E2016" w:rsidP="00780276">
      <w:pPr>
        <w:pStyle w:val="Para10"/>
        <w:numPr>
          <w:ilvl w:val="0"/>
          <w:numId w:val="0"/>
        </w:numPr>
        <w:suppressLineNumbers/>
        <w:suppressAutoHyphens/>
        <w:rPr>
          <w:kern w:val="22"/>
          <w:szCs w:val="22"/>
        </w:rPr>
      </w:pPr>
    </w:p>
    <w:p w14:paraId="72DFFEB1" w14:textId="32312484" w:rsidR="001E2016" w:rsidRPr="00780276" w:rsidRDefault="001E2016" w:rsidP="00780276">
      <w:pPr>
        <w:pStyle w:val="Para10"/>
        <w:keepNext/>
        <w:keepLines/>
        <w:numPr>
          <w:ilvl w:val="0"/>
          <w:numId w:val="0"/>
        </w:numPr>
        <w:suppressLineNumbers/>
        <w:suppressAutoHyphens/>
        <w:jc w:val="center"/>
        <w:rPr>
          <w:b/>
          <w:bCs/>
          <w:kern w:val="22"/>
          <w:szCs w:val="22"/>
        </w:rPr>
      </w:pPr>
      <w:r>
        <w:rPr>
          <w:b/>
          <w:bCs/>
          <w:szCs w:val="22"/>
        </w:rPr>
        <w:t>Cuadro 2. Otras consultas y talleres</w:t>
      </w:r>
    </w:p>
    <w:tbl>
      <w:tblPr>
        <w:tblStyle w:val="Tablaconcuadrcula"/>
        <w:tblW w:w="5000" w:type="pct"/>
        <w:tblLayout w:type="fixed"/>
        <w:tblLook w:val="04A0" w:firstRow="1" w:lastRow="0" w:firstColumn="1" w:lastColumn="0" w:noHBand="0" w:noVBand="1"/>
      </w:tblPr>
      <w:tblGrid>
        <w:gridCol w:w="2154"/>
        <w:gridCol w:w="2157"/>
        <w:gridCol w:w="3016"/>
        <w:gridCol w:w="1297"/>
        <w:gridCol w:w="3644"/>
        <w:gridCol w:w="1861"/>
      </w:tblGrid>
      <w:tr w:rsidR="001E2016" w:rsidRPr="00225964" w14:paraId="52D8622E" w14:textId="77777777" w:rsidTr="00780276">
        <w:trPr>
          <w:tblHeader/>
        </w:trPr>
        <w:tc>
          <w:tcPr>
            <w:tcW w:w="2154" w:type="dxa"/>
          </w:tcPr>
          <w:p w14:paraId="163AB7AE" w14:textId="77777777" w:rsidR="001E2016" w:rsidRPr="00780276" w:rsidRDefault="001E2016" w:rsidP="00780276">
            <w:pPr>
              <w:keepNext/>
              <w:keepLines/>
              <w:spacing w:before="40" w:after="40"/>
              <w:jc w:val="center"/>
              <w:rPr>
                <w:rFonts w:ascii="Times New Roman" w:hAnsi="Times New Roman" w:cs="Times New Roman"/>
                <w:i/>
                <w:color w:val="000000" w:themeColor="text1"/>
                <w:kern w:val="22"/>
                <w:szCs w:val="22"/>
              </w:rPr>
            </w:pPr>
            <w:r>
              <w:rPr>
                <w:rFonts w:ascii="Times New Roman" w:hAnsi="Times New Roman"/>
                <w:i/>
                <w:color w:val="000000" w:themeColor="text1"/>
                <w:szCs w:val="22"/>
              </w:rPr>
              <w:t>Fecha y lugar</w:t>
            </w:r>
          </w:p>
        </w:tc>
        <w:tc>
          <w:tcPr>
            <w:tcW w:w="2157" w:type="dxa"/>
          </w:tcPr>
          <w:p w14:paraId="65A53D7D" w14:textId="77777777" w:rsidR="001E2016" w:rsidRPr="00780276" w:rsidRDefault="001E2016" w:rsidP="00780276">
            <w:pPr>
              <w:keepNext/>
              <w:keepLines/>
              <w:spacing w:before="40" w:after="40"/>
              <w:jc w:val="center"/>
              <w:rPr>
                <w:rFonts w:ascii="Times New Roman" w:hAnsi="Times New Roman" w:cs="Times New Roman"/>
                <w:i/>
                <w:color w:val="000000" w:themeColor="text1"/>
                <w:kern w:val="22"/>
                <w:szCs w:val="22"/>
              </w:rPr>
            </w:pPr>
            <w:r>
              <w:rPr>
                <w:rFonts w:ascii="Times New Roman" w:hAnsi="Times New Roman"/>
                <w:i/>
                <w:color w:val="000000" w:themeColor="text1"/>
                <w:szCs w:val="22"/>
              </w:rPr>
              <w:t>Reunión</w:t>
            </w:r>
          </w:p>
        </w:tc>
        <w:tc>
          <w:tcPr>
            <w:tcW w:w="3016" w:type="dxa"/>
          </w:tcPr>
          <w:p w14:paraId="0F34D5DB" w14:textId="77777777" w:rsidR="001E2016" w:rsidRPr="00780276" w:rsidRDefault="001E2016" w:rsidP="00780276">
            <w:pPr>
              <w:keepNext/>
              <w:keepLines/>
              <w:spacing w:before="40" w:after="40"/>
              <w:jc w:val="center"/>
              <w:rPr>
                <w:rFonts w:ascii="Times New Roman" w:hAnsi="Times New Roman" w:cs="Times New Roman"/>
                <w:i/>
                <w:color w:val="000000" w:themeColor="text1"/>
                <w:kern w:val="22"/>
                <w:szCs w:val="22"/>
              </w:rPr>
            </w:pPr>
            <w:r>
              <w:rPr>
                <w:rFonts w:ascii="Times New Roman" w:hAnsi="Times New Roman"/>
                <w:i/>
                <w:color w:val="000000" w:themeColor="text1"/>
                <w:szCs w:val="22"/>
              </w:rPr>
              <w:t>Elemento del marco mundial de la diversidad biológica posterior a 2020</w:t>
            </w:r>
          </w:p>
        </w:tc>
        <w:tc>
          <w:tcPr>
            <w:tcW w:w="1297" w:type="dxa"/>
          </w:tcPr>
          <w:p w14:paraId="78FCE62E" w14:textId="77777777" w:rsidR="001E2016" w:rsidRPr="00780276" w:rsidRDefault="001E2016" w:rsidP="00780276">
            <w:pPr>
              <w:keepNext/>
              <w:keepLines/>
              <w:spacing w:before="40" w:after="40"/>
              <w:jc w:val="center"/>
              <w:rPr>
                <w:rFonts w:ascii="Times New Roman" w:hAnsi="Times New Roman" w:cs="Times New Roman"/>
                <w:i/>
                <w:color w:val="000000" w:themeColor="text1"/>
                <w:kern w:val="22"/>
                <w:szCs w:val="22"/>
              </w:rPr>
            </w:pPr>
            <w:r>
              <w:rPr>
                <w:rFonts w:ascii="Times New Roman" w:hAnsi="Times New Roman"/>
                <w:i/>
                <w:color w:val="000000" w:themeColor="text1"/>
                <w:szCs w:val="22"/>
              </w:rPr>
              <w:t>Mandato</w:t>
            </w:r>
          </w:p>
        </w:tc>
        <w:tc>
          <w:tcPr>
            <w:tcW w:w="3644" w:type="dxa"/>
          </w:tcPr>
          <w:p w14:paraId="191778AF" w14:textId="77777777" w:rsidR="001E2016" w:rsidRPr="00780276" w:rsidRDefault="001E2016" w:rsidP="00780276">
            <w:pPr>
              <w:keepNext/>
              <w:keepLines/>
              <w:spacing w:before="40" w:after="40"/>
              <w:jc w:val="center"/>
              <w:rPr>
                <w:rFonts w:ascii="Times New Roman" w:hAnsi="Times New Roman" w:cs="Times New Roman"/>
                <w:i/>
                <w:color w:val="000000" w:themeColor="text1"/>
                <w:kern w:val="22"/>
                <w:szCs w:val="22"/>
              </w:rPr>
            </w:pPr>
            <w:r>
              <w:rPr>
                <w:rFonts w:ascii="Times New Roman" w:hAnsi="Times New Roman"/>
                <w:i/>
                <w:color w:val="000000" w:themeColor="text1"/>
                <w:szCs w:val="22"/>
              </w:rPr>
              <w:t>Función/modalidad</w:t>
            </w:r>
          </w:p>
        </w:tc>
        <w:tc>
          <w:tcPr>
            <w:tcW w:w="1861" w:type="dxa"/>
          </w:tcPr>
          <w:p w14:paraId="347DA2B9" w14:textId="77777777" w:rsidR="001E2016" w:rsidRPr="00780276" w:rsidRDefault="001E2016" w:rsidP="00780276">
            <w:pPr>
              <w:keepNext/>
              <w:keepLines/>
              <w:spacing w:before="40" w:after="40"/>
              <w:jc w:val="center"/>
              <w:rPr>
                <w:rFonts w:ascii="Times New Roman" w:hAnsi="Times New Roman" w:cs="Times New Roman"/>
                <w:i/>
                <w:color w:val="000000" w:themeColor="text1"/>
                <w:kern w:val="22"/>
                <w:szCs w:val="22"/>
              </w:rPr>
            </w:pPr>
            <w:r>
              <w:rPr>
                <w:rFonts w:ascii="Times New Roman" w:hAnsi="Times New Roman"/>
                <w:i/>
                <w:color w:val="000000" w:themeColor="text1"/>
                <w:szCs w:val="22"/>
              </w:rPr>
              <w:t>Tipo</w:t>
            </w:r>
          </w:p>
        </w:tc>
      </w:tr>
      <w:tr w:rsidR="001E2016" w:rsidRPr="00225964" w14:paraId="34B75049" w14:textId="77777777" w:rsidTr="00780276">
        <w:tblPrEx>
          <w:jc w:val="center"/>
        </w:tblPrEx>
        <w:trPr>
          <w:cantSplit/>
          <w:jc w:val="center"/>
        </w:trPr>
        <w:tc>
          <w:tcPr>
            <w:tcW w:w="2154" w:type="dxa"/>
            <w:tcBorders>
              <w:bottom w:val="single" w:sz="4" w:space="0" w:color="auto"/>
            </w:tcBorders>
            <w:shd w:val="clear" w:color="auto" w:fill="FFFFFF" w:themeFill="background1"/>
          </w:tcPr>
          <w:p w14:paraId="523B69C8" w14:textId="77777777" w:rsidR="001E2016" w:rsidRPr="00780276" w:rsidRDefault="001E2016" w:rsidP="00780276">
            <w:pPr>
              <w:keepNext/>
              <w:keepLines/>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30 de octubre a 1 de noviembre de 2019, Río de Janeiro (Brasil)</w:t>
            </w:r>
          </w:p>
        </w:tc>
        <w:tc>
          <w:tcPr>
            <w:tcW w:w="2157" w:type="dxa"/>
            <w:tcBorders>
              <w:bottom w:val="single" w:sz="4" w:space="0" w:color="auto"/>
            </w:tcBorders>
            <w:shd w:val="clear" w:color="auto" w:fill="FFFFFF" w:themeFill="background1"/>
          </w:tcPr>
          <w:p w14:paraId="4C560D26" w14:textId="77777777" w:rsidR="001E2016" w:rsidRPr="00780276" w:rsidRDefault="001E2016" w:rsidP="00780276">
            <w:pPr>
              <w:keepNext/>
              <w:keepLines/>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Consulta temática sobre restauración de los ecosistemas</w:t>
            </w:r>
          </w:p>
        </w:tc>
        <w:tc>
          <w:tcPr>
            <w:tcW w:w="3016" w:type="dxa"/>
            <w:tcBorders>
              <w:bottom w:val="single" w:sz="4" w:space="0" w:color="auto"/>
            </w:tcBorders>
            <w:shd w:val="clear" w:color="auto" w:fill="FFFFFF" w:themeFill="background1"/>
          </w:tcPr>
          <w:p w14:paraId="1C434F70" w14:textId="77777777" w:rsidR="001E2016" w:rsidRPr="00780276" w:rsidRDefault="001E2016" w:rsidP="00780276">
            <w:pPr>
              <w:keepNext/>
              <w:keepLines/>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Restauración de los ecosistemas</w:t>
            </w:r>
          </w:p>
        </w:tc>
        <w:tc>
          <w:tcPr>
            <w:tcW w:w="1297" w:type="dxa"/>
            <w:tcBorders>
              <w:bottom w:val="single" w:sz="4" w:space="0" w:color="auto"/>
            </w:tcBorders>
            <w:shd w:val="clear" w:color="auto" w:fill="FFFFFF" w:themeFill="background1"/>
          </w:tcPr>
          <w:p w14:paraId="5D4B2CFD" w14:textId="77777777" w:rsidR="001E2016" w:rsidRPr="00780276" w:rsidRDefault="001E2016" w:rsidP="00780276">
            <w:pPr>
              <w:keepNext/>
              <w:keepLines/>
              <w:spacing w:before="40" w:after="40"/>
              <w:jc w:val="left"/>
              <w:rPr>
                <w:rFonts w:ascii="Times New Roman" w:hAnsi="Times New Roman" w:cs="Times New Roman"/>
                <w:color w:val="000000" w:themeColor="text1"/>
                <w:kern w:val="22"/>
                <w:szCs w:val="22"/>
              </w:rPr>
            </w:pPr>
          </w:p>
        </w:tc>
        <w:tc>
          <w:tcPr>
            <w:tcW w:w="3644" w:type="dxa"/>
            <w:tcBorders>
              <w:bottom w:val="single" w:sz="4" w:space="0" w:color="auto"/>
            </w:tcBorders>
            <w:shd w:val="clear" w:color="auto" w:fill="FFFFFF" w:themeFill="background1"/>
          </w:tcPr>
          <w:p w14:paraId="2809D3AF" w14:textId="77777777" w:rsidR="001E2016" w:rsidRPr="00780276" w:rsidRDefault="001E2016" w:rsidP="00780276">
            <w:pPr>
              <w:keepNext/>
              <w:keepLines/>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Se facilitará un informe del taller a la WG2020-2.</w:t>
            </w:r>
          </w:p>
        </w:tc>
        <w:tc>
          <w:tcPr>
            <w:tcW w:w="1861" w:type="dxa"/>
            <w:tcBorders>
              <w:bottom w:val="single" w:sz="4" w:space="0" w:color="auto"/>
            </w:tcBorders>
            <w:shd w:val="clear" w:color="auto" w:fill="FFFFFF" w:themeFill="background1"/>
          </w:tcPr>
          <w:p w14:paraId="1C0A9806" w14:textId="77777777" w:rsidR="001E2016" w:rsidRPr="00780276" w:rsidRDefault="001E2016" w:rsidP="00780276">
            <w:pPr>
              <w:keepNext/>
              <w:keepLines/>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Taller temático</w:t>
            </w:r>
          </w:p>
          <w:p w14:paraId="5D76E18A" w14:textId="77777777" w:rsidR="001E2016" w:rsidRPr="00780276" w:rsidRDefault="001E2016" w:rsidP="00780276">
            <w:pPr>
              <w:keepNext/>
              <w:keepLines/>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4</w:t>
            </w:r>
          </w:p>
        </w:tc>
      </w:tr>
      <w:tr w:rsidR="001E2016" w:rsidRPr="00225964" w14:paraId="764CC4ED" w14:textId="77777777" w:rsidTr="00780276">
        <w:tblPrEx>
          <w:jc w:val="center"/>
        </w:tblPrEx>
        <w:trPr>
          <w:cantSplit/>
          <w:jc w:val="center"/>
        </w:trPr>
        <w:tc>
          <w:tcPr>
            <w:tcW w:w="2154" w:type="dxa"/>
            <w:tcBorders>
              <w:bottom w:val="single" w:sz="4" w:space="0" w:color="auto"/>
            </w:tcBorders>
            <w:shd w:val="clear" w:color="auto" w:fill="FFFFFF" w:themeFill="background1"/>
          </w:tcPr>
          <w:p w14:paraId="778FE299" w14:textId="2252A3D0"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13 a 15 de noviembre de 2019, Montreal (Canadá)</w:t>
            </w:r>
          </w:p>
        </w:tc>
        <w:tc>
          <w:tcPr>
            <w:tcW w:w="2157" w:type="dxa"/>
            <w:tcBorders>
              <w:bottom w:val="single" w:sz="4" w:space="0" w:color="auto"/>
            </w:tcBorders>
            <w:shd w:val="clear" w:color="auto" w:fill="FFFFFF" w:themeFill="background1"/>
          </w:tcPr>
          <w:p w14:paraId="65F4FEDE"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Consulta temática sobre el medio marino</w:t>
            </w:r>
          </w:p>
        </w:tc>
        <w:tc>
          <w:tcPr>
            <w:tcW w:w="3016" w:type="dxa"/>
            <w:tcBorders>
              <w:bottom w:val="single" w:sz="4" w:space="0" w:color="auto"/>
            </w:tcBorders>
            <w:shd w:val="clear" w:color="auto" w:fill="FFFFFF" w:themeFill="background1"/>
          </w:tcPr>
          <w:p w14:paraId="02E26B16"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Ecosistemas marinos</w:t>
            </w:r>
          </w:p>
        </w:tc>
        <w:tc>
          <w:tcPr>
            <w:tcW w:w="1297" w:type="dxa"/>
            <w:tcBorders>
              <w:bottom w:val="single" w:sz="4" w:space="0" w:color="auto"/>
            </w:tcBorders>
            <w:shd w:val="clear" w:color="auto" w:fill="FFFFFF" w:themeFill="background1"/>
          </w:tcPr>
          <w:p w14:paraId="4332D5B4"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c>
          <w:tcPr>
            <w:tcW w:w="3644" w:type="dxa"/>
            <w:tcBorders>
              <w:bottom w:val="single" w:sz="4" w:space="0" w:color="auto"/>
            </w:tcBorders>
            <w:shd w:val="clear" w:color="auto" w:fill="FFFFFF" w:themeFill="background1"/>
          </w:tcPr>
          <w:p w14:paraId="103D2267"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Se facilitará un informe del taller a la WG2020-2.</w:t>
            </w:r>
          </w:p>
        </w:tc>
        <w:tc>
          <w:tcPr>
            <w:tcW w:w="1861" w:type="dxa"/>
            <w:tcBorders>
              <w:bottom w:val="single" w:sz="4" w:space="0" w:color="auto"/>
            </w:tcBorders>
            <w:shd w:val="clear" w:color="auto" w:fill="FFFFFF" w:themeFill="background1"/>
          </w:tcPr>
          <w:p w14:paraId="145D82E4"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Taller temático</w:t>
            </w:r>
          </w:p>
          <w:p w14:paraId="62732484"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4</w:t>
            </w:r>
          </w:p>
        </w:tc>
      </w:tr>
      <w:tr w:rsidR="001E2016" w:rsidRPr="00225964" w14:paraId="5832AFCA" w14:textId="77777777" w:rsidTr="00780276">
        <w:tblPrEx>
          <w:jc w:val="center"/>
        </w:tblPrEx>
        <w:trPr>
          <w:cantSplit/>
          <w:jc w:val="center"/>
        </w:trPr>
        <w:tc>
          <w:tcPr>
            <w:tcW w:w="2154" w:type="dxa"/>
            <w:tcBorders>
              <w:bottom w:val="single" w:sz="4" w:space="0" w:color="auto"/>
            </w:tcBorders>
            <w:shd w:val="clear" w:color="auto" w:fill="FFFFFF" w:themeFill="background1"/>
          </w:tcPr>
          <w:p w14:paraId="6DFF9C4B"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lastRenderedPageBreak/>
              <w:t>24 de noviembre, Montreal (Canadá) (entre WG8J-11 y OSACTT-23)</w:t>
            </w:r>
          </w:p>
        </w:tc>
        <w:tc>
          <w:tcPr>
            <w:tcW w:w="2157" w:type="dxa"/>
            <w:tcBorders>
              <w:bottom w:val="single" w:sz="4" w:space="0" w:color="auto"/>
            </w:tcBorders>
            <w:shd w:val="clear" w:color="auto" w:fill="FFFFFF" w:themeFill="background1"/>
          </w:tcPr>
          <w:p w14:paraId="021BE329"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Sesión informativa oficiosa de los Copresidentes del Grupo de Trabajo</w:t>
            </w:r>
          </w:p>
        </w:tc>
        <w:tc>
          <w:tcPr>
            <w:tcW w:w="3016" w:type="dxa"/>
            <w:tcBorders>
              <w:bottom w:val="single" w:sz="4" w:space="0" w:color="auto"/>
            </w:tcBorders>
            <w:shd w:val="clear" w:color="auto" w:fill="FFFFFF" w:themeFill="background1"/>
          </w:tcPr>
          <w:p w14:paraId="02E63D64" w14:textId="62CC70D8" w:rsidR="001E2016" w:rsidRPr="00780276" w:rsidRDefault="00D85F61"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Proceso preparatorio</w:t>
            </w:r>
          </w:p>
        </w:tc>
        <w:tc>
          <w:tcPr>
            <w:tcW w:w="1297" w:type="dxa"/>
            <w:tcBorders>
              <w:bottom w:val="single" w:sz="4" w:space="0" w:color="auto"/>
            </w:tcBorders>
            <w:shd w:val="clear" w:color="auto" w:fill="FFFFFF" w:themeFill="background1"/>
          </w:tcPr>
          <w:p w14:paraId="55CDE039"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c>
          <w:tcPr>
            <w:tcW w:w="3644" w:type="dxa"/>
            <w:tcBorders>
              <w:bottom w:val="single" w:sz="4" w:space="0" w:color="auto"/>
            </w:tcBorders>
            <w:shd w:val="clear" w:color="auto" w:fill="FFFFFF" w:themeFill="background1"/>
          </w:tcPr>
          <w:p w14:paraId="561FD2B4" w14:textId="62972FE6"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Los Copresidentes del Grupo de Trabajo ofrecerán una sesión informativa sobre los progresos realizados en el Grupo de Trabajo durante su primera reunión y mediante las consultas y comunicaciones posteriores</w:t>
            </w:r>
          </w:p>
        </w:tc>
        <w:tc>
          <w:tcPr>
            <w:tcW w:w="1861" w:type="dxa"/>
            <w:tcBorders>
              <w:bottom w:val="single" w:sz="4" w:space="0" w:color="auto"/>
            </w:tcBorders>
            <w:shd w:val="clear" w:color="auto" w:fill="FFFFFF" w:themeFill="background1"/>
          </w:tcPr>
          <w:p w14:paraId="1DE31A16"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Consulta temática</w:t>
            </w:r>
          </w:p>
          <w:p w14:paraId="2C6C778A"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3</w:t>
            </w:r>
          </w:p>
        </w:tc>
      </w:tr>
      <w:tr w:rsidR="001E2016" w:rsidRPr="00225964" w14:paraId="4D24AEC7" w14:textId="77777777" w:rsidTr="00780276">
        <w:tblPrEx>
          <w:jc w:val="center"/>
        </w:tblPrEx>
        <w:trPr>
          <w:cantSplit/>
          <w:jc w:val="center"/>
        </w:trPr>
        <w:tc>
          <w:tcPr>
            <w:tcW w:w="2154" w:type="dxa"/>
            <w:shd w:val="clear" w:color="auto" w:fill="FFFFFF" w:themeFill="background1"/>
          </w:tcPr>
          <w:p w14:paraId="2B8EBD3D"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Pendiente de confirmación</w:t>
            </w:r>
          </w:p>
        </w:tc>
        <w:tc>
          <w:tcPr>
            <w:tcW w:w="2157" w:type="dxa"/>
            <w:shd w:val="clear" w:color="auto" w:fill="FFFFFF" w:themeFill="background1"/>
          </w:tcPr>
          <w:p w14:paraId="1DFE935F"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Taller temático sobre medidas de conservación basadas en áreas</w:t>
            </w:r>
          </w:p>
        </w:tc>
        <w:tc>
          <w:tcPr>
            <w:tcW w:w="3016" w:type="dxa"/>
            <w:shd w:val="clear" w:color="auto" w:fill="FFFFFF" w:themeFill="background1"/>
          </w:tcPr>
          <w:p w14:paraId="4A685E8E"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Áreas protegidas y otras medidas basadas en áreas para la gestión de los hábitats</w:t>
            </w:r>
          </w:p>
        </w:tc>
        <w:tc>
          <w:tcPr>
            <w:tcW w:w="1297" w:type="dxa"/>
            <w:shd w:val="clear" w:color="auto" w:fill="FFFFFF" w:themeFill="background1"/>
          </w:tcPr>
          <w:p w14:paraId="21004C86"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c>
          <w:tcPr>
            <w:tcW w:w="3644" w:type="dxa"/>
            <w:shd w:val="clear" w:color="auto" w:fill="FFFFFF" w:themeFill="background1"/>
          </w:tcPr>
          <w:p w14:paraId="2384697A"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Se facilitará un informe del taller a la WG2020-2.</w:t>
            </w:r>
          </w:p>
        </w:tc>
        <w:tc>
          <w:tcPr>
            <w:tcW w:w="1861" w:type="dxa"/>
            <w:shd w:val="clear" w:color="auto" w:fill="FFFFFF" w:themeFill="background1"/>
          </w:tcPr>
          <w:p w14:paraId="29CF3B06"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Taller temático</w:t>
            </w:r>
          </w:p>
          <w:p w14:paraId="0E181685"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4</w:t>
            </w:r>
          </w:p>
        </w:tc>
      </w:tr>
      <w:tr w:rsidR="001E2016" w:rsidRPr="00225964" w14:paraId="6099E670" w14:textId="77777777" w:rsidTr="00780276">
        <w:tblPrEx>
          <w:jc w:val="center"/>
        </w:tblPrEx>
        <w:trPr>
          <w:cantSplit/>
          <w:jc w:val="center"/>
        </w:trPr>
        <w:tc>
          <w:tcPr>
            <w:tcW w:w="2154" w:type="dxa"/>
            <w:shd w:val="clear" w:color="auto" w:fill="FFFFFF" w:themeFill="background1"/>
          </w:tcPr>
          <w:p w14:paraId="1351E68E"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Enero de 2020 (pendiente de confirmación)</w:t>
            </w:r>
          </w:p>
        </w:tc>
        <w:tc>
          <w:tcPr>
            <w:tcW w:w="2157" w:type="dxa"/>
            <w:shd w:val="clear" w:color="auto" w:fill="FFFFFF" w:themeFill="background1"/>
          </w:tcPr>
          <w:p w14:paraId="48069C65"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Taller o consultas en línea sobre enfoques y mecanismos de revisión</w:t>
            </w:r>
          </w:p>
        </w:tc>
        <w:tc>
          <w:tcPr>
            <w:tcW w:w="3016" w:type="dxa"/>
            <w:shd w:val="clear" w:color="auto" w:fill="FFFFFF" w:themeFill="background1"/>
          </w:tcPr>
          <w:p w14:paraId="40AA9B1E"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Mecanismos de revisión de la implementación</w:t>
            </w:r>
          </w:p>
        </w:tc>
        <w:tc>
          <w:tcPr>
            <w:tcW w:w="1297" w:type="dxa"/>
            <w:shd w:val="clear" w:color="auto" w:fill="FFFFFF" w:themeFill="background1"/>
          </w:tcPr>
          <w:p w14:paraId="6C0DB23A"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Decisión </w:t>
            </w:r>
            <w:hyperlink r:id="rId34" w:history="1">
              <w:r>
                <w:rPr>
                  <w:rStyle w:val="Hipervnculo"/>
                  <w:rFonts w:ascii="Times New Roman" w:hAnsi="Times New Roman"/>
                  <w:color w:val="000000" w:themeColor="text1"/>
                  <w:sz w:val="22"/>
                  <w:szCs w:val="22"/>
                  <w:u w:val="none"/>
                </w:rPr>
                <w:t>14/29</w:t>
              </w:r>
            </w:hyperlink>
          </w:p>
        </w:tc>
        <w:tc>
          <w:tcPr>
            <w:tcW w:w="3644" w:type="dxa"/>
            <w:shd w:val="clear" w:color="auto" w:fill="FFFFFF" w:themeFill="background1"/>
          </w:tcPr>
          <w:p w14:paraId="647B3D39"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El taller elaborará opciones para mecanismos de revisión de la implementación para consultas ulteriores y el examen de la WG2020-2 y la OSA-3</w:t>
            </w:r>
          </w:p>
        </w:tc>
        <w:tc>
          <w:tcPr>
            <w:tcW w:w="1861" w:type="dxa"/>
            <w:shd w:val="clear" w:color="auto" w:fill="FFFFFF" w:themeFill="background1"/>
          </w:tcPr>
          <w:p w14:paraId="66E8B21C"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Taller temático</w:t>
            </w:r>
          </w:p>
          <w:p w14:paraId="0805C66D"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4</w:t>
            </w:r>
          </w:p>
        </w:tc>
      </w:tr>
      <w:tr w:rsidR="001E2016" w:rsidRPr="00225964" w14:paraId="36A496FF" w14:textId="77777777" w:rsidTr="00780276">
        <w:tblPrEx>
          <w:jc w:val="center"/>
        </w:tblPrEx>
        <w:trPr>
          <w:cantSplit/>
          <w:jc w:val="center"/>
        </w:trPr>
        <w:tc>
          <w:tcPr>
            <w:tcW w:w="2154" w:type="dxa"/>
            <w:tcBorders>
              <w:bottom w:val="single" w:sz="4" w:space="0" w:color="auto"/>
            </w:tcBorders>
            <w:shd w:val="clear" w:color="auto" w:fill="FFFFFF" w:themeFill="background1"/>
          </w:tcPr>
          <w:p w14:paraId="0B2A424A"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Enero/febrero de 2020 (pendiente de confirmación)</w:t>
            </w:r>
          </w:p>
        </w:tc>
        <w:tc>
          <w:tcPr>
            <w:tcW w:w="2157" w:type="dxa"/>
            <w:tcBorders>
              <w:bottom w:val="single" w:sz="4" w:space="0" w:color="auto"/>
            </w:tcBorders>
            <w:shd w:val="clear" w:color="auto" w:fill="FFFFFF" w:themeFill="background1"/>
          </w:tcPr>
          <w:p w14:paraId="6F3DBE10"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Consulta sobre movilización de recursos</w:t>
            </w:r>
          </w:p>
        </w:tc>
        <w:tc>
          <w:tcPr>
            <w:tcW w:w="3016" w:type="dxa"/>
            <w:tcBorders>
              <w:bottom w:val="single" w:sz="4" w:space="0" w:color="auto"/>
            </w:tcBorders>
            <w:shd w:val="clear" w:color="auto" w:fill="FFFFFF" w:themeFill="background1"/>
          </w:tcPr>
          <w:p w14:paraId="2EB159F5"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Movilización de recursos</w:t>
            </w:r>
          </w:p>
        </w:tc>
        <w:tc>
          <w:tcPr>
            <w:tcW w:w="1297" w:type="dxa"/>
            <w:tcBorders>
              <w:bottom w:val="single" w:sz="4" w:space="0" w:color="auto"/>
            </w:tcBorders>
            <w:shd w:val="clear" w:color="auto" w:fill="FFFFFF" w:themeFill="background1"/>
          </w:tcPr>
          <w:p w14:paraId="64D4E671"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c>
          <w:tcPr>
            <w:tcW w:w="3644" w:type="dxa"/>
            <w:tcBorders>
              <w:bottom w:val="single" w:sz="4" w:space="0" w:color="auto"/>
            </w:tcBorders>
            <w:shd w:val="clear" w:color="auto" w:fill="FFFFFF" w:themeFill="background1"/>
          </w:tcPr>
          <w:p w14:paraId="5699601B"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Se facilitará el informe de la consulta a la WG2020-2</w:t>
            </w:r>
          </w:p>
        </w:tc>
        <w:tc>
          <w:tcPr>
            <w:tcW w:w="1861" w:type="dxa"/>
            <w:tcBorders>
              <w:bottom w:val="single" w:sz="4" w:space="0" w:color="auto"/>
            </w:tcBorders>
            <w:shd w:val="clear" w:color="auto" w:fill="FFFFFF" w:themeFill="background1"/>
          </w:tcPr>
          <w:p w14:paraId="5508CA98"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Taller temático</w:t>
            </w:r>
          </w:p>
          <w:p w14:paraId="4D50FA71"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4</w:t>
            </w:r>
          </w:p>
        </w:tc>
      </w:tr>
      <w:tr w:rsidR="001E2016" w:rsidRPr="00225964" w14:paraId="30A5E054" w14:textId="77777777" w:rsidTr="00780276">
        <w:tblPrEx>
          <w:jc w:val="center"/>
        </w:tblPrEx>
        <w:trPr>
          <w:cantSplit/>
          <w:jc w:val="center"/>
        </w:trPr>
        <w:tc>
          <w:tcPr>
            <w:tcW w:w="2154" w:type="dxa"/>
            <w:tcBorders>
              <w:bottom w:val="single" w:sz="4" w:space="0" w:color="auto"/>
            </w:tcBorders>
            <w:shd w:val="clear" w:color="auto" w:fill="FFFFFF" w:themeFill="background1"/>
          </w:tcPr>
          <w:p w14:paraId="63417539"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21 y 22 de febrero de 2020 (pendiente de confirmación), Kunming (China)</w:t>
            </w:r>
          </w:p>
        </w:tc>
        <w:tc>
          <w:tcPr>
            <w:tcW w:w="2157" w:type="dxa"/>
            <w:tcBorders>
              <w:bottom w:val="single" w:sz="4" w:space="0" w:color="auto"/>
            </w:tcBorders>
            <w:shd w:val="clear" w:color="auto" w:fill="FFFFFF" w:themeFill="background1"/>
          </w:tcPr>
          <w:p w14:paraId="613AFB93"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iCs/>
                <w:snapToGrid w:val="0"/>
                <w:color w:val="000000" w:themeColor="text1"/>
                <w:szCs w:val="22"/>
              </w:rPr>
              <w:t>Consulta sobre enfoques y mecanismos de revisión</w:t>
            </w:r>
          </w:p>
        </w:tc>
        <w:tc>
          <w:tcPr>
            <w:tcW w:w="3016" w:type="dxa"/>
            <w:tcBorders>
              <w:bottom w:val="single" w:sz="4" w:space="0" w:color="auto"/>
            </w:tcBorders>
            <w:shd w:val="clear" w:color="auto" w:fill="FFFFFF" w:themeFill="background1"/>
          </w:tcPr>
          <w:p w14:paraId="2ED21783" w14:textId="77777777" w:rsidR="001E2016" w:rsidRPr="00780276" w:rsidRDefault="001E2016" w:rsidP="00412F38">
            <w:pPr>
              <w:spacing w:before="40" w:after="40"/>
              <w:jc w:val="left"/>
              <w:rPr>
                <w:rFonts w:ascii="Times New Roman" w:hAnsi="Times New Roman" w:cs="Times New Roman"/>
                <w:color w:val="000000" w:themeColor="text1"/>
                <w:kern w:val="22"/>
                <w:szCs w:val="22"/>
                <w:shd w:val="clear" w:color="auto" w:fill="FFFFFF"/>
              </w:rPr>
            </w:pPr>
            <w:r>
              <w:rPr>
                <w:rFonts w:ascii="Times New Roman" w:hAnsi="Times New Roman"/>
                <w:color w:val="000000" w:themeColor="text1"/>
                <w:szCs w:val="22"/>
              </w:rPr>
              <w:t>Mecanismos de revisión de la implementación</w:t>
            </w:r>
          </w:p>
        </w:tc>
        <w:tc>
          <w:tcPr>
            <w:tcW w:w="1297" w:type="dxa"/>
            <w:tcBorders>
              <w:bottom w:val="single" w:sz="4" w:space="0" w:color="auto"/>
            </w:tcBorders>
            <w:shd w:val="clear" w:color="auto" w:fill="FFFFFF" w:themeFill="background1"/>
          </w:tcPr>
          <w:p w14:paraId="4CDCBFA6"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Decisión </w:t>
            </w:r>
            <w:hyperlink r:id="rId35" w:history="1">
              <w:r>
                <w:rPr>
                  <w:rStyle w:val="Hipervnculo"/>
                  <w:rFonts w:ascii="Times New Roman" w:hAnsi="Times New Roman"/>
                  <w:color w:val="000000" w:themeColor="text1"/>
                  <w:sz w:val="22"/>
                  <w:szCs w:val="22"/>
                  <w:u w:val="none"/>
                </w:rPr>
                <w:t>14/29</w:t>
              </w:r>
            </w:hyperlink>
          </w:p>
        </w:tc>
        <w:tc>
          <w:tcPr>
            <w:tcW w:w="3644" w:type="dxa"/>
            <w:tcBorders>
              <w:bottom w:val="single" w:sz="4" w:space="0" w:color="auto"/>
            </w:tcBorders>
            <w:shd w:val="clear" w:color="auto" w:fill="FFFFFF" w:themeFill="background1"/>
          </w:tcPr>
          <w:p w14:paraId="4BB132F3"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El taller examinará opciones para mecanismos de revisión de la implementación para su examen ulterior por parte de las reuniones WG2020-2 y OSA-3</w:t>
            </w:r>
          </w:p>
        </w:tc>
        <w:tc>
          <w:tcPr>
            <w:tcW w:w="1861" w:type="dxa"/>
            <w:tcBorders>
              <w:bottom w:val="single" w:sz="4" w:space="0" w:color="auto"/>
            </w:tcBorders>
            <w:shd w:val="clear" w:color="auto" w:fill="FFFFFF" w:themeFill="background1"/>
          </w:tcPr>
          <w:p w14:paraId="67FC607A"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Consulta temática</w:t>
            </w:r>
          </w:p>
          <w:p w14:paraId="580E1E1B"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3</w:t>
            </w:r>
          </w:p>
        </w:tc>
      </w:tr>
      <w:tr w:rsidR="001E2016" w:rsidRPr="00225964" w14:paraId="08FDB1B5" w14:textId="77777777" w:rsidTr="00780276">
        <w:tblPrEx>
          <w:jc w:val="center"/>
        </w:tblPrEx>
        <w:trPr>
          <w:cantSplit/>
          <w:jc w:val="center"/>
        </w:trPr>
        <w:tc>
          <w:tcPr>
            <w:tcW w:w="2154" w:type="dxa"/>
            <w:tcBorders>
              <w:bottom w:val="single" w:sz="4" w:space="0" w:color="auto"/>
            </w:tcBorders>
            <w:shd w:val="clear" w:color="auto" w:fill="FFFFFF" w:themeFill="background1"/>
          </w:tcPr>
          <w:p w14:paraId="669BCD48"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1 de marzo de 2020, Kunming (China)</w:t>
            </w:r>
          </w:p>
        </w:tc>
        <w:tc>
          <w:tcPr>
            <w:tcW w:w="2157" w:type="dxa"/>
            <w:tcBorders>
              <w:bottom w:val="single" w:sz="4" w:space="0" w:color="auto"/>
            </w:tcBorders>
            <w:shd w:val="clear" w:color="auto" w:fill="FFFFFF" w:themeFill="background1"/>
          </w:tcPr>
          <w:p w14:paraId="021F2A09"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Consulta sobre creación de capacidad</w:t>
            </w:r>
          </w:p>
        </w:tc>
        <w:tc>
          <w:tcPr>
            <w:tcW w:w="3016" w:type="dxa"/>
            <w:tcBorders>
              <w:bottom w:val="single" w:sz="4" w:space="0" w:color="auto"/>
            </w:tcBorders>
            <w:shd w:val="clear" w:color="auto" w:fill="FFFFFF" w:themeFill="background1"/>
          </w:tcPr>
          <w:p w14:paraId="009C5DCF"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Creación de capacidad</w:t>
            </w:r>
          </w:p>
        </w:tc>
        <w:tc>
          <w:tcPr>
            <w:tcW w:w="1297" w:type="dxa"/>
            <w:tcBorders>
              <w:bottom w:val="single" w:sz="4" w:space="0" w:color="auto"/>
            </w:tcBorders>
            <w:shd w:val="clear" w:color="auto" w:fill="FFFFFF" w:themeFill="background1"/>
          </w:tcPr>
          <w:p w14:paraId="09C78D12"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c>
          <w:tcPr>
            <w:tcW w:w="3644" w:type="dxa"/>
            <w:tcBorders>
              <w:bottom w:val="single" w:sz="4" w:space="0" w:color="auto"/>
            </w:tcBorders>
            <w:shd w:val="clear" w:color="auto" w:fill="FFFFFF" w:themeFill="background1"/>
          </w:tcPr>
          <w:p w14:paraId="477B9EDC" w14:textId="5D157DDE"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 xml:space="preserve">Se facilitará el informe de la consulta a la OSA-3 y la </w:t>
            </w:r>
            <w:r>
              <w:rPr>
                <w:rFonts w:ascii="Times New Roman" w:hAnsi="Times New Roman"/>
                <w:iCs/>
                <w:snapToGrid w:val="0"/>
                <w:color w:val="000000" w:themeColor="text1"/>
                <w:szCs w:val="22"/>
              </w:rPr>
              <w:t>WG2020-3</w:t>
            </w:r>
          </w:p>
        </w:tc>
        <w:tc>
          <w:tcPr>
            <w:tcW w:w="1861" w:type="dxa"/>
            <w:tcBorders>
              <w:bottom w:val="single" w:sz="4" w:space="0" w:color="auto"/>
            </w:tcBorders>
            <w:shd w:val="clear" w:color="auto" w:fill="FFFFFF" w:themeFill="background1"/>
          </w:tcPr>
          <w:p w14:paraId="6C8A34E4"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Consulta temática</w:t>
            </w:r>
          </w:p>
          <w:p w14:paraId="0D1C127B"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3</w:t>
            </w:r>
          </w:p>
        </w:tc>
      </w:tr>
    </w:tbl>
    <w:p w14:paraId="4D0C99F9" w14:textId="77777777" w:rsidR="001E2016" w:rsidRPr="00780276" w:rsidRDefault="001E2016" w:rsidP="00412F38">
      <w:pPr>
        <w:jc w:val="left"/>
        <w:rPr>
          <w:kern w:val="22"/>
          <w:szCs w:val="22"/>
        </w:rPr>
      </w:pPr>
    </w:p>
    <w:p w14:paraId="777BCF67" w14:textId="1C8A9C65" w:rsidR="001E2016" w:rsidRPr="00780276" w:rsidRDefault="001E2016" w:rsidP="00780276">
      <w:pPr>
        <w:keepNext/>
        <w:spacing w:after="120"/>
        <w:jc w:val="center"/>
        <w:rPr>
          <w:b/>
          <w:bCs/>
          <w:kern w:val="22"/>
          <w:szCs w:val="22"/>
        </w:rPr>
      </w:pPr>
      <w:r>
        <w:rPr>
          <w:b/>
          <w:bCs/>
          <w:szCs w:val="22"/>
        </w:rPr>
        <w:lastRenderedPageBreak/>
        <w:t>Cuadro 3. Reuniones organizadas por asociados</w:t>
      </w:r>
    </w:p>
    <w:tbl>
      <w:tblPr>
        <w:tblStyle w:val="Tablaconcuadrcula"/>
        <w:tblW w:w="5000" w:type="pct"/>
        <w:tblLayout w:type="fixed"/>
        <w:tblLook w:val="04A0" w:firstRow="1" w:lastRow="0" w:firstColumn="1" w:lastColumn="0" w:noHBand="0" w:noVBand="1"/>
      </w:tblPr>
      <w:tblGrid>
        <w:gridCol w:w="2154"/>
        <w:gridCol w:w="2157"/>
        <w:gridCol w:w="3016"/>
        <w:gridCol w:w="1297"/>
        <w:gridCol w:w="3644"/>
        <w:gridCol w:w="1861"/>
      </w:tblGrid>
      <w:tr w:rsidR="001E2016" w:rsidRPr="00225964" w14:paraId="7BAFD016" w14:textId="77777777" w:rsidTr="00412F38">
        <w:tc>
          <w:tcPr>
            <w:tcW w:w="2154" w:type="dxa"/>
          </w:tcPr>
          <w:p w14:paraId="63D09C79" w14:textId="77777777" w:rsidR="001E2016" w:rsidRPr="00225964" w:rsidRDefault="001E2016" w:rsidP="00780276">
            <w:pPr>
              <w:keepNext/>
              <w:spacing w:before="40" w:after="40"/>
              <w:jc w:val="center"/>
              <w:rPr>
                <w:rFonts w:ascii="Times New Roman" w:hAnsi="Times New Roman" w:cs="Times New Roman"/>
                <w:i/>
                <w:color w:val="000000" w:themeColor="text1"/>
                <w:kern w:val="22"/>
                <w:szCs w:val="22"/>
              </w:rPr>
            </w:pPr>
            <w:bookmarkStart w:id="5" w:name="_Hlk19178026"/>
            <w:bookmarkStart w:id="6" w:name="_Hlk21506514"/>
            <w:r>
              <w:rPr>
                <w:i/>
                <w:color w:val="000000" w:themeColor="text1"/>
                <w:szCs w:val="22"/>
              </w:rPr>
              <w:t>Fecha y lugar</w:t>
            </w:r>
          </w:p>
        </w:tc>
        <w:tc>
          <w:tcPr>
            <w:tcW w:w="2157" w:type="dxa"/>
          </w:tcPr>
          <w:p w14:paraId="550FCA1D" w14:textId="77777777" w:rsidR="001E2016" w:rsidRPr="00225964" w:rsidRDefault="001E2016" w:rsidP="00780276">
            <w:pPr>
              <w:keepNext/>
              <w:spacing w:before="40" w:after="40"/>
              <w:jc w:val="center"/>
              <w:rPr>
                <w:rFonts w:ascii="Times New Roman" w:hAnsi="Times New Roman" w:cs="Times New Roman"/>
                <w:i/>
                <w:color w:val="000000" w:themeColor="text1"/>
                <w:kern w:val="22"/>
                <w:szCs w:val="22"/>
              </w:rPr>
            </w:pPr>
            <w:r>
              <w:rPr>
                <w:i/>
                <w:color w:val="000000" w:themeColor="text1"/>
                <w:szCs w:val="22"/>
              </w:rPr>
              <w:t>Reunión</w:t>
            </w:r>
          </w:p>
        </w:tc>
        <w:tc>
          <w:tcPr>
            <w:tcW w:w="3016" w:type="dxa"/>
          </w:tcPr>
          <w:p w14:paraId="59C9938C" w14:textId="77777777" w:rsidR="001E2016" w:rsidRPr="00225964" w:rsidRDefault="001E2016" w:rsidP="00780276">
            <w:pPr>
              <w:keepNext/>
              <w:spacing w:before="40" w:after="40"/>
              <w:jc w:val="center"/>
              <w:rPr>
                <w:rFonts w:ascii="Times New Roman" w:hAnsi="Times New Roman" w:cs="Times New Roman"/>
                <w:i/>
                <w:color w:val="000000" w:themeColor="text1"/>
                <w:kern w:val="22"/>
                <w:szCs w:val="22"/>
              </w:rPr>
            </w:pPr>
            <w:r>
              <w:rPr>
                <w:i/>
                <w:color w:val="000000" w:themeColor="text1"/>
                <w:szCs w:val="22"/>
              </w:rPr>
              <w:t>Elemento del marco mundial de la diversidad biológica posterior a 2020</w:t>
            </w:r>
          </w:p>
        </w:tc>
        <w:tc>
          <w:tcPr>
            <w:tcW w:w="1297" w:type="dxa"/>
          </w:tcPr>
          <w:p w14:paraId="252E59F9" w14:textId="77777777" w:rsidR="001E2016" w:rsidRPr="00225964" w:rsidRDefault="001E2016" w:rsidP="00780276">
            <w:pPr>
              <w:keepNext/>
              <w:spacing w:before="40" w:after="40"/>
              <w:jc w:val="center"/>
              <w:rPr>
                <w:rFonts w:ascii="Times New Roman" w:hAnsi="Times New Roman" w:cs="Times New Roman"/>
                <w:i/>
                <w:color w:val="000000" w:themeColor="text1"/>
                <w:kern w:val="22"/>
                <w:szCs w:val="22"/>
              </w:rPr>
            </w:pPr>
            <w:r>
              <w:rPr>
                <w:i/>
                <w:color w:val="000000" w:themeColor="text1"/>
                <w:szCs w:val="22"/>
              </w:rPr>
              <w:t>Mandato</w:t>
            </w:r>
          </w:p>
        </w:tc>
        <w:tc>
          <w:tcPr>
            <w:tcW w:w="3644" w:type="dxa"/>
          </w:tcPr>
          <w:p w14:paraId="7E3E5F73" w14:textId="77777777" w:rsidR="001E2016" w:rsidRPr="00225964" w:rsidRDefault="001E2016" w:rsidP="00780276">
            <w:pPr>
              <w:keepNext/>
              <w:spacing w:before="40" w:after="40"/>
              <w:jc w:val="center"/>
              <w:rPr>
                <w:rFonts w:ascii="Times New Roman" w:hAnsi="Times New Roman" w:cs="Times New Roman"/>
                <w:i/>
                <w:color w:val="000000" w:themeColor="text1"/>
                <w:kern w:val="22"/>
                <w:szCs w:val="22"/>
              </w:rPr>
            </w:pPr>
            <w:r>
              <w:rPr>
                <w:i/>
                <w:color w:val="000000" w:themeColor="text1"/>
                <w:szCs w:val="22"/>
              </w:rPr>
              <w:t>Función/modalidad</w:t>
            </w:r>
          </w:p>
        </w:tc>
        <w:tc>
          <w:tcPr>
            <w:tcW w:w="1861" w:type="dxa"/>
          </w:tcPr>
          <w:p w14:paraId="39E0AF3F" w14:textId="77777777" w:rsidR="001E2016" w:rsidRPr="00225964" w:rsidRDefault="001E2016" w:rsidP="00780276">
            <w:pPr>
              <w:keepNext/>
              <w:spacing w:before="40" w:after="40"/>
              <w:jc w:val="center"/>
              <w:rPr>
                <w:rFonts w:ascii="Times New Roman" w:hAnsi="Times New Roman" w:cs="Times New Roman"/>
                <w:i/>
                <w:color w:val="000000" w:themeColor="text1"/>
                <w:kern w:val="22"/>
                <w:szCs w:val="22"/>
              </w:rPr>
            </w:pPr>
            <w:r>
              <w:rPr>
                <w:i/>
                <w:color w:val="000000" w:themeColor="text1"/>
                <w:szCs w:val="22"/>
              </w:rPr>
              <w:t>Tipo</w:t>
            </w:r>
          </w:p>
        </w:tc>
      </w:tr>
      <w:bookmarkEnd w:id="5"/>
      <w:tr w:rsidR="001E2016" w:rsidRPr="00225964" w14:paraId="719D55CD" w14:textId="77777777" w:rsidTr="00780276">
        <w:tblPrEx>
          <w:jc w:val="center"/>
        </w:tblPrEx>
        <w:trPr>
          <w:cantSplit/>
          <w:jc w:val="center"/>
        </w:trPr>
        <w:tc>
          <w:tcPr>
            <w:tcW w:w="2154" w:type="dxa"/>
            <w:shd w:val="clear" w:color="auto" w:fill="FFFFFF" w:themeFill="background1"/>
          </w:tcPr>
          <w:p w14:paraId="22CED1C8"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4 a 6 de septiembre de 2019, Japón</w:t>
            </w:r>
          </w:p>
        </w:tc>
        <w:tc>
          <w:tcPr>
            <w:tcW w:w="2157" w:type="dxa"/>
            <w:shd w:val="clear" w:color="auto" w:fill="FFFFFF" w:themeFill="background1"/>
          </w:tcPr>
          <w:p w14:paraId="7352ADCF"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szCs w:val="22"/>
              </w:rPr>
              <w:t>Taller de la Universidad de las Naciones Unidas sobre enfoques basados en los paisajes terrestres y marinos</w:t>
            </w:r>
          </w:p>
        </w:tc>
        <w:tc>
          <w:tcPr>
            <w:tcW w:w="3016" w:type="dxa"/>
            <w:shd w:val="clear" w:color="auto" w:fill="FFFFFF" w:themeFill="background1"/>
          </w:tcPr>
          <w:p w14:paraId="45E2DB54"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szCs w:val="22"/>
              </w:rPr>
              <w:t>Posibles enfoques basados en los paisajes terrestres y marinos</w:t>
            </w:r>
          </w:p>
        </w:tc>
        <w:tc>
          <w:tcPr>
            <w:tcW w:w="1297" w:type="dxa"/>
            <w:shd w:val="clear" w:color="auto" w:fill="FFFFFF" w:themeFill="background1"/>
          </w:tcPr>
          <w:p w14:paraId="2B050C8B"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c>
          <w:tcPr>
            <w:tcW w:w="3644" w:type="dxa"/>
            <w:shd w:val="clear" w:color="auto" w:fill="FFFFFF" w:themeFill="background1"/>
          </w:tcPr>
          <w:p w14:paraId="7BBF00F7"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Se facilitará un informe del taller a la WG2020-2.</w:t>
            </w:r>
          </w:p>
        </w:tc>
        <w:tc>
          <w:tcPr>
            <w:tcW w:w="1861" w:type="dxa"/>
            <w:shd w:val="clear" w:color="auto" w:fill="FFFFFF" w:themeFill="background1"/>
          </w:tcPr>
          <w:p w14:paraId="69950714"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Asociados</w:t>
            </w:r>
          </w:p>
          <w:p w14:paraId="153D7424"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5</w:t>
            </w:r>
          </w:p>
        </w:tc>
      </w:tr>
      <w:tr w:rsidR="001E2016" w:rsidRPr="00225964" w14:paraId="4E8EDD0C" w14:textId="77777777" w:rsidTr="00780276">
        <w:tblPrEx>
          <w:jc w:val="center"/>
        </w:tblPrEx>
        <w:trPr>
          <w:cantSplit/>
          <w:jc w:val="center"/>
        </w:trPr>
        <w:tc>
          <w:tcPr>
            <w:tcW w:w="2154" w:type="dxa"/>
            <w:shd w:val="clear" w:color="auto" w:fill="FFFFFF" w:themeFill="background1"/>
          </w:tcPr>
          <w:p w14:paraId="3BF199AD" w14:textId="3B7717A7" w:rsidR="001E2016" w:rsidRPr="00780276" w:rsidRDefault="00DB783F"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1 a 3 de abril de 2020, Edimburgo (Reino Unido)</w:t>
            </w:r>
          </w:p>
        </w:tc>
        <w:tc>
          <w:tcPr>
            <w:tcW w:w="2157" w:type="dxa"/>
            <w:shd w:val="clear" w:color="auto" w:fill="FFFFFF" w:themeFill="background1"/>
          </w:tcPr>
          <w:p w14:paraId="3EA15398" w14:textId="77777777" w:rsidR="001E2016" w:rsidRPr="00780276" w:rsidRDefault="001E2016" w:rsidP="00412F38">
            <w:pPr>
              <w:spacing w:before="40" w:after="40"/>
              <w:jc w:val="left"/>
              <w:rPr>
                <w:rFonts w:ascii="Times New Roman" w:hAnsi="Times New Roman" w:cs="Times New Roman"/>
                <w:kern w:val="22"/>
                <w:szCs w:val="22"/>
              </w:rPr>
            </w:pPr>
            <w:r>
              <w:rPr>
                <w:rFonts w:ascii="Times New Roman" w:hAnsi="Times New Roman"/>
                <w:szCs w:val="22"/>
              </w:rPr>
              <w:t>Gobiernos subnacionales</w:t>
            </w:r>
          </w:p>
        </w:tc>
        <w:tc>
          <w:tcPr>
            <w:tcW w:w="3016" w:type="dxa"/>
            <w:shd w:val="clear" w:color="auto" w:fill="FFFFFF" w:themeFill="background1"/>
          </w:tcPr>
          <w:p w14:paraId="4E10CE93" w14:textId="70B7CC66" w:rsidR="001E2016" w:rsidRPr="00780276" w:rsidRDefault="00D85F61"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Posible papel de los gobiernos subnacionales, ciudades y autoridades locales en el marco mundial de la diversidad biológica posterior a 2020</w:t>
            </w:r>
          </w:p>
        </w:tc>
        <w:tc>
          <w:tcPr>
            <w:tcW w:w="1297" w:type="dxa"/>
            <w:shd w:val="clear" w:color="auto" w:fill="FFFFFF" w:themeFill="background1"/>
          </w:tcPr>
          <w:p w14:paraId="75D1CDDE"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c>
          <w:tcPr>
            <w:tcW w:w="3644" w:type="dxa"/>
            <w:shd w:val="clear" w:color="auto" w:fill="FFFFFF" w:themeFill="background1"/>
          </w:tcPr>
          <w:p w14:paraId="0CD3B024" w14:textId="71280E30" w:rsidR="001E2016" w:rsidRPr="00780276" w:rsidRDefault="008D65DB"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En el taller, se solicitarán aportaciones de los gobiernos subnacionales, las ciudades y las autoridades locales sobre el alcance, el contenido y la implementación del marco mundial de la diversidad biológica posterior a 2020. Se facilitará un informe del taller a la WG2020-3.</w:t>
            </w:r>
          </w:p>
        </w:tc>
        <w:tc>
          <w:tcPr>
            <w:tcW w:w="1861" w:type="dxa"/>
            <w:shd w:val="clear" w:color="auto" w:fill="FFFFFF" w:themeFill="background1"/>
          </w:tcPr>
          <w:p w14:paraId="30191D89"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Asociados, 5</w:t>
            </w:r>
          </w:p>
        </w:tc>
      </w:tr>
      <w:tr w:rsidR="001E2016" w:rsidRPr="00225964" w14:paraId="1DFA4D20" w14:textId="77777777" w:rsidTr="00780276">
        <w:tblPrEx>
          <w:jc w:val="center"/>
        </w:tblPrEx>
        <w:trPr>
          <w:cantSplit/>
          <w:jc w:val="center"/>
        </w:trPr>
        <w:tc>
          <w:tcPr>
            <w:tcW w:w="2154" w:type="dxa"/>
            <w:shd w:val="clear" w:color="auto" w:fill="FFFFFF" w:themeFill="background1"/>
          </w:tcPr>
          <w:p w14:paraId="59C2EBC0"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Suiza, fecha y lugar pendientes de confirmación</w:t>
            </w:r>
          </w:p>
        </w:tc>
        <w:tc>
          <w:tcPr>
            <w:tcW w:w="2157" w:type="dxa"/>
            <w:shd w:val="clear" w:color="auto" w:fill="FFFFFF" w:themeFill="background1"/>
          </w:tcPr>
          <w:p w14:paraId="25DB0F26" w14:textId="77777777" w:rsidR="001E2016" w:rsidRPr="00780276" w:rsidRDefault="001E2016" w:rsidP="00412F38">
            <w:pPr>
              <w:spacing w:before="40" w:after="40"/>
              <w:jc w:val="left"/>
              <w:rPr>
                <w:rFonts w:ascii="Times New Roman" w:hAnsi="Times New Roman" w:cs="Times New Roman"/>
                <w:kern w:val="22"/>
                <w:szCs w:val="22"/>
              </w:rPr>
            </w:pPr>
            <w:r>
              <w:rPr>
                <w:rFonts w:ascii="Times New Roman" w:hAnsi="Times New Roman"/>
                <w:szCs w:val="22"/>
              </w:rPr>
              <w:t>Sinergias</w:t>
            </w:r>
          </w:p>
        </w:tc>
        <w:tc>
          <w:tcPr>
            <w:tcW w:w="3016" w:type="dxa"/>
            <w:shd w:val="clear" w:color="auto" w:fill="FFFFFF" w:themeFill="background1"/>
          </w:tcPr>
          <w:p w14:paraId="5FE0FBF2" w14:textId="56295F43" w:rsidR="001E2016" w:rsidRPr="00780276" w:rsidRDefault="00D85F61"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Posibles sinergias con otros AAM y organizaciones internacionales</w:t>
            </w:r>
          </w:p>
        </w:tc>
        <w:tc>
          <w:tcPr>
            <w:tcW w:w="1297" w:type="dxa"/>
            <w:shd w:val="clear" w:color="auto" w:fill="FFFFFF" w:themeFill="background1"/>
          </w:tcPr>
          <w:p w14:paraId="552E5645"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p>
        </w:tc>
        <w:tc>
          <w:tcPr>
            <w:tcW w:w="3644" w:type="dxa"/>
            <w:shd w:val="clear" w:color="auto" w:fill="FFFFFF" w:themeFill="background1"/>
          </w:tcPr>
          <w:p w14:paraId="6DB0695C" w14:textId="4FEB1F8F" w:rsidR="001E2016" w:rsidRPr="00780276" w:rsidRDefault="00D85F61"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Pendiente de confirmación. Seguimiento del Taller de Consulta de los Convenios Relacionados con la Diversidad Diológica sobre el Marco Mundial de la Diversidad Biológica posterior a 2020, Berna, 10 a 12 de junio de 2019</w:t>
            </w:r>
          </w:p>
        </w:tc>
        <w:tc>
          <w:tcPr>
            <w:tcW w:w="1861" w:type="dxa"/>
            <w:shd w:val="clear" w:color="auto" w:fill="FFFFFF" w:themeFill="background1"/>
          </w:tcPr>
          <w:p w14:paraId="23C6D586"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Asociados, 5</w:t>
            </w:r>
          </w:p>
        </w:tc>
      </w:tr>
      <w:tr w:rsidR="001E2016" w:rsidRPr="00225964" w14:paraId="3B8D20C7" w14:textId="77777777" w:rsidTr="00780276">
        <w:tblPrEx>
          <w:jc w:val="center"/>
        </w:tblPrEx>
        <w:trPr>
          <w:cantSplit/>
          <w:jc w:val="center"/>
        </w:trPr>
        <w:tc>
          <w:tcPr>
            <w:tcW w:w="2154" w:type="dxa"/>
            <w:shd w:val="clear" w:color="auto" w:fill="FFFFFF" w:themeFill="background1"/>
          </w:tcPr>
          <w:p w14:paraId="266D7721"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Pendiente de confirmación</w:t>
            </w:r>
          </w:p>
        </w:tc>
        <w:tc>
          <w:tcPr>
            <w:tcW w:w="2157" w:type="dxa"/>
            <w:shd w:val="clear" w:color="auto" w:fill="FFFFFF" w:themeFill="background1"/>
          </w:tcPr>
          <w:p w14:paraId="507FF0CC" w14:textId="77777777" w:rsidR="001E2016" w:rsidRPr="00780276" w:rsidRDefault="001E2016" w:rsidP="00412F38">
            <w:pPr>
              <w:spacing w:before="40" w:after="40"/>
              <w:jc w:val="left"/>
              <w:rPr>
                <w:rFonts w:ascii="Times New Roman" w:hAnsi="Times New Roman" w:cs="Times New Roman"/>
                <w:kern w:val="22"/>
                <w:szCs w:val="22"/>
              </w:rPr>
            </w:pPr>
            <w:r>
              <w:rPr>
                <w:rFonts w:ascii="Times New Roman" w:hAnsi="Times New Roman"/>
                <w:szCs w:val="22"/>
              </w:rPr>
              <w:t>Consultas de la UICN</w:t>
            </w:r>
          </w:p>
        </w:tc>
        <w:tc>
          <w:tcPr>
            <w:tcW w:w="3016" w:type="dxa"/>
            <w:shd w:val="clear" w:color="auto" w:fill="FFFFFF" w:themeFill="background1"/>
          </w:tcPr>
          <w:p w14:paraId="5745AAB5" w14:textId="0A268A58" w:rsidR="001E2016" w:rsidRPr="00253E57" w:rsidRDefault="00F224EC" w:rsidP="00412F38">
            <w:pPr>
              <w:spacing w:before="40" w:after="40"/>
              <w:jc w:val="left"/>
              <w:rPr>
                <w:rFonts w:ascii="Times New Roman" w:hAnsi="Times New Roman" w:cs="Times New Roman"/>
                <w:color w:val="000000" w:themeColor="text1"/>
                <w:kern w:val="22"/>
                <w:szCs w:val="22"/>
              </w:rPr>
            </w:pPr>
            <w:r>
              <w:rPr>
                <w:color w:val="000000" w:themeColor="text1"/>
                <w:szCs w:val="22"/>
              </w:rPr>
              <w:t>Varios elementos</w:t>
            </w:r>
          </w:p>
        </w:tc>
        <w:tc>
          <w:tcPr>
            <w:tcW w:w="1297" w:type="dxa"/>
            <w:shd w:val="clear" w:color="auto" w:fill="FFFFFF" w:themeFill="background1"/>
          </w:tcPr>
          <w:p w14:paraId="26B2D179" w14:textId="77777777" w:rsidR="001E2016" w:rsidRPr="00253E57" w:rsidRDefault="001E2016" w:rsidP="00412F38">
            <w:pPr>
              <w:spacing w:before="40" w:after="40"/>
              <w:jc w:val="left"/>
              <w:rPr>
                <w:rFonts w:ascii="Times New Roman" w:hAnsi="Times New Roman" w:cs="Times New Roman"/>
                <w:color w:val="000000" w:themeColor="text1"/>
                <w:kern w:val="22"/>
                <w:szCs w:val="22"/>
              </w:rPr>
            </w:pPr>
          </w:p>
        </w:tc>
        <w:tc>
          <w:tcPr>
            <w:tcW w:w="3644" w:type="dxa"/>
            <w:shd w:val="clear" w:color="auto" w:fill="FFFFFF" w:themeFill="background1"/>
          </w:tcPr>
          <w:p w14:paraId="351AE221" w14:textId="0395F9D6" w:rsidR="001E2016" w:rsidRPr="00253E57" w:rsidRDefault="00D85F61" w:rsidP="00412F38">
            <w:pPr>
              <w:spacing w:before="40" w:after="40"/>
              <w:jc w:val="left"/>
              <w:rPr>
                <w:rFonts w:ascii="Times New Roman" w:hAnsi="Times New Roman" w:cs="Times New Roman"/>
                <w:color w:val="000000" w:themeColor="text1"/>
                <w:kern w:val="22"/>
                <w:szCs w:val="22"/>
              </w:rPr>
            </w:pPr>
            <w:r>
              <w:rPr>
                <w:color w:val="000000" w:themeColor="text1"/>
                <w:szCs w:val="22"/>
              </w:rPr>
              <w:t>Consultas entre los interesados de la UICN, incluido en el nivel regional</w:t>
            </w:r>
          </w:p>
        </w:tc>
        <w:tc>
          <w:tcPr>
            <w:tcW w:w="1861" w:type="dxa"/>
            <w:shd w:val="clear" w:color="auto" w:fill="FFFFFF" w:themeFill="background1"/>
          </w:tcPr>
          <w:p w14:paraId="6361D74A"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Asociados, 5</w:t>
            </w:r>
          </w:p>
        </w:tc>
      </w:tr>
      <w:tr w:rsidR="001E2016" w:rsidRPr="00225964" w14:paraId="24D7E9EC" w14:textId="77777777" w:rsidTr="00780276">
        <w:tblPrEx>
          <w:jc w:val="center"/>
        </w:tblPrEx>
        <w:trPr>
          <w:cantSplit/>
          <w:jc w:val="center"/>
        </w:trPr>
        <w:tc>
          <w:tcPr>
            <w:tcW w:w="2154" w:type="dxa"/>
            <w:shd w:val="clear" w:color="auto" w:fill="FFFFFF" w:themeFill="background1"/>
          </w:tcPr>
          <w:p w14:paraId="302F458A" w14:textId="2A600E16" w:rsidR="001E2016" w:rsidRPr="00FA2B7C" w:rsidRDefault="009876D3" w:rsidP="00412F38">
            <w:pPr>
              <w:spacing w:before="40" w:after="40"/>
              <w:jc w:val="left"/>
              <w:rPr>
                <w:rFonts w:ascii="Times New Roman" w:hAnsi="Times New Roman" w:cs="Times New Roman"/>
                <w:color w:val="000000" w:themeColor="text1"/>
                <w:kern w:val="22"/>
                <w:szCs w:val="22"/>
              </w:rPr>
            </w:pPr>
            <w:bookmarkStart w:id="7" w:name="_Hlk19177797"/>
            <w:r>
              <w:lastRenderedPageBreak/>
              <w:t>6 a 8 de noviembre de 2019, Pretoria (Sudáfrica)</w:t>
            </w:r>
          </w:p>
        </w:tc>
        <w:tc>
          <w:tcPr>
            <w:tcW w:w="2157" w:type="dxa"/>
            <w:shd w:val="clear" w:color="auto" w:fill="FFFFFF" w:themeFill="background1"/>
          </w:tcPr>
          <w:p w14:paraId="208B9168" w14:textId="42091EE9" w:rsidR="001E2016" w:rsidRPr="00FA2B7C" w:rsidRDefault="001E2016" w:rsidP="00412F38">
            <w:pPr>
              <w:spacing w:before="40" w:after="40"/>
              <w:jc w:val="left"/>
              <w:rPr>
                <w:rFonts w:ascii="Times New Roman" w:hAnsi="Times New Roman" w:cs="Times New Roman"/>
                <w:kern w:val="22"/>
                <w:szCs w:val="22"/>
              </w:rPr>
            </w:pPr>
            <w:r>
              <w:t>Diálogo mundial acerca de información digital sobre secuencias de recursos genéticos</w:t>
            </w:r>
          </w:p>
        </w:tc>
        <w:tc>
          <w:tcPr>
            <w:tcW w:w="3016" w:type="dxa"/>
            <w:shd w:val="clear" w:color="auto" w:fill="FFFFFF" w:themeFill="background1"/>
          </w:tcPr>
          <w:p w14:paraId="25560731" w14:textId="2B9E2C22" w:rsidR="001E2016" w:rsidRPr="00FA2B7C" w:rsidRDefault="00D85F61" w:rsidP="00412F38">
            <w:pPr>
              <w:spacing w:before="40" w:after="40"/>
              <w:jc w:val="left"/>
              <w:rPr>
                <w:rFonts w:ascii="Times New Roman" w:hAnsi="Times New Roman" w:cs="Times New Roman"/>
                <w:color w:val="000000" w:themeColor="text1"/>
                <w:kern w:val="22"/>
                <w:szCs w:val="22"/>
              </w:rPr>
            </w:pPr>
            <w:r>
              <w:rPr>
                <w:color w:val="000000" w:themeColor="text1"/>
                <w:szCs w:val="22"/>
              </w:rPr>
              <w:t>Información digital sobre secuencias</w:t>
            </w:r>
          </w:p>
        </w:tc>
        <w:tc>
          <w:tcPr>
            <w:tcW w:w="1297" w:type="dxa"/>
            <w:shd w:val="clear" w:color="auto" w:fill="FFFFFF" w:themeFill="background1"/>
          </w:tcPr>
          <w:p w14:paraId="705EB66B" w14:textId="77777777" w:rsidR="001E2016" w:rsidRPr="00FA2B7C" w:rsidRDefault="001E2016" w:rsidP="00412F38">
            <w:pPr>
              <w:spacing w:before="40" w:after="40"/>
              <w:jc w:val="left"/>
              <w:rPr>
                <w:rFonts w:ascii="Times New Roman" w:hAnsi="Times New Roman" w:cs="Times New Roman"/>
                <w:color w:val="000000" w:themeColor="text1"/>
                <w:kern w:val="22"/>
                <w:szCs w:val="22"/>
              </w:rPr>
            </w:pPr>
          </w:p>
        </w:tc>
        <w:tc>
          <w:tcPr>
            <w:tcW w:w="3644" w:type="dxa"/>
            <w:shd w:val="clear" w:color="auto" w:fill="FFFFFF" w:themeFill="background1"/>
          </w:tcPr>
          <w:p w14:paraId="7C891BFB" w14:textId="1F8EFE08" w:rsidR="001E2016" w:rsidRPr="00FA2B7C" w:rsidRDefault="00226E79" w:rsidP="00780276">
            <w:pPr>
              <w:jc w:val="left"/>
              <w:rPr>
                <w:rFonts w:ascii="Times New Roman" w:hAnsi="Times New Roman" w:cs="Times New Roman"/>
                <w:color w:val="000000" w:themeColor="text1"/>
                <w:kern w:val="22"/>
                <w:szCs w:val="22"/>
              </w:rPr>
            </w:pPr>
            <w:r>
              <w:t>Diálogo oficioso para aumentar la comprensión mutua acerca de la cuestión, ayudar a identificar las cuestiones y preocupaciones esenciales y aumentar la capacidad de todos los actores para participar efectivamente en los debates acerca de información digital sobre secuencias de recursos genéticos.</w:t>
            </w:r>
          </w:p>
        </w:tc>
        <w:tc>
          <w:tcPr>
            <w:tcW w:w="1861" w:type="dxa"/>
            <w:shd w:val="clear" w:color="auto" w:fill="FFFFFF" w:themeFill="background1"/>
          </w:tcPr>
          <w:p w14:paraId="330368CA" w14:textId="77777777" w:rsidR="001E2016" w:rsidRPr="00780276" w:rsidRDefault="001E2016" w:rsidP="00412F38">
            <w:pPr>
              <w:spacing w:before="40" w:after="40"/>
              <w:jc w:val="left"/>
              <w:rPr>
                <w:rFonts w:ascii="Times New Roman" w:hAnsi="Times New Roman" w:cs="Times New Roman"/>
                <w:color w:val="000000" w:themeColor="text1"/>
                <w:kern w:val="22"/>
                <w:szCs w:val="22"/>
              </w:rPr>
            </w:pPr>
            <w:r>
              <w:rPr>
                <w:rFonts w:ascii="Times New Roman" w:hAnsi="Times New Roman"/>
                <w:color w:val="000000" w:themeColor="text1"/>
                <w:szCs w:val="22"/>
              </w:rPr>
              <w:t>Asociados, 5</w:t>
            </w:r>
          </w:p>
        </w:tc>
      </w:tr>
    </w:tbl>
    <w:bookmarkEnd w:id="6"/>
    <w:bookmarkEnd w:id="7"/>
    <w:p w14:paraId="6A1E4A87" w14:textId="3EF9D77D" w:rsidR="005D64DD" w:rsidRPr="00780276" w:rsidRDefault="008376A3" w:rsidP="00780276">
      <w:pPr>
        <w:pStyle w:val="Para10"/>
        <w:numPr>
          <w:ilvl w:val="0"/>
          <w:numId w:val="0"/>
        </w:numPr>
        <w:spacing w:before="0" w:after="0"/>
        <w:jc w:val="center"/>
        <w:rPr>
          <w:kern w:val="22"/>
          <w:szCs w:val="22"/>
        </w:rPr>
      </w:pPr>
      <w:r>
        <w:t>__________</w:t>
      </w:r>
    </w:p>
    <w:sectPr w:rsidR="005D64DD" w:rsidRPr="00780276" w:rsidSect="006B5DD9">
      <w:headerReference w:type="even" r:id="rId36"/>
      <w:headerReference w:type="default" r:id="rId37"/>
      <w:type w:val="continuous"/>
      <w:pgSz w:w="15840" w:h="12240" w:orient="landscape" w:code="1"/>
      <w:pgMar w:top="1440" w:right="567" w:bottom="1440" w:left="1134" w:header="45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11A09" w14:textId="77777777" w:rsidR="0098561F" w:rsidRDefault="0098561F">
      <w:r>
        <w:separator/>
      </w:r>
    </w:p>
  </w:endnote>
  <w:endnote w:type="continuationSeparator" w:id="0">
    <w:p w14:paraId="77E4979D" w14:textId="77777777" w:rsidR="0098561F" w:rsidRDefault="00985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65F11" w14:textId="77777777" w:rsidR="0078220F" w:rsidRDefault="007822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425CB" w14:textId="77777777" w:rsidR="0078220F" w:rsidRDefault="0078220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5FB52" w14:textId="77777777" w:rsidR="0078220F" w:rsidRDefault="007822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B4B23" w14:textId="77777777" w:rsidR="0098561F" w:rsidRDefault="0098561F">
      <w:r>
        <w:separator/>
      </w:r>
    </w:p>
  </w:footnote>
  <w:footnote w:type="continuationSeparator" w:id="0">
    <w:p w14:paraId="5E040D58" w14:textId="77777777" w:rsidR="0098561F" w:rsidRDefault="0098561F">
      <w:r>
        <w:continuationSeparator/>
      </w:r>
    </w:p>
  </w:footnote>
  <w:footnote w:id="1">
    <w:p w14:paraId="2701C3EA" w14:textId="7829D2B2" w:rsidR="007604D5" w:rsidRPr="00780276" w:rsidRDefault="007604D5" w:rsidP="00780276">
      <w:pPr>
        <w:keepLines/>
        <w:spacing w:after="60"/>
        <w:jc w:val="left"/>
        <w:rPr>
          <w:kern w:val="18"/>
          <w:szCs w:val="18"/>
        </w:rPr>
      </w:pPr>
      <w:r>
        <w:rPr>
          <w:rStyle w:val="Refdenotaalpie"/>
          <w:kern w:val="18"/>
          <w:sz w:val="18"/>
          <w:szCs w:val="18"/>
        </w:rPr>
        <w:footnoteRef/>
      </w:r>
      <w:r>
        <w:t xml:space="preserve"> </w:t>
      </w:r>
      <w:r>
        <w:rPr>
          <w:sz w:val="18"/>
          <w:szCs w:val="18"/>
        </w:rPr>
        <w:t>La presente nota, que no se negoció, refleja los esfuerzos de los copresidentes del grupo de debate sobre el tema 4 del programa para empezar a elaborar los elementos de un marco mundial de la diversidad biológica posterior a 2020, y no menoscaba los derechos de las Partes a hacer nuevas modificaciones y adiciones</w:t>
      </w:r>
      <w:r>
        <w:t>.</w:t>
      </w:r>
      <w:r>
        <w:rPr>
          <w:sz w:val="18"/>
          <w:szCs w:val="18"/>
        </w:rPr>
        <w:t xml:space="preserve"> La nota debe interpretarse a la luz de las opiniones expresadas por las Partes y los observadores en la primera reunión del Grupo de Trabajo de Composición Abierta sobre el Marco Mundial de la Diversidad Biológica posterior a 2020, celebrada en Nairobi, del 27 al 30 de agosto de 2019, y en conjunto con el informe sobre dicha reunión.</w:t>
      </w:r>
    </w:p>
  </w:footnote>
  <w:footnote w:id="2">
    <w:p w14:paraId="65BA6A0F" w14:textId="7784EEEC" w:rsidR="007604D5" w:rsidRPr="00780276" w:rsidRDefault="007604D5" w:rsidP="00780276">
      <w:pPr>
        <w:pStyle w:val="Textonotapie"/>
        <w:ind w:firstLine="0"/>
        <w:jc w:val="left"/>
        <w:rPr>
          <w:kern w:val="18"/>
          <w:szCs w:val="18"/>
        </w:rPr>
      </w:pPr>
      <w:r>
        <w:rPr>
          <w:rStyle w:val="Refdenotaalpie"/>
          <w:kern w:val="18"/>
          <w:sz w:val="18"/>
          <w:szCs w:val="18"/>
        </w:rPr>
        <w:footnoteRef/>
      </w:r>
      <w:r>
        <w:rPr>
          <w:szCs w:val="18"/>
          <w:vertAlign w:val="superscript"/>
        </w:rPr>
        <w:t xml:space="preserve"> </w:t>
      </w:r>
      <w:r>
        <w:t>Algunas Partes solicitaron que se expresara con claridad la diferencia entre cambio transformador y teoría del cambio.</w:t>
      </w:r>
    </w:p>
  </w:footnote>
  <w:footnote w:id="3">
    <w:p w14:paraId="3B83AB79" w14:textId="77777777" w:rsidR="007604D5" w:rsidRPr="00780276" w:rsidRDefault="007604D5" w:rsidP="00780276">
      <w:pPr>
        <w:pStyle w:val="Textocomentario"/>
        <w:keepLines/>
        <w:spacing w:after="60" w:line="240" w:lineRule="auto"/>
        <w:jc w:val="left"/>
        <w:rPr>
          <w:kern w:val="18"/>
          <w:sz w:val="18"/>
          <w:szCs w:val="18"/>
        </w:rPr>
      </w:pPr>
      <w:r>
        <w:rPr>
          <w:rStyle w:val="Refdenotaalpie"/>
          <w:kern w:val="18"/>
          <w:sz w:val="18"/>
          <w:szCs w:val="18"/>
        </w:rPr>
        <w:footnoteRef/>
      </w:r>
      <w:r>
        <w:t xml:space="preserve"> </w:t>
      </w:r>
      <w:r>
        <w:rPr>
          <w:sz w:val="18"/>
          <w:szCs w:val="18"/>
        </w:rPr>
        <w:t>Algunas Partes no estaban a favor de incluir la teoría del cambio o solicitaron que se aclara más detalladamente a qué se refería. Asimismo, algunas Partes desearían excluir la teoría del cambio de esta parte del marco.</w:t>
      </w:r>
    </w:p>
  </w:footnote>
  <w:footnote w:id="4">
    <w:p w14:paraId="45561B9F" w14:textId="77777777" w:rsidR="007604D5" w:rsidRPr="00780276" w:rsidRDefault="007604D5" w:rsidP="00780276">
      <w:pPr>
        <w:pStyle w:val="Textonotapie"/>
        <w:ind w:firstLine="0"/>
        <w:jc w:val="left"/>
        <w:rPr>
          <w:kern w:val="18"/>
          <w:szCs w:val="18"/>
        </w:rPr>
      </w:pPr>
      <w:r>
        <w:rPr>
          <w:rStyle w:val="Refdenotaalpie"/>
          <w:kern w:val="18"/>
          <w:sz w:val="18"/>
          <w:szCs w:val="18"/>
        </w:rPr>
        <w:footnoteRef/>
      </w:r>
      <w:r>
        <w:t xml:space="preserve"> Algunas Partes no estaban a favor de incluir principios o pidieron más información sobre lo que estos implicarían.</w:t>
      </w:r>
    </w:p>
  </w:footnote>
  <w:footnote w:id="5">
    <w:p w14:paraId="136E745D" w14:textId="33F94EB7" w:rsidR="007604D5" w:rsidRPr="00780276" w:rsidRDefault="007604D5" w:rsidP="00780276">
      <w:pPr>
        <w:pStyle w:val="Textonotapie"/>
        <w:ind w:firstLine="0"/>
        <w:jc w:val="left"/>
        <w:rPr>
          <w:kern w:val="18"/>
          <w:szCs w:val="18"/>
        </w:rPr>
      </w:pPr>
      <w:r>
        <w:rPr>
          <w:rStyle w:val="Refdenotaalpie"/>
          <w:kern w:val="18"/>
          <w:sz w:val="18"/>
          <w:szCs w:val="18"/>
        </w:rPr>
        <w:footnoteRef/>
      </w:r>
      <w:r>
        <w:t xml:space="preserve"> Algunas Partes opinaron que la Visión para 2050 era suficientemente clara y no se requería desentrañarla. Otras opinaron que, si fuera necesario desentrañarla o explicarla con más detalle, eso podría hacerse en el elemento del marco mundial de la diversidad biológica posterior a 2020 relativo a la justificación y el alcance.</w:t>
      </w:r>
    </w:p>
  </w:footnote>
  <w:footnote w:id="6">
    <w:p w14:paraId="0F72BFD9" w14:textId="7E4D9233" w:rsidR="007604D5" w:rsidRPr="00780276" w:rsidRDefault="007604D5" w:rsidP="00780276">
      <w:pPr>
        <w:pStyle w:val="Textonotapie"/>
        <w:ind w:firstLine="0"/>
        <w:jc w:val="left"/>
        <w:rPr>
          <w:kern w:val="18"/>
          <w:szCs w:val="18"/>
        </w:rPr>
      </w:pPr>
      <w:r>
        <w:rPr>
          <w:rStyle w:val="Refdenotaalpie"/>
          <w:kern w:val="18"/>
          <w:sz w:val="18"/>
          <w:szCs w:val="18"/>
        </w:rPr>
        <w:footnoteRef/>
      </w:r>
      <w:r>
        <w:rPr>
          <w:rStyle w:val="Refdenotaalpie"/>
          <w:sz w:val="18"/>
          <w:szCs w:val="18"/>
        </w:rPr>
        <w:t xml:space="preserve"> </w:t>
      </w:r>
      <w:r>
        <w:t>Las Partes expresaron una serie de opiniones sobre si el marco mundial de la diversidad biológica posterior a 2020 debía tener una misión, un objetivo central o hitos, y manifestaron distintos grados de apoyo a una de las tres opciones. Algunas opinaron que el marco mundial de la diversidad biológica posterior a 2020 solo debería incorporar una de estas opciones. Otras pensaban que debería reflejar las tres o una combinación de dos de ellas.</w:t>
      </w:r>
    </w:p>
  </w:footnote>
  <w:footnote w:id="7">
    <w:p w14:paraId="403693D1" w14:textId="77777777" w:rsidR="007604D5" w:rsidRPr="00780276" w:rsidRDefault="007604D5" w:rsidP="00780276">
      <w:pPr>
        <w:pStyle w:val="Textonotapie"/>
        <w:ind w:firstLine="0"/>
        <w:jc w:val="left"/>
        <w:rPr>
          <w:kern w:val="18"/>
          <w:szCs w:val="18"/>
        </w:rPr>
      </w:pPr>
      <w:r>
        <w:rPr>
          <w:rStyle w:val="Refdenotaalpie"/>
          <w:kern w:val="18"/>
          <w:sz w:val="18"/>
          <w:szCs w:val="18"/>
        </w:rPr>
        <w:footnoteRef/>
      </w:r>
      <w:r>
        <w:t xml:space="preserve"> Algunas Partes señalaron la necesidad de definir qué se entiende por “estado” en el contexto de este elemento del marco mundial de la diversidad biológica posterior a 2020.</w:t>
      </w:r>
    </w:p>
  </w:footnote>
  <w:footnote w:id="8">
    <w:p w14:paraId="08D1844F" w14:textId="00EEB8ED" w:rsidR="007604D5" w:rsidRPr="00780276" w:rsidRDefault="007604D5" w:rsidP="00780276">
      <w:pPr>
        <w:pStyle w:val="Textonotapie"/>
        <w:ind w:firstLine="0"/>
        <w:jc w:val="left"/>
        <w:rPr>
          <w:kern w:val="18"/>
          <w:szCs w:val="18"/>
        </w:rPr>
      </w:pPr>
      <w:r>
        <w:rPr>
          <w:rStyle w:val="Refdenotaalpie"/>
          <w:kern w:val="18"/>
          <w:sz w:val="18"/>
          <w:szCs w:val="18"/>
        </w:rPr>
        <w:footnoteRef/>
      </w:r>
      <w:r>
        <w:t xml:space="preserve"> Algunas Partes opinaron que los hitos, por ejemplo para 2050, se podrían reflejar en el elemento del marco relativo a la justificación y el alcance. Asimismo, algunas Partes desearían añadir la adaptación y la mitigación basadas en los ecosistemas a este elemento del marco.</w:t>
      </w:r>
    </w:p>
  </w:footnote>
  <w:footnote w:id="9">
    <w:p w14:paraId="68CD73D5" w14:textId="622BEDB3" w:rsidR="007604D5" w:rsidRPr="00780276" w:rsidRDefault="007604D5" w:rsidP="00780276">
      <w:pPr>
        <w:pStyle w:val="Textonotapie"/>
        <w:ind w:firstLine="0"/>
        <w:jc w:val="left"/>
        <w:rPr>
          <w:kern w:val="18"/>
          <w:szCs w:val="18"/>
        </w:rPr>
      </w:pPr>
      <w:r>
        <w:rPr>
          <w:rStyle w:val="Refdenotaalpie"/>
          <w:kern w:val="18"/>
          <w:sz w:val="18"/>
          <w:szCs w:val="18"/>
        </w:rPr>
        <w:footnoteRef/>
      </w:r>
      <w:r>
        <w:t xml:space="preserve"> Algunas Partes opinaron que repetir la Visión para 2050 en este elemento del marco mundial de la diversidad biológica posterior a 2020 podría causar confusión.</w:t>
      </w:r>
    </w:p>
  </w:footnote>
  <w:footnote w:id="10">
    <w:p w14:paraId="2CE1A7DE" w14:textId="77777777" w:rsidR="007604D5" w:rsidRPr="00780276" w:rsidRDefault="007604D5" w:rsidP="00780276">
      <w:pPr>
        <w:pStyle w:val="Textonotapie"/>
        <w:ind w:firstLine="0"/>
        <w:jc w:val="left"/>
        <w:rPr>
          <w:kern w:val="18"/>
          <w:szCs w:val="18"/>
        </w:rPr>
      </w:pPr>
      <w:r>
        <w:rPr>
          <w:rStyle w:val="Refdenotaalpie"/>
          <w:kern w:val="18"/>
          <w:sz w:val="18"/>
          <w:szCs w:val="18"/>
        </w:rPr>
        <w:footnoteRef/>
      </w:r>
      <w:r>
        <w:t xml:space="preserve"> Algunas Partes no eran partidarias de incluir esto como parte de la misión o el objetivo central y los hitos en el marco mundial de la diversidad biológica posterior a 2020. Algunas Partes desearían reformularlo para incluir también la integración.</w:t>
      </w:r>
    </w:p>
  </w:footnote>
  <w:footnote w:id="11">
    <w:p w14:paraId="67F1C24B" w14:textId="77777777" w:rsidR="007604D5" w:rsidRPr="00780276" w:rsidRDefault="007604D5" w:rsidP="00780276">
      <w:pPr>
        <w:pStyle w:val="Textonotapie"/>
        <w:ind w:firstLine="0"/>
        <w:jc w:val="left"/>
        <w:rPr>
          <w:kern w:val="18"/>
          <w:szCs w:val="18"/>
        </w:rPr>
      </w:pPr>
      <w:r>
        <w:rPr>
          <w:rStyle w:val="Refdenotaalpie"/>
          <w:kern w:val="18"/>
          <w:sz w:val="18"/>
          <w:szCs w:val="18"/>
        </w:rPr>
        <w:footnoteRef/>
      </w:r>
      <w:r>
        <w:t xml:space="preserve"> Algunas Partes no tenían claro qué significaba o cómo podría reflejarse en este elemento del marco mundial de la diversidad biológica posterior a 2020.</w:t>
      </w:r>
    </w:p>
  </w:footnote>
  <w:footnote w:id="12">
    <w:p w14:paraId="40B79E7F" w14:textId="77777777" w:rsidR="007604D5" w:rsidRPr="00780276" w:rsidRDefault="007604D5" w:rsidP="00780276">
      <w:pPr>
        <w:pStyle w:val="Textonotapie"/>
        <w:ind w:firstLine="0"/>
        <w:jc w:val="left"/>
        <w:rPr>
          <w:kern w:val="18"/>
          <w:szCs w:val="18"/>
        </w:rPr>
      </w:pPr>
      <w:r>
        <w:rPr>
          <w:rStyle w:val="Refdenotaalpie"/>
          <w:kern w:val="18"/>
          <w:sz w:val="18"/>
          <w:szCs w:val="18"/>
        </w:rPr>
        <w:footnoteRef/>
      </w:r>
      <w:r>
        <w:t xml:space="preserve"> Algunas Partes señalaron que es necesario incluir texto que explique la relación entre los posibles objetivos, metas y submetas del marco mundial de la diversidad biológica posterior a 2020. Algunas opinaron que los objetivos podían utilizarse para ayudar a estructurar y organizar las metas del marco mundial de la diversidad biológica posterior a 2020. También se señaló que los objetivos y las metas están relacionados entre sí.</w:t>
      </w:r>
    </w:p>
  </w:footnote>
  <w:footnote w:id="13">
    <w:p w14:paraId="5F485383" w14:textId="77777777" w:rsidR="007604D5" w:rsidRPr="00780276" w:rsidRDefault="007604D5" w:rsidP="00780276">
      <w:pPr>
        <w:pStyle w:val="Textonotapie"/>
        <w:ind w:firstLine="0"/>
        <w:jc w:val="left"/>
        <w:rPr>
          <w:kern w:val="18"/>
          <w:szCs w:val="18"/>
        </w:rPr>
      </w:pPr>
      <w:r>
        <w:rPr>
          <w:rStyle w:val="Refdenotaalpie"/>
          <w:kern w:val="18"/>
          <w:sz w:val="18"/>
          <w:szCs w:val="18"/>
        </w:rPr>
        <w:footnoteRef/>
      </w:r>
      <w:r>
        <w:t xml:space="preserve"> Algunas Partes pidieron que se incluyese el concepto de integración en este elemento del marco.</w:t>
      </w:r>
    </w:p>
  </w:footnote>
  <w:footnote w:id="14">
    <w:p w14:paraId="74B8BF93" w14:textId="77777777" w:rsidR="007604D5" w:rsidRPr="00780276" w:rsidRDefault="007604D5" w:rsidP="00780276">
      <w:pPr>
        <w:pStyle w:val="Textonotapie"/>
        <w:ind w:firstLine="0"/>
        <w:jc w:val="left"/>
        <w:rPr>
          <w:kern w:val="18"/>
          <w:szCs w:val="18"/>
        </w:rPr>
      </w:pPr>
      <w:r>
        <w:rPr>
          <w:rStyle w:val="Refdenotaalpie"/>
          <w:kern w:val="18"/>
          <w:sz w:val="18"/>
          <w:szCs w:val="18"/>
        </w:rPr>
        <w:footnoteRef/>
      </w:r>
      <w:r>
        <w:t xml:space="preserve"> Algunas Partes opinaron que los impulsores directos de la pérdida de diversidad biológica deberían estar reflejados en el elemento del marco mundial de la diversidad biológica posterior a 2020 relativo a la justificación y el alcance, y no como objetivos.</w:t>
      </w:r>
    </w:p>
  </w:footnote>
  <w:footnote w:id="15">
    <w:p w14:paraId="6E9A5553" w14:textId="77777777" w:rsidR="007604D5" w:rsidRPr="00780276" w:rsidRDefault="007604D5" w:rsidP="00780276">
      <w:pPr>
        <w:pStyle w:val="Textonotapie"/>
        <w:ind w:firstLine="0"/>
        <w:jc w:val="left"/>
        <w:rPr>
          <w:kern w:val="18"/>
          <w:szCs w:val="18"/>
        </w:rPr>
      </w:pPr>
      <w:r>
        <w:rPr>
          <w:rStyle w:val="Refdenotaalpie"/>
          <w:kern w:val="18"/>
          <w:sz w:val="18"/>
          <w:szCs w:val="18"/>
        </w:rPr>
        <w:footnoteRef/>
      </w:r>
      <w:r>
        <w:t xml:space="preserve"> Algunas Partes opinaron que los impulsores indirectos de la pérdida de diversidad biológica deberían estar reflejados en el elemento del marco mundial de la diversidad biológica posterior a 2020 relativo a la justificación y el alcance, y no como objetivos, a fin de no sobrepasar el mandato del Convenio.</w:t>
      </w:r>
    </w:p>
  </w:footnote>
  <w:footnote w:id="16">
    <w:p w14:paraId="31C832C9" w14:textId="77777777" w:rsidR="007604D5" w:rsidRPr="00780276" w:rsidRDefault="007604D5" w:rsidP="00780276">
      <w:pPr>
        <w:pStyle w:val="Textonotapie"/>
        <w:ind w:firstLine="0"/>
        <w:jc w:val="left"/>
        <w:rPr>
          <w:kern w:val="18"/>
          <w:szCs w:val="18"/>
        </w:rPr>
      </w:pPr>
      <w:r>
        <w:rPr>
          <w:rStyle w:val="Refdenotaalpie"/>
          <w:kern w:val="18"/>
          <w:sz w:val="18"/>
          <w:szCs w:val="18"/>
        </w:rPr>
        <w:footnoteRef/>
      </w:r>
      <w:r>
        <w:t xml:space="preserve"> Algunas Partes opinaron que tal vez no fuera necesario reflejar cuestiones relacionadas con la implementación como objetivos en el marco mundial de la diversidad biológica posterior a 2020.</w:t>
      </w:r>
    </w:p>
  </w:footnote>
  <w:footnote w:id="17">
    <w:p w14:paraId="68511691" w14:textId="77777777" w:rsidR="007604D5" w:rsidRPr="00780276" w:rsidRDefault="007604D5" w:rsidP="00780276">
      <w:pPr>
        <w:pStyle w:val="Textonotapie"/>
        <w:ind w:firstLine="0"/>
        <w:jc w:val="left"/>
        <w:rPr>
          <w:kern w:val="18"/>
          <w:szCs w:val="18"/>
        </w:rPr>
      </w:pPr>
      <w:r>
        <w:rPr>
          <w:rStyle w:val="Refdenotaalpie"/>
          <w:kern w:val="18"/>
          <w:sz w:val="18"/>
          <w:szCs w:val="18"/>
        </w:rPr>
        <w:footnoteRef/>
      </w:r>
      <w:r>
        <w:t xml:space="preserve"> Algunas Partes señalaron que puede no ser necesario incluir submetas. No obstante, también señalaron que, si el número de metas es reducido, pueden requerirse submetas para reflejar todas las cuestiones deseadas.</w:t>
      </w:r>
    </w:p>
  </w:footnote>
  <w:footnote w:id="18">
    <w:p w14:paraId="09DBB8CF" w14:textId="5DB45E4F" w:rsidR="007604D5" w:rsidRPr="00780276" w:rsidRDefault="007604D5" w:rsidP="00780276">
      <w:pPr>
        <w:pStyle w:val="Textonotapie"/>
        <w:ind w:firstLine="0"/>
        <w:jc w:val="left"/>
        <w:rPr>
          <w:kern w:val="18"/>
          <w:szCs w:val="18"/>
        </w:rPr>
      </w:pPr>
      <w:r>
        <w:rPr>
          <w:rStyle w:val="Refdenotaalpie"/>
          <w:kern w:val="18"/>
          <w:sz w:val="18"/>
          <w:szCs w:val="18"/>
        </w:rPr>
        <w:footnoteRef/>
      </w:r>
      <w:r>
        <w:t xml:space="preserve"> Las posibles cuestiones identificadas como parte de este elemento también podrían ser pertinentes para el elemento del marco relativo a cuestiones y enfoques transversales o se podrían reflejar en objetivos y metas, según cómo estos se formulen en el marco mundial de la diversidad biológica posterior a 2020.</w:t>
      </w:r>
    </w:p>
  </w:footnote>
  <w:footnote w:id="19">
    <w:p w14:paraId="4D4D818A" w14:textId="002DDAF7" w:rsidR="007604D5" w:rsidRPr="00780276" w:rsidRDefault="007604D5" w:rsidP="00780276">
      <w:pPr>
        <w:pStyle w:val="Textonotapie"/>
        <w:ind w:firstLine="0"/>
        <w:jc w:val="left"/>
        <w:rPr>
          <w:kern w:val="18"/>
          <w:szCs w:val="18"/>
        </w:rPr>
      </w:pPr>
      <w:r>
        <w:rPr>
          <w:rStyle w:val="Refdenotaalpie"/>
          <w:kern w:val="18"/>
          <w:sz w:val="18"/>
          <w:szCs w:val="18"/>
        </w:rPr>
        <w:footnoteRef/>
      </w:r>
      <w:r>
        <w:rPr>
          <w:szCs w:val="18"/>
          <w:vertAlign w:val="superscript"/>
        </w:rPr>
        <w:t xml:space="preserve"> </w:t>
      </w:r>
      <w:r>
        <w:t>Algunas Partes no estaban a favor de incluir referencias a la contabilidad del capital natural.</w:t>
      </w:r>
    </w:p>
  </w:footnote>
  <w:footnote w:id="20">
    <w:p w14:paraId="316F68A5" w14:textId="7D440347" w:rsidR="007604D5" w:rsidRPr="00780276" w:rsidRDefault="007604D5" w:rsidP="00780276">
      <w:pPr>
        <w:pStyle w:val="Textonotapie"/>
        <w:ind w:firstLine="0"/>
        <w:jc w:val="left"/>
        <w:rPr>
          <w:kern w:val="18"/>
          <w:szCs w:val="18"/>
        </w:rPr>
      </w:pPr>
      <w:r>
        <w:rPr>
          <w:rStyle w:val="Refdenotaalpie"/>
          <w:kern w:val="18"/>
          <w:sz w:val="18"/>
          <w:szCs w:val="18"/>
        </w:rPr>
        <w:footnoteRef/>
      </w:r>
      <w:r>
        <w:t xml:space="preserve"> Algunas Partes consideraron que esto era demasiado amplio y no estaban a favor de incluirlo en el marco mundial de la diversidad biológica posterior a 2020.</w:t>
      </w:r>
    </w:p>
  </w:footnote>
  <w:footnote w:id="21">
    <w:p w14:paraId="1A0E4FCB" w14:textId="6B92DFD4" w:rsidR="007604D5" w:rsidRPr="00780276" w:rsidRDefault="007604D5" w:rsidP="00780276">
      <w:pPr>
        <w:pStyle w:val="Textonotapie"/>
        <w:ind w:firstLine="0"/>
        <w:jc w:val="left"/>
        <w:rPr>
          <w:kern w:val="18"/>
          <w:szCs w:val="18"/>
        </w:rPr>
      </w:pPr>
      <w:r>
        <w:rPr>
          <w:rStyle w:val="Refdenotaalpie"/>
          <w:kern w:val="18"/>
          <w:sz w:val="18"/>
          <w:szCs w:val="18"/>
        </w:rPr>
        <w:footnoteRef/>
      </w:r>
      <w:r>
        <w:rPr>
          <w:szCs w:val="18"/>
          <w:vertAlign w:val="superscript"/>
        </w:rPr>
        <w:t xml:space="preserve"> </w:t>
      </w:r>
      <w:r>
        <w:t>Las cuestiones señaladas en esta sección también podrían reflejarse en otros elementos del marco mundial de la diversidad biológica posterior a 2020, por ejemplo, como objetivos o metas o en los elementos relativos a los medios de implementación y las condiciones favorables, según cómo se redacten. Algunas Partes señalaron que estas cuestiones no deberían considerarse periféricas.</w:t>
      </w:r>
    </w:p>
  </w:footnote>
  <w:footnote w:id="22">
    <w:p w14:paraId="3217EE05" w14:textId="4A4ACE2F" w:rsidR="007604D5" w:rsidRPr="00780276" w:rsidRDefault="007604D5" w:rsidP="00780276">
      <w:pPr>
        <w:pStyle w:val="Textocomentario"/>
        <w:keepLines/>
        <w:spacing w:after="60" w:line="240" w:lineRule="auto"/>
        <w:jc w:val="left"/>
        <w:rPr>
          <w:kern w:val="18"/>
          <w:sz w:val="18"/>
          <w:szCs w:val="18"/>
        </w:rPr>
      </w:pPr>
      <w:r>
        <w:rPr>
          <w:rStyle w:val="Refdenotaalpie"/>
          <w:kern w:val="18"/>
          <w:sz w:val="18"/>
          <w:szCs w:val="18"/>
        </w:rPr>
        <w:footnoteRef/>
      </w:r>
      <w:r>
        <w:t xml:space="preserve"> </w:t>
      </w:r>
      <w:r>
        <w:rPr>
          <w:sz w:val="18"/>
          <w:szCs w:val="18"/>
        </w:rPr>
        <w:t>Algunas Partes sugirieron agregar un mecanismo de colaboración multilateral a este elemento del marco.</w:t>
      </w:r>
    </w:p>
  </w:footnote>
  <w:footnote w:id="23">
    <w:p w14:paraId="5B131666" w14:textId="77777777" w:rsidR="007604D5" w:rsidRPr="00780276" w:rsidRDefault="007604D5" w:rsidP="00780276">
      <w:pPr>
        <w:pStyle w:val="Textonotapie"/>
        <w:ind w:firstLine="0"/>
        <w:jc w:val="left"/>
        <w:rPr>
          <w:kern w:val="18"/>
          <w:szCs w:val="18"/>
        </w:rPr>
      </w:pPr>
      <w:r>
        <w:rPr>
          <w:rStyle w:val="Refdenotaalpie"/>
          <w:kern w:val="18"/>
          <w:sz w:val="18"/>
          <w:szCs w:val="18"/>
        </w:rPr>
        <w:footnoteRef/>
      </w:r>
      <w:r>
        <w:t xml:space="preserve"> Otra sugerencia para el título de este elemento fue “marco de rendición de cuentas”. Sin embargo, algunas Partes no estuvieron de acuerdo con este término. Otra sugerencia fue “estructura de implementación”. También se hizo hincapié en que los mecanismos no debían ser punitivos sino tener la finalidad de apoyar la implementación.</w:t>
      </w:r>
    </w:p>
  </w:footnote>
  <w:footnote w:id="24">
    <w:p w14:paraId="064F2611" w14:textId="77777777" w:rsidR="007604D5" w:rsidRPr="00780276" w:rsidRDefault="007604D5" w:rsidP="00780276">
      <w:pPr>
        <w:pStyle w:val="Textonotapie"/>
        <w:ind w:firstLine="0"/>
        <w:jc w:val="left"/>
        <w:rPr>
          <w:kern w:val="18"/>
          <w:szCs w:val="18"/>
        </w:rPr>
      </w:pPr>
      <w:r>
        <w:rPr>
          <w:rStyle w:val="Refdenotaalpie"/>
          <w:kern w:val="18"/>
          <w:sz w:val="18"/>
          <w:szCs w:val="18"/>
        </w:rPr>
        <w:footnoteRef/>
      </w:r>
      <w:r>
        <w:t xml:space="preserve"> Algunas Partes opinaron que sería mejor reflejar los compromisos voluntarios en el elemento del marco mundial de la diversidad biológica posterior a 2020 relativo a los medios de implementación y las condiciones favorables. Otras Partes indicaron que no tenían claro qué significaba este término. Otras señalaron que haría falta orientación clara para los compromisos voluntarios. Algunas Partes también expresaron la opinión de que los compromisos voluntarios eran para agentes no estatales, mientras que otras estimaban que podían ser pertinentes para los Gobiernos nacionales como complemento de los compromisos formulados en las estrategias y planes de acción nacionales en materia de biodiversidad. Otras consideraban que los compromisos voluntarios podían socavar las estrategias y planes de acción nacionales en materia de biodiversidad.</w:t>
      </w:r>
    </w:p>
  </w:footnote>
  <w:footnote w:id="25">
    <w:p w14:paraId="257419F1" w14:textId="77777777" w:rsidR="007604D5" w:rsidRPr="00780276" w:rsidRDefault="007604D5" w:rsidP="00780276">
      <w:pPr>
        <w:pStyle w:val="Textonotapie"/>
        <w:ind w:firstLine="0"/>
        <w:jc w:val="left"/>
        <w:rPr>
          <w:kern w:val="18"/>
          <w:szCs w:val="18"/>
        </w:rPr>
      </w:pPr>
      <w:r>
        <w:rPr>
          <w:rStyle w:val="Refdenotaalpie"/>
          <w:kern w:val="18"/>
          <w:sz w:val="18"/>
          <w:szCs w:val="18"/>
        </w:rPr>
        <w:footnoteRef/>
      </w:r>
      <w:r>
        <w:t xml:space="preserve"> Algunas Partes señalaron que no estaba claro cuál era la finalidad de un mecanismo de cumplimiento en el contexto del marco mundial de la diversidad biológica posterior a 2020. Otras pusieron objeciones a la palabra “cumplimiento”.</w:t>
      </w:r>
    </w:p>
  </w:footnote>
  <w:footnote w:id="26">
    <w:p w14:paraId="7213FC21" w14:textId="77777777" w:rsidR="007604D5" w:rsidRPr="00780276" w:rsidRDefault="007604D5" w:rsidP="00780276">
      <w:pPr>
        <w:pStyle w:val="Textonotapie"/>
        <w:ind w:firstLine="0"/>
        <w:jc w:val="left"/>
        <w:rPr>
          <w:kern w:val="18"/>
          <w:szCs w:val="18"/>
        </w:rPr>
      </w:pPr>
      <w:r>
        <w:rPr>
          <w:rStyle w:val="Refdenotaalpie"/>
          <w:kern w:val="18"/>
          <w:sz w:val="18"/>
          <w:szCs w:val="18"/>
        </w:rPr>
        <w:footnoteRef/>
      </w:r>
      <w:r>
        <w:t xml:space="preserve"> Algunas Partes opinaron que la referencia a un mecanismo de incremento gradual estaría mejor ubicada en el elemento relativo a los medios de implementación y las condiciones favorables. También se observó que esta cuestión debería limitarse a las mediciones, la presentación de informes y la verificación.</w:t>
      </w:r>
    </w:p>
  </w:footnote>
  <w:footnote w:id="27">
    <w:p w14:paraId="03BC6611" w14:textId="77777777" w:rsidR="007604D5" w:rsidRPr="00780276" w:rsidRDefault="007604D5" w:rsidP="00780276">
      <w:pPr>
        <w:pStyle w:val="Textonotapie"/>
        <w:ind w:firstLine="0"/>
        <w:jc w:val="left"/>
        <w:rPr>
          <w:kern w:val="18"/>
          <w:szCs w:val="18"/>
        </w:rPr>
      </w:pPr>
      <w:r>
        <w:rPr>
          <w:rStyle w:val="Refdenotaalpie"/>
          <w:kern w:val="18"/>
          <w:sz w:val="18"/>
          <w:szCs w:val="18"/>
        </w:rPr>
        <w:footnoteRef/>
      </w:r>
      <w:r>
        <w:t xml:space="preserve"> Algunas Partes opinaron que las cuestiones abordadas en este elemento se podrían incluir en el elemento del marco mundial de la diversidad biológica posterior a 2020 relativo a los medios de implementación y las condiciones favorables. Otras señalaron que la decisión 14/34 ya incluía disposiciones para la comunicación y la divulgación relacionadas con el marco mundial de la diversidad biológica posterior a 2020.</w:t>
      </w:r>
    </w:p>
  </w:footnote>
  <w:footnote w:id="28">
    <w:p w14:paraId="71BF8F03" w14:textId="20494F72" w:rsidR="007604D5" w:rsidRPr="00780276" w:rsidRDefault="007604D5">
      <w:pPr>
        <w:pStyle w:val="Textonotapie"/>
        <w:ind w:firstLine="0"/>
        <w:jc w:val="left"/>
        <w:rPr>
          <w:kern w:val="18"/>
          <w:szCs w:val="18"/>
        </w:rPr>
      </w:pPr>
      <w:r>
        <w:rPr>
          <w:rStyle w:val="Refdenotaalpie"/>
          <w:kern w:val="18"/>
          <w:sz w:val="18"/>
          <w:szCs w:val="18"/>
        </w:rPr>
        <w:footnoteRef/>
      </w:r>
      <w:r>
        <w:t xml:space="preserve"> “Tipo” hace referencia al tipo de reunión planificada. </w:t>
      </w:r>
      <w:r>
        <w:rPr>
          <w:b/>
          <w:szCs w:val="18"/>
        </w:rPr>
        <w:t>1</w:t>
      </w:r>
      <w:r>
        <w:t xml:space="preserve">: Reunión intergubernamental, órganos subsidiarios del Convenio (negociaciones). </w:t>
      </w:r>
      <w:r>
        <w:rPr>
          <w:b/>
          <w:szCs w:val="18"/>
        </w:rPr>
        <w:t>2</w:t>
      </w:r>
      <w:r>
        <w:t xml:space="preserve">: Comités del Convenio y sus Protocolos. </w:t>
      </w:r>
      <w:r>
        <w:rPr>
          <w:b/>
          <w:szCs w:val="18"/>
        </w:rPr>
        <w:t>3</w:t>
      </w:r>
      <w:r>
        <w:t xml:space="preserve">: Consulta temática, celebrada inmediatamente antes o después de las reuniones importantes para facilitar la participación plena. </w:t>
      </w:r>
      <w:r>
        <w:rPr>
          <w:b/>
          <w:szCs w:val="18"/>
        </w:rPr>
        <w:t>4</w:t>
      </w:r>
      <w:r>
        <w:t xml:space="preserve">: Taller temático, para abordar cuestiones específicas con una participación adecuada y regionalmente equilibrada de expertos de las Partes y observadores (siguiendo el </w:t>
      </w:r>
      <w:r>
        <w:rPr>
          <w:i/>
          <w:iCs/>
        </w:rPr>
        <w:t>modus operandi</w:t>
      </w:r>
      <w:r>
        <w:t xml:space="preserve"> aplicado por el Órgano Subsidiario de Asesoramiento Científico, Técnico y Tecnológico para los grupos especiales de expertos técnicos y aplicado </w:t>
      </w:r>
      <w:r>
        <w:rPr>
          <w:i/>
          <w:iCs/>
        </w:rPr>
        <w:t>mutatis mutandis</w:t>
      </w:r>
      <w:r>
        <w:t xml:space="preserve"> para otros talleres). </w:t>
      </w:r>
      <w:r>
        <w:rPr>
          <w:b/>
          <w:szCs w:val="18"/>
        </w:rPr>
        <w:t>5</w:t>
      </w:r>
      <w:r>
        <w:t>: Reunión dirigida por asociados (no es una lista exhaustiva).</w:t>
      </w:r>
    </w:p>
  </w:footnote>
  <w:footnote w:id="29">
    <w:p w14:paraId="5CDE4C84" w14:textId="0DEDE516" w:rsidR="007604D5" w:rsidRPr="00780276" w:rsidRDefault="007604D5">
      <w:pPr>
        <w:pStyle w:val="Textonotapie"/>
        <w:ind w:firstLine="0"/>
        <w:jc w:val="left"/>
        <w:rPr>
          <w:kern w:val="18"/>
          <w:szCs w:val="18"/>
        </w:rPr>
      </w:pPr>
      <w:r>
        <w:rPr>
          <w:rStyle w:val="Refdenotaalpie"/>
          <w:kern w:val="18"/>
          <w:sz w:val="18"/>
          <w:szCs w:val="18"/>
        </w:rPr>
        <w:footnoteRef/>
      </w:r>
      <w:r>
        <w:t xml:space="preserve"> La Conferencia de las Partes que actúa como reunión de las Partes en el Protocolo de Cartagena también estableció un proceso para elaborar un Plan de Aplicación específico para el Protocolo de Cartagena como instrumento que suceda al Plan Estratégico para el Protocolo de Cartagena sobre Seguridad de la Biotecnología para el período 2011-2020.</w:t>
      </w:r>
      <w:r>
        <w:rPr>
          <w:iCs/>
          <w:snapToGrid w:val="0"/>
          <w:szCs w:val="18"/>
        </w:rPr>
        <w:t xml:space="preserve"> Este proceso no prevé que el grupo de trabajo sobre el Marco Mundial de la Diversidad Biológica posterior a 2020 examine el plan de aplicación.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04E89" w14:textId="2A49AFA8" w:rsidR="005466C8" w:rsidRDefault="00FD49A4">
    <w:pPr>
      <w:pStyle w:val="Encabezado"/>
    </w:pPr>
    <w:r>
      <w:t>CBD/WG2020/REC/1/1</w:t>
    </w:r>
  </w:p>
  <w:p w14:paraId="39520560" w14:textId="12405A79" w:rsidR="00FD49A4" w:rsidRPr="006B5DD9" w:rsidRDefault="00FD49A4" w:rsidP="006B5DD9">
    <w:pPr>
      <w:pStyle w:val="Encabezado"/>
      <w:spacing w:after="240"/>
    </w:pPr>
    <w:r>
      <w:t xml:space="preserve">Página </w:t>
    </w:r>
    <w:r w:rsidRPr="00FD49A4">
      <w:fldChar w:fldCharType="begin"/>
    </w:r>
    <w:r w:rsidRPr="00FD49A4">
      <w:instrText xml:space="preserve"> PAGE   \* MERGEFORMAT </w:instrText>
    </w:r>
    <w:r w:rsidRPr="00FD49A4">
      <w:fldChar w:fldCharType="separate"/>
    </w:r>
    <w:r w:rsidRPr="00FD49A4">
      <w:t>1</w:t>
    </w:r>
    <w:r w:rsidRPr="00FD49A4">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03E97" w14:textId="67E482A4" w:rsidR="00E00334" w:rsidRDefault="00E00334" w:rsidP="006B5DD9">
    <w:pPr>
      <w:pStyle w:val="Encabezado"/>
      <w:jc w:val="right"/>
    </w:pPr>
    <w:r>
      <w:t>CBD/WG2020/REC/1/1</w:t>
    </w:r>
  </w:p>
  <w:p w14:paraId="13DC429D" w14:textId="32CFF074" w:rsidR="005466C8" w:rsidRPr="006B5DD9" w:rsidRDefault="00E00334" w:rsidP="006B5DD9">
    <w:pPr>
      <w:pStyle w:val="Encabezado"/>
      <w:spacing w:after="240"/>
      <w:jc w:val="right"/>
    </w:pPr>
    <w:r>
      <w:t xml:space="preserve">Página </w:t>
    </w:r>
    <w:r w:rsidRPr="00FD49A4">
      <w:fldChar w:fldCharType="begin"/>
    </w:r>
    <w:r w:rsidRPr="00FD49A4">
      <w:instrText xml:space="preserve"> PAGE   \* MERGEFORMAT </w:instrText>
    </w:r>
    <w:r w:rsidRPr="00FD49A4">
      <w:fldChar w:fldCharType="separate"/>
    </w:r>
    <w:r>
      <w:t>2</w:t>
    </w:r>
    <w:r w:rsidRPr="00FD49A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FE4AF" w14:textId="77777777" w:rsidR="0078220F" w:rsidRDefault="0078220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81572" w14:textId="77777777" w:rsidR="009C39E7" w:rsidRDefault="009C39E7">
    <w:pPr>
      <w:pStyle w:val="Encabezado"/>
    </w:pPr>
    <w:r>
      <w:t>CBD/WG2020/REC1/1</w:t>
    </w:r>
  </w:p>
  <w:p w14:paraId="2C9B7A3A" w14:textId="77777777" w:rsidR="009C39E7" w:rsidRPr="006B5DD9" w:rsidRDefault="009C39E7" w:rsidP="006B5DD9">
    <w:pPr>
      <w:pStyle w:val="Encabezado"/>
      <w:spacing w:after="240"/>
    </w:pPr>
    <w:r>
      <w:t xml:space="preserve">Página </w:t>
    </w:r>
    <w:r w:rsidRPr="00FD49A4">
      <w:fldChar w:fldCharType="begin"/>
    </w:r>
    <w:r w:rsidRPr="00FD49A4">
      <w:instrText xml:space="preserve"> PAGE   \* MERGEFORMAT </w:instrText>
    </w:r>
    <w:r w:rsidRPr="00FD49A4">
      <w:fldChar w:fldCharType="separate"/>
    </w:r>
    <w:r w:rsidRPr="00FD49A4">
      <w:t>1</w:t>
    </w:r>
    <w:r w:rsidRPr="00FD49A4">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kern w:val="22"/>
      </w:rPr>
      <w:alias w:val="Subject"/>
      <w:tag w:val=""/>
      <w:id w:val="-2114428025"/>
      <w:placeholder>
        <w:docPart w:val="DA2D3E7AACEF4F7FBB68B18ABACCDB95"/>
      </w:placeholder>
      <w:dataBinding w:prefixMappings="xmlns:ns0='http://purl.org/dc/elements/1.1/' xmlns:ns1='http://schemas.openxmlformats.org/package/2006/metadata/core-properties' " w:xpath="/ns1:coreProperties[1]/ns0:subject[1]" w:storeItemID="{6C3C8BC8-F283-45AE-878A-BAB7291924A1}"/>
      <w:text/>
    </w:sdtPr>
    <w:sdtEndPr/>
    <w:sdtContent>
      <w:p w14:paraId="4674309C" w14:textId="3CE32385" w:rsidR="009B60BF" w:rsidRPr="005440A6" w:rsidRDefault="009B60BF" w:rsidP="00BE45DE">
        <w:pPr>
          <w:pStyle w:val="Encabezado"/>
          <w:tabs>
            <w:tab w:val="clear" w:pos="4320"/>
            <w:tab w:val="clear" w:pos="8640"/>
          </w:tabs>
          <w:jc w:val="right"/>
          <w:rPr>
            <w:noProof/>
            <w:kern w:val="22"/>
          </w:rPr>
        </w:pPr>
        <w:r>
          <w:rPr>
            <w:noProof/>
            <w:kern w:val="22"/>
          </w:rPr>
          <w:t>CBD/WG2020/REC/1/1</w:t>
        </w:r>
      </w:p>
    </w:sdtContent>
  </w:sdt>
  <w:p w14:paraId="7279BD3D" w14:textId="77777777" w:rsidR="009B60BF" w:rsidRPr="005440A6" w:rsidRDefault="009B60BF" w:rsidP="006B5DD9">
    <w:pPr>
      <w:pStyle w:val="Encabezado"/>
      <w:tabs>
        <w:tab w:val="clear" w:pos="4320"/>
        <w:tab w:val="clear" w:pos="8640"/>
        <w:tab w:val="left" w:pos="8295"/>
        <w:tab w:val="right" w:pos="9360"/>
      </w:tabs>
      <w:jc w:val="right"/>
      <w:rPr>
        <w:noProof/>
        <w:kern w:val="22"/>
      </w:rPr>
    </w:pPr>
    <w:r>
      <w:tab/>
    </w:r>
    <w:r>
      <w:tab/>
      <w:t xml:space="preserve">Página </w:t>
    </w:r>
    <w:r w:rsidRPr="005440A6">
      <w:fldChar w:fldCharType="begin"/>
    </w:r>
    <w:r w:rsidRPr="005440A6">
      <w:instrText xml:space="preserve"> PAGE   \* MERGEFORMAT </w:instrText>
    </w:r>
    <w:r w:rsidRPr="005440A6">
      <w:fldChar w:fldCharType="separate"/>
    </w:r>
    <w:r>
      <w:t>5</w:t>
    </w:r>
    <w:r w:rsidRPr="005440A6">
      <w:fldChar w:fldCharType="end"/>
    </w:r>
  </w:p>
  <w:p w14:paraId="435DD4EE" w14:textId="77777777" w:rsidR="009B60BF" w:rsidRPr="005440A6" w:rsidRDefault="009B60BF" w:rsidP="005440A6">
    <w:pPr>
      <w:pStyle w:val="Encabezado"/>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0BC4BA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43" type="#_x0000_t75" style="width:481pt;height:408pt;visibility:visible;mso-wrap-style:square" o:bullet="t">
        <v:imagedata r:id="rId1" o:title=""/>
      </v:shape>
    </w:pict>
  </w:numPicBullet>
  <w:abstractNum w:abstractNumId="0" w15:restartNumberingAfterBreak="0">
    <w:nsid w:val="FFFFFF1D"/>
    <w:multiLevelType w:val="multilevel"/>
    <w:tmpl w:val="84763D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B8063F"/>
    <w:multiLevelType w:val="hybridMultilevel"/>
    <w:tmpl w:val="FF5C2D9C"/>
    <w:lvl w:ilvl="0" w:tplc="402C42D2">
      <w:start w:val="1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73710D"/>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ECE3861"/>
    <w:multiLevelType w:val="hybridMultilevel"/>
    <w:tmpl w:val="5B98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14F0E"/>
    <w:multiLevelType w:val="hybridMultilevel"/>
    <w:tmpl w:val="5B98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42DBC"/>
    <w:multiLevelType w:val="hybridMultilevel"/>
    <w:tmpl w:val="364080C6"/>
    <w:lvl w:ilvl="0" w:tplc="E07A4D8A">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CC4FAB"/>
    <w:multiLevelType w:val="hybridMultilevel"/>
    <w:tmpl w:val="B85A0318"/>
    <w:lvl w:ilvl="0" w:tplc="74569016">
      <w:start w:val="1"/>
      <w:numFmt w:val="upperLetter"/>
      <w:lvlText w:val="%1."/>
      <w:lvlJc w:val="left"/>
      <w:pPr>
        <w:ind w:left="720" w:hanging="360"/>
      </w:pPr>
      <w:rPr>
        <w:rFonts w:ascii="Times New Roman" w:eastAsia="Times New Roman" w:hAnsi="Times New Roman" w:cs="Times New Roman"/>
      </w:rPr>
    </w:lvl>
    <w:lvl w:ilvl="1" w:tplc="10090019">
      <w:start w:val="1"/>
      <w:numFmt w:val="lowerLetter"/>
      <w:lvlText w:val="%2."/>
      <w:lvlJc w:val="left"/>
      <w:pPr>
        <w:ind w:left="1440" w:hanging="360"/>
      </w:pPr>
    </w:lvl>
    <w:lvl w:ilvl="2" w:tplc="7A268CD0">
      <w:start w:val="1"/>
      <w:numFmt w:val="lowerRoman"/>
      <w:lvlText w:val="%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EF67139"/>
    <w:multiLevelType w:val="hybridMultilevel"/>
    <w:tmpl w:val="F44CC0D8"/>
    <w:lvl w:ilvl="0" w:tplc="B44447C6">
      <w:start w:val="1"/>
      <w:numFmt w:val="bullet"/>
      <w:lvlText w:val="o"/>
      <w:lvlJc w:val="left"/>
      <w:pPr>
        <w:tabs>
          <w:tab w:val="num" w:pos="720"/>
        </w:tabs>
        <w:ind w:left="720" w:hanging="360"/>
      </w:pPr>
      <w:rPr>
        <w:rFonts w:ascii="Courier New" w:hAnsi="Courier New" w:hint="default"/>
      </w:rPr>
    </w:lvl>
    <w:lvl w:ilvl="1" w:tplc="D9E605A4">
      <w:start w:val="1827"/>
      <w:numFmt w:val="bullet"/>
      <w:lvlText w:val="o"/>
      <w:lvlJc w:val="left"/>
      <w:pPr>
        <w:tabs>
          <w:tab w:val="num" w:pos="1440"/>
        </w:tabs>
        <w:ind w:left="1440" w:hanging="360"/>
      </w:pPr>
      <w:rPr>
        <w:rFonts w:ascii="Courier New" w:hAnsi="Courier New" w:hint="default"/>
      </w:rPr>
    </w:lvl>
    <w:lvl w:ilvl="2" w:tplc="C2F603EE" w:tentative="1">
      <w:start w:val="1"/>
      <w:numFmt w:val="bullet"/>
      <w:lvlText w:val="o"/>
      <w:lvlJc w:val="left"/>
      <w:pPr>
        <w:tabs>
          <w:tab w:val="num" w:pos="2160"/>
        </w:tabs>
        <w:ind w:left="2160" w:hanging="360"/>
      </w:pPr>
      <w:rPr>
        <w:rFonts w:ascii="Courier New" w:hAnsi="Courier New" w:hint="default"/>
      </w:rPr>
    </w:lvl>
    <w:lvl w:ilvl="3" w:tplc="2E8059E2" w:tentative="1">
      <w:start w:val="1"/>
      <w:numFmt w:val="bullet"/>
      <w:lvlText w:val="o"/>
      <w:lvlJc w:val="left"/>
      <w:pPr>
        <w:tabs>
          <w:tab w:val="num" w:pos="2880"/>
        </w:tabs>
        <w:ind w:left="2880" w:hanging="360"/>
      </w:pPr>
      <w:rPr>
        <w:rFonts w:ascii="Courier New" w:hAnsi="Courier New" w:hint="default"/>
      </w:rPr>
    </w:lvl>
    <w:lvl w:ilvl="4" w:tplc="853838F4" w:tentative="1">
      <w:start w:val="1"/>
      <w:numFmt w:val="bullet"/>
      <w:lvlText w:val="o"/>
      <w:lvlJc w:val="left"/>
      <w:pPr>
        <w:tabs>
          <w:tab w:val="num" w:pos="3600"/>
        </w:tabs>
        <w:ind w:left="3600" w:hanging="360"/>
      </w:pPr>
      <w:rPr>
        <w:rFonts w:ascii="Courier New" w:hAnsi="Courier New" w:hint="default"/>
      </w:rPr>
    </w:lvl>
    <w:lvl w:ilvl="5" w:tplc="7ACC7F46" w:tentative="1">
      <w:start w:val="1"/>
      <w:numFmt w:val="bullet"/>
      <w:lvlText w:val="o"/>
      <w:lvlJc w:val="left"/>
      <w:pPr>
        <w:tabs>
          <w:tab w:val="num" w:pos="4320"/>
        </w:tabs>
        <w:ind w:left="4320" w:hanging="360"/>
      </w:pPr>
      <w:rPr>
        <w:rFonts w:ascii="Courier New" w:hAnsi="Courier New" w:hint="default"/>
      </w:rPr>
    </w:lvl>
    <w:lvl w:ilvl="6" w:tplc="44BC527E" w:tentative="1">
      <w:start w:val="1"/>
      <w:numFmt w:val="bullet"/>
      <w:lvlText w:val="o"/>
      <w:lvlJc w:val="left"/>
      <w:pPr>
        <w:tabs>
          <w:tab w:val="num" w:pos="5040"/>
        </w:tabs>
        <w:ind w:left="5040" w:hanging="360"/>
      </w:pPr>
      <w:rPr>
        <w:rFonts w:ascii="Courier New" w:hAnsi="Courier New" w:hint="default"/>
      </w:rPr>
    </w:lvl>
    <w:lvl w:ilvl="7" w:tplc="11847C62" w:tentative="1">
      <w:start w:val="1"/>
      <w:numFmt w:val="bullet"/>
      <w:lvlText w:val="o"/>
      <w:lvlJc w:val="left"/>
      <w:pPr>
        <w:tabs>
          <w:tab w:val="num" w:pos="5760"/>
        </w:tabs>
        <w:ind w:left="5760" w:hanging="360"/>
      </w:pPr>
      <w:rPr>
        <w:rFonts w:ascii="Courier New" w:hAnsi="Courier New" w:hint="default"/>
      </w:rPr>
    </w:lvl>
    <w:lvl w:ilvl="8" w:tplc="24A2B5D8"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1F6E7FAB"/>
    <w:multiLevelType w:val="hybridMultilevel"/>
    <w:tmpl w:val="DE90C014"/>
    <w:lvl w:ilvl="0" w:tplc="877AD062">
      <w:start w:val="1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674565"/>
    <w:multiLevelType w:val="hybridMultilevel"/>
    <w:tmpl w:val="E38CF422"/>
    <w:lvl w:ilvl="0" w:tplc="65026076">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1355CE"/>
    <w:multiLevelType w:val="hybridMultilevel"/>
    <w:tmpl w:val="DC926130"/>
    <w:lvl w:ilvl="0" w:tplc="74569016">
      <w:start w:val="1"/>
      <w:numFmt w:val="upperLetter"/>
      <w:lvlText w:val="%1."/>
      <w:lvlJc w:val="left"/>
      <w:pPr>
        <w:ind w:left="720" w:hanging="360"/>
      </w:pPr>
      <w:rPr>
        <w:rFonts w:ascii="Times New Roman" w:eastAsia="Times New Roman" w:hAnsi="Times New Roman" w:cs="Times New Roman"/>
      </w:rPr>
    </w:lvl>
    <w:lvl w:ilvl="1" w:tplc="10090019">
      <w:start w:val="1"/>
      <w:numFmt w:val="lowerLetter"/>
      <w:lvlText w:val="%2."/>
      <w:lvlJc w:val="left"/>
      <w:pPr>
        <w:ind w:left="1440" w:hanging="360"/>
      </w:pPr>
    </w:lvl>
    <w:lvl w:ilvl="2" w:tplc="7A268CD0">
      <w:start w:val="1"/>
      <w:numFmt w:val="lowerRoman"/>
      <w:lvlText w:val="%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67E729A"/>
    <w:multiLevelType w:val="hybridMultilevel"/>
    <w:tmpl w:val="5366D478"/>
    <w:lvl w:ilvl="0" w:tplc="74569016">
      <w:start w:val="1"/>
      <w:numFmt w:val="upperLetter"/>
      <w:lvlText w:val="%1."/>
      <w:lvlJc w:val="left"/>
      <w:pPr>
        <w:ind w:left="720" w:hanging="360"/>
      </w:pPr>
      <w:rPr>
        <w:rFonts w:ascii="Times New Roman" w:eastAsia="Times New Roman" w:hAnsi="Times New Roman" w:cs="Times New Roman"/>
      </w:rPr>
    </w:lvl>
    <w:lvl w:ilvl="1" w:tplc="A178ED3C">
      <w:start w:val="1"/>
      <w:numFmt w:val="lowerLetter"/>
      <w:lvlText w:val="%2)"/>
      <w:lvlJc w:val="left"/>
      <w:pPr>
        <w:ind w:left="1440" w:hanging="360"/>
      </w:pPr>
      <w:rPr>
        <w:rFonts w:hint="default"/>
        <w:b w:val="0"/>
        <w:i w:val="0"/>
        <w:sz w:val="22"/>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82018A3"/>
    <w:multiLevelType w:val="hybridMultilevel"/>
    <w:tmpl w:val="98D0F8D6"/>
    <w:lvl w:ilvl="0" w:tplc="FFFFFFFF">
      <w:start w:val="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4" w15:restartNumberingAfterBreak="0">
    <w:nsid w:val="285A3342"/>
    <w:multiLevelType w:val="hybridMultilevel"/>
    <w:tmpl w:val="2C4CBF34"/>
    <w:lvl w:ilvl="0" w:tplc="BA0AC78A">
      <w:start w:val="1"/>
      <w:numFmt w:val="bullet"/>
      <w:lvlText w:val="•"/>
      <w:lvlJc w:val="left"/>
      <w:pPr>
        <w:tabs>
          <w:tab w:val="num" w:pos="720"/>
        </w:tabs>
        <w:ind w:left="720" w:hanging="360"/>
      </w:pPr>
      <w:rPr>
        <w:rFonts w:ascii="Arial" w:hAnsi="Arial" w:hint="default"/>
      </w:rPr>
    </w:lvl>
    <w:lvl w:ilvl="1" w:tplc="7BFA9B86">
      <w:start w:val="30158"/>
      <w:numFmt w:val="bullet"/>
      <w:lvlText w:val="•"/>
      <w:lvlJc w:val="left"/>
      <w:pPr>
        <w:tabs>
          <w:tab w:val="num" w:pos="1440"/>
        </w:tabs>
        <w:ind w:left="1440" w:hanging="360"/>
      </w:pPr>
      <w:rPr>
        <w:rFonts w:ascii="Arial" w:hAnsi="Arial" w:hint="default"/>
      </w:rPr>
    </w:lvl>
    <w:lvl w:ilvl="2" w:tplc="DB60793E" w:tentative="1">
      <w:start w:val="1"/>
      <w:numFmt w:val="bullet"/>
      <w:lvlText w:val="•"/>
      <w:lvlJc w:val="left"/>
      <w:pPr>
        <w:tabs>
          <w:tab w:val="num" w:pos="2160"/>
        </w:tabs>
        <w:ind w:left="2160" w:hanging="360"/>
      </w:pPr>
      <w:rPr>
        <w:rFonts w:ascii="Arial" w:hAnsi="Arial" w:hint="default"/>
      </w:rPr>
    </w:lvl>
    <w:lvl w:ilvl="3" w:tplc="D1E86C66" w:tentative="1">
      <w:start w:val="1"/>
      <w:numFmt w:val="bullet"/>
      <w:lvlText w:val="•"/>
      <w:lvlJc w:val="left"/>
      <w:pPr>
        <w:tabs>
          <w:tab w:val="num" w:pos="2880"/>
        </w:tabs>
        <w:ind w:left="2880" w:hanging="360"/>
      </w:pPr>
      <w:rPr>
        <w:rFonts w:ascii="Arial" w:hAnsi="Arial" w:hint="default"/>
      </w:rPr>
    </w:lvl>
    <w:lvl w:ilvl="4" w:tplc="EE143526" w:tentative="1">
      <w:start w:val="1"/>
      <w:numFmt w:val="bullet"/>
      <w:lvlText w:val="•"/>
      <w:lvlJc w:val="left"/>
      <w:pPr>
        <w:tabs>
          <w:tab w:val="num" w:pos="3600"/>
        </w:tabs>
        <w:ind w:left="3600" w:hanging="360"/>
      </w:pPr>
      <w:rPr>
        <w:rFonts w:ascii="Arial" w:hAnsi="Arial" w:hint="default"/>
      </w:rPr>
    </w:lvl>
    <w:lvl w:ilvl="5" w:tplc="609809F2" w:tentative="1">
      <w:start w:val="1"/>
      <w:numFmt w:val="bullet"/>
      <w:lvlText w:val="•"/>
      <w:lvlJc w:val="left"/>
      <w:pPr>
        <w:tabs>
          <w:tab w:val="num" w:pos="4320"/>
        </w:tabs>
        <w:ind w:left="4320" w:hanging="360"/>
      </w:pPr>
      <w:rPr>
        <w:rFonts w:ascii="Arial" w:hAnsi="Arial" w:hint="default"/>
      </w:rPr>
    </w:lvl>
    <w:lvl w:ilvl="6" w:tplc="F5D0B892" w:tentative="1">
      <w:start w:val="1"/>
      <w:numFmt w:val="bullet"/>
      <w:lvlText w:val="•"/>
      <w:lvlJc w:val="left"/>
      <w:pPr>
        <w:tabs>
          <w:tab w:val="num" w:pos="5040"/>
        </w:tabs>
        <w:ind w:left="5040" w:hanging="360"/>
      </w:pPr>
      <w:rPr>
        <w:rFonts w:ascii="Arial" w:hAnsi="Arial" w:hint="default"/>
      </w:rPr>
    </w:lvl>
    <w:lvl w:ilvl="7" w:tplc="52CE14BE" w:tentative="1">
      <w:start w:val="1"/>
      <w:numFmt w:val="bullet"/>
      <w:lvlText w:val="•"/>
      <w:lvlJc w:val="left"/>
      <w:pPr>
        <w:tabs>
          <w:tab w:val="num" w:pos="5760"/>
        </w:tabs>
        <w:ind w:left="5760" w:hanging="360"/>
      </w:pPr>
      <w:rPr>
        <w:rFonts w:ascii="Arial" w:hAnsi="Arial" w:hint="default"/>
      </w:rPr>
    </w:lvl>
    <w:lvl w:ilvl="8" w:tplc="104C755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A5C5726"/>
    <w:multiLevelType w:val="hybridMultilevel"/>
    <w:tmpl w:val="C150C53E"/>
    <w:lvl w:ilvl="0" w:tplc="74569016">
      <w:start w:val="1"/>
      <w:numFmt w:val="upperLetter"/>
      <w:lvlText w:val="%1."/>
      <w:lvlJc w:val="left"/>
      <w:pPr>
        <w:ind w:left="720" w:hanging="360"/>
      </w:pPr>
      <w:rPr>
        <w:rFonts w:ascii="Times New Roman" w:eastAsia="Times New Roman" w:hAnsi="Times New Roman" w:cs="Times New Roman"/>
      </w:rPr>
    </w:lvl>
    <w:lvl w:ilvl="1" w:tplc="10090019">
      <w:start w:val="1"/>
      <w:numFmt w:val="lowerLetter"/>
      <w:lvlText w:val="%2."/>
      <w:lvlJc w:val="left"/>
      <w:pPr>
        <w:ind w:left="1440" w:hanging="360"/>
      </w:pPr>
    </w:lvl>
    <w:lvl w:ilvl="2" w:tplc="7A268CD0">
      <w:start w:val="1"/>
      <w:numFmt w:val="lowerRoman"/>
      <w:lvlText w:val="%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BD079C2"/>
    <w:multiLevelType w:val="hybridMultilevel"/>
    <w:tmpl w:val="210E69A2"/>
    <w:lvl w:ilvl="0" w:tplc="74569016">
      <w:start w:val="1"/>
      <w:numFmt w:val="upperLetter"/>
      <w:lvlText w:val="%1."/>
      <w:lvlJc w:val="left"/>
      <w:pPr>
        <w:ind w:left="720" w:hanging="360"/>
      </w:pPr>
      <w:rPr>
        <w:rFonts w:ascii="Times New Roman" w:eastAsia="Times New Roman" w:hAnsi="Times New Roman" w:cs="Times New Roman"/>
      </w:rPr>
    </w:lvl>
    <w:lvl w:ilvl="1" w:tplc="10090019">
      <w:start w:val="1"/>
      <w:numFmt w:val="lowerLetter"/>
      <w:lvlText w:val="%2."/>
      <w:lvlJc w:val="left"/>
      <w:pPr>
        <w:ind w:left="1440" w:hanging="360"/>
      </w:pPr>
    </w:lvl>
    <w:lvl w:ilvl="2" w:tplc="7A268CD0">
      <w:start w:val="1"/>
      <w:numFmt w:val="lowerRoman"/>
      <w:lvlText w:val="%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C2A01EA"/>
    <w:multiLevelType w:val="hybridMultilevel"/>
    <w:tmpl w:val="3C0CEC7C"/>
    <w:lvl w:ilvl="0" w:tplc="67A2118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C92250A"/>
    <w:multiLevelType w:val="hybridMultilevel"/>
    <w:tmpl w:val="FCECA4E6"/>
    <w:lvl w:ilvl="0" w:tplc="B136D1EE">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D2F11A0"/>
    <w:multiLevelType w:val="hybridMultilevel"/>
    <w:tmpl w:val="8368943E"/>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DB318A"/>
    <w:multiLevelType w:val="hybridMultilevel"/>
    <w:tmpl w:val="940E8760"/>
    <w:lvl w:ilvl="0" w:tplc="E266F2B0">
      <w:start w:val="1"/>
      <w:numFmt w:val="lowerLetter"/>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F9B1BB8"/>
    <w:multiLevelType w:val="hybridMultilevel"/>
    <w:tmpl w:val="385A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EC7EBD"/>
    <w:multiLevelType w:val="hybridMultilevel"/>
    <w:tmpl w:val="CAFC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643FA2"/>
    <w:multiLevelType w:val="hybridMultilevel"/>
    <w:tmpl w:val="CCF0C26E"/>
    <w:lvl w:ilvl="0" w:tplc="74569016">
      <w:start w:val="1"/>
      <w:numFmt w:val="upperLetter"/>
      <w:lvlText w:val="%1."/>
      <w:lvlJc w:val="left"/>
      <w:pPr>
        <w:ind w:left="720" w:hanging="360"/>
      </w:pPr>
      <w:rPr>
        <w:rFonts w:ascii="Times New Roman" w:eastAsia="Times New Roman" w:hAnsi="Times New Roman" w:cs="Times New Roman"/>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8001DE2"/>
    <w:multiLevelType w:val="hybridMultilevel"/>
    <w:tmpl w:val="5A58367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9006D23"/>
    <w:multiLevelType w:val="hybridMultilevel"/>
    <w:tmpl w:val="3A6467C8"/>
    <w:lvl w:ilvl="0" w:tplc="74569016">
      <w:start w:val="1"/>
      <w:numFmt w:val="upperLetter"/>
      <w:lvlText w:val="%1."/>
      <w:lvlJc w:val="left"/>
      <w:pPr>
        <w:ind w:left="720" w:hanging="360"/>
      </w:pPr>
      <w:rPr>
        <w:rFonts w:ascii="Times New Roman" w:eastAsia="Times New Roman" w:hAnsi="Times New Roman" w:cs="Times New Roman"/>
      </w:rPr>
    </w:lvl>
    <w:lvl w:ilvl="1" w:tplc="10090019">
      <w:start w:val="1"/>
      <w:numFmt w:val="lowerLetter"/>
      <w:lvlText w:val="%2."/>
      <w:lvlJc w:val="left"/>
      <w:pPr>
        <w:ind w:left="1440" w:hanging="360"/>
      </w:pPr>
    </w:lvl>
    <w:lvl w:ilvl="2" w:tplc="7A268CD0">
      <w:start w:val="1"/>
      <w:numFmt w:val="lowerRoman"/>
      <w:lvlText w:val="%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AEB0B1E"/>
    <w:multiLevelType w:val="multilevel"/>
    <w:tmpl w:val="151C49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2016"/>
        </w:tabs>
        <w:ind w:left="2016" w:hanging="432"/>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CE43C91"/>
    <w:multiLevelType w:val="singleLevel"/>
    <w:tmpl w:val="7174E9C0"/>
    <w:lvl w:ilvl="0">
      <w:start w:val="1"/>
      <w:numFmt w:val="decimal"/>
      <w:lvlText w:val="%1."/>
      <w:lvlJc w:val="left"/>
      <w:pPr>
        <w:tabs>
          <w:tab w:val="num" w:pos="360"/>
        </w:tabs>
        <w:ind w:left="0" w:firstLine="0"/>
      </w:pPr>
    </w:lvl>
  </w:abstractNum>
  <w:abstractNum w:abstractNumId="29" w15:restartNumberingAfterBreak="0">
    <w:nsid w:val="3D0E0F48"/>
    <w:multiLevelType w:val="hybridMultilevel"/>
    <w:tmpl w:val="C3425490"/>
    <w:lvl w:ilvl="0" w:tplc="74569016">
      <w:start w:val="1"/>
      <w:numFmt w:val="upperLetter"/>
      <w:lvlText w:val="%1."/>
      <w:lvlJc w:val="left"/>
      <w:pPr>
        <w:ind w:left="720" w:hanging="360"/>
      </w:pPr>
      <w:rPr>
        <w:rFonts w:ascii="Times New Roman" w:eastAsia="Times New Roman" w:hAnsi="Times New Roman" w:cs="Times New Roman"/>
      </w:rPr>
    </w:lvl>
    <w:lvl w:ilvl="1" w:tplc="10090019">
      <w:start w:val="1"/>
      <w:numFmt w:val="lowerLetter"/>
      <w:lvlText w:val="%2."/>
      <w:lvlJc w:val="left"/>
      <w:pPr>
        <w:ind w:left="1440" w:hanging="360"/>
      </w:pPr>
    </w:lvl>
    <w:lvl w:ilvl="2" w:tplc="7A268CD0">
      <w:start w:val="1"/>
      <w:numFmt w:val="lowerRoman"/>
      <w:lvlText w:val="%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DD43D46"/>
    <w:multiLevelType w:val="hybridMultilevel"/>
    <w:tmpl w:val="E32EF18C"/>
    <w:lvl w:ilvl="0" w:tplc="67A21184">
      <w:start w:val="1"/>
      <w:numFmt w:val="upperLetter"/>
      <w:lvlText w:val="%1.)"/>
      <w:lvlJc w:val="left"/>
      <w:pPr>
        <w:ind w:left="833" w:hanging="360"/>
      </w:pPr>
      <w:rPr>
        <w:rFonts w:hint="default"/>
      </w:rPr>
    </w:lvl>
    <w:lvl w:ilvl="1" w:tplc="04090019">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31" w15:restartNumberingAfterBreak="0">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B228D1"/>
    <w:multiLevelType w:val="hybridMultilevel"/>
    <w:tmpl w:val="2D36F49E"/>
    <w:lvl w:ilvl="0" w:tplc="F244A242">
      <w:start w:val="1"/>
      <w:numFmt w:val="bullet"/>
      <w:lvlText w:val="•"/>
      <w:lvlJc w:val="left"/>
      <w:pPr>
        <w:tabs>
          <w:tab w:val="num" w:pos="720"/>
        </w:tabs>
        <w:ind w:left="720" w:hanging="360"/>
      </w:pPr>
      <w:rPr>
        <w:rFonts w:ascii="Arial" w:hAnsi="Arial" w:hint="default"/>
      </w:rPr>
    </w:lvl>
    <w:lvl w:ilvl="1" w:tplc="2A0C7800">
      <w:start w:val="161"/>
      <w:numFmt w:val="bullet"/>
      <w:lvlText w:val="•"/>
      <w:lvlJc w:val="left"/>
      <w:pPr>
        <w:tabs>
          <w:tab w:val="num" w:pos="1440"/>
        </w:tabs>
        <w:ind w:left="1440" w:hanging="360"/>
      </w:pPr>
      <w:rPr>
        <w:rFonts w:ascii="Arial" w:hAnsi="Arial" w:hint="default"/>
      </w:rPr>
    </w:lvl>
    <w:lvl w:ilvl="2" w:tplc="3020A2F2">
      <w:start w:val="1250"/>
      <w:numFmt w:val="bullet"/>
      <w:lvlText w:val="o"/>
      <w:lvlJc w:val="left"/>
      <w:pPr>
        <w:tabs>
          <w:tab w:val="num" w:pos="2160"/>
        </w:tabs>
        <w:ind w:left="2160" w:hanging="360"/>
      </w:pPr>
      <w:rPr>
        <w:rFonts w:ascii="Courier New" w:hAnsi="Courier New" w:hint="default"/>
      </w:rPr>
    </w:lvl>
    <w:lvl w:ilvl="3" w:tplc="AF7CB71C" w:tentative="1">
      <w:start w:val="1"/>
      <w:numFmt w:val="bullet"/>
      <w:lvlText w:val="•"/>
      <w:lvlJc w:val="left"/>
      <w:pPr>
        <w:tabs>
          <w:tab w:val="num" w:pos="2880"/>
        </w:tabs>
        <w:ind w:left="2880" w:hanging="360"/>
      </w:pPr>
      <w:rPr>
        <w:rFonts w:ascii="Arial" w:hAnsi="Arial" w:hint="default"/>
      </w:rPr>
    </w:lvl>
    <w:lvl w:ilvl="4" w:tplc="3C24A6DA" w:tentative="1">
      <w:start w:val="1"/>
      <w:numFmt w:val="bullet"/>
      <w:lvlText w:val="•"/>
      <w:lvlJc w:val="left"/>
      <w:pPr>
        <w:tabs>
          <w:tab w:val="num" w:pos="3600"/>
        </w:tabs>
        <w:ind w:left="3600" w:hanging="360"/>
      </w:pPr>
      <w:rPr>
        <w:rFonts w:ascii="Arial" w:hAnsi="Arial" w:hint="default"/>
      </w:rPr>
    </w:lvl>
    <w:lvl w:ilvl="5" w:tplc="8DF0D920" w:tentative="1">
      <w:start w:val="1"/>
      <w:numFmt w:val="bullet"/>
      <w:lvlText w:val="•"/>
      <w:lvlJc w:val="left"/>
      <w:pPr>
        <w:tabs>
          <w:tab w:val="num" w:pos="4320"/>
        </w:tabs>
        <w:ind w:left="4320" w:hanging="360"/>
      </w:pPr>
      <w:rPr>
        <w:rFonts w:ascii="Arial" w:hAnsi="Arial" w:hint="default"/>
      </w:rPr>
    </w:lvl>
    <w:lvl w:ilvl="6" w:tplc="3C2A779C" w:tentative="1">
      <w:start w:val="1"/>
      <w:numFmt w:val="bullet"/>
      <w:lvlText w:val="•"/>
      <w:lvlJc w:val="left"/>
      <w:pPr>
        <w:tabs>
          <w:tab w:val="num" w:pos="5040"/>
        </w:tabs>
        <w:ind w:left="5040" w:hanging="360"/>
      </w:pPr>
      <w:rPr>
        <w:rFonts w:ascii="Arial" w:hAnsi="Arial" w:hint="default"/>
      </w:rPr>
    </w:lvl>
    <w:lvl w:ilvl="7" w:tplc="255A612C" w:tentative="1">
      <w:start w:val="1"/>
      <w:numFmt w:val="bullet"/>
      <w:lvlText w:val="•"/>
      <w:lvlJc w:val="left"/>
      <w:pPr>
        <w:tabs>
          <w:tab w:val="num" w:pos="5760"/>
        </w:tabs>
        <w:ind w:left="5760" w:hanging="360"/>
      </w:pPr>
      <w:rPr>
        <w:rFonts w:ascii="Arial" w:hAnsi="Arial" w:hint="default"/>
      </w:rPr>
    </w:lvl>
    <w:lvl w:ilvl="8" w:tplc="2A7C328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135485C"/>
    <w:multiLevelType w:val="hybridMultilevel"/>
    <w:tmpl w:val="AA20296A"/>
    <w:lvl w:ilvl="0" w:tplc="55BC95E4">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2DD6A37"/>
    <w:multiLevelType w:val="hybridMultilevel"/>
    <w:tmpl w:val="F97A5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100DC4"/>
    <w:multiLevelType w:val="hybridMultilevel"/>
    <w:tmpl w:val="F710C884"/>
    <w:lvl w:ilvl="0" w:tplc="74569016">
      <w:start w:val="1"/>
      <w:numFmt w:val="upperLetter"/>
      <w:lvlText w:val="%1."/>
      <w:lvlJc w:val="left"/>
      <w:pPr>
        <w:ind w:left="720" w:hanging="360"/>
      </w:pPr>
      <w:rPr>
        <w:rFonts w:ascii="Times New Roman" w:eastAsia="Times New Roman" w:hAnsi="Times New Roman" w:cs="Times New Roman"/>
      </w:rPr>
    </w:lvl>
    <w:lvl w:ilvl="1" w:tplc="10090019">
      <w:start w:val="1"/>
      <w:numFmt w:val="lowerLetter"/>
      <w:lvlText w:val="%2."/>
      <w:lvlJc w:val="left"/>
      <w:pPr>
        <w:ind w:left="1440" w:hanging="360"/>
      </w:pPr>
    </w:lvl>
    <w:lvl w:ilvl="2" w:tplc="7A268CD0">
      <w:start w:val="1"/>
      <w:numFmt w:val="lowerRoman"/>
      <w:lvlText w:val="%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4CC7FBB"/>
    <w:multiLevelType w:val="hybridMultilevel"/>
    <w:tmpl w:val="FEB4E412"/>
    <w:lvl w:ilvl="0" w:tplc="45C2876C">
      <w:start w:val="1"/>
      <w:numFmt w:val="lowerLetter"/>
      <w:lvlText w:val="%1)"/>
      <w:lvlJc w:val="left"/>
      <w:pPr>
        <w:tabs>
          <w:tab w:val="num" w:pos="1080"/>
        </w:tabs>
        <w:ind w:left="1080" w:hanging="360"/>
      </w:pPr>
      <w:rPr>
        <w:rFonts w:hint="default"/>
        <w:b w:val="0"/>
        <w:i w:val="0"/>
        <w:color w:val="auto"/>
        <w:sz w:val="22"/>
        <w:szCs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469C0FCD"/>
    <w:multiLevelType w:val="hybridMultilevel"/>
    <w:tmpl w:val="839ED9B2"/>
    <w:lvl w:ilvl="0" w:tplc="FFFFFFFF">
      <w:start w:val="2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8" w15:restartNumberingAfterBreak="0">
    <w:nsid w:val="47181E9D"/>
    <w:multiLevelType w:val="hybridMultilevel"/>
    <w:tmpl w:val="FCA60D3C"/>
    <w:lvl w:ilvl="0" w:tplc="9C3E70A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4762318C"/>
    <w:multiLevelType w:val="multilevel"/>
    <w:tmpl w:val="F9AC009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B831837"/>
    <w:multiLevelType w:val="hybridMultilevel"/>
    <w:tmpl w:val="701E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FAD73AB"/>
    <w:multiLevelType w:val="hybridMultilevel"/>
    <w:tmpl w:val="903243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520A2313"/>
    <w:multiLevelType w:val="hybridMultilevel"/>
    <w:tmpl w:val="B3346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A0D9A"/>
    <w:multiLevelType w:val="multilevel"/>
    <w:tmpl w:val="187822A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5BDA15C7"/>
    <w:multiLevelType w:val="hybridMultilevel"/>
    <w:tmpl w:val="0A9A1A24"/>
    <w:lvl w:ilvl="0" w:tplc="7CC8A896">
      <w:start w:val="1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CC009D4"/>
    <w:multiLevelType w:val="multilevel"/>
    <w:tmpl w:val="66CADF4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5D3F71C9"/>
    <w:multiLevelType w:val="hybridMultilevel"/>
    <w:tmpl w:val="DCE4A288"/>
    <w:lvl w:ilvl="0" w:tplc="C0786CE8">
      <w:start w:val="1"/>
      <w:numFmt w:val="bullet"/>
      <w:lvlText w:val=""/>
      <w:lvlPicBulletId w:val="0"/>
      <w:lvlJc w:val="left"/>
      <w:pPr>
        <w:tabs>
          <w:tab w:val="num" w:pos="720"/>
        </w:tabs>
        <w:ind w:left="720" w:hanging="360"/>
      </w:pPr>
      <w:rPr>
        <w:rFonts w:ascii="Symbol" w:hAnsi="Symbol" w:hint="default"/>
      </w:rPr>
    </w:lvl>
    <w:lvl w:ilvl="1" w:tplc="92EE5C64" w:tentative="1">
      <w:start w:val="1"/>
      <w:numFmt w:val="bullet"/>
      <w:lvlText w:val=""/>
      <w:lvlJc w:val="left"/>
      <w:pPr>
        <w:tabs>
          <w:tab w:val="num" w:pos="1440"/>
        </w:tabs>
        <w:ind w:left="1440" w:hanging="360"/>
      </w:pPr>
      <w:rPr>
        <w:rFonts w:ascii="Symbol" w:hAnsi="Symbol" w:hint="default"/>
      </w:rPr>
    </w:lvl>
    <w:lvl w:ilvl="2" w:tplc="D130A87A" w:tentative="1">
      <w:start w:val="1"/>
      <w:numFmt w:val="bullet"/>
      <w:lvlText w:val=""/>
      <w:lvlJc w:val="left"/>
      <w:pPr>
        <w:tabs>
          <w:tab w:val="num" w:pos="2160"/>
        </w:tabs>
        <w:ind w:left="2160" w:hanging="360"/>
      </w:pPr>
      <w:rPr>
        <w:rFonts w:ascii="Symbol" w:hAnsi="Symbol" w:hint="default"/>
      </w:rPr>
    </w:lvl>
    <w:lvl w:ilvl="3" w:tplc="F45AB0A4" w:tentative="1">
      <w:start w:val="1"/>
      <w:numFmt w:val="bullet"/>
      <w:lvlText w:val=""/>
      <w:lvlJc w:val="left"/>
      <w:pPr>
        <w:tabs>
          <w:tab w:val="num" w:pos="2880"/>
        </w:tabs>
        <w:ind w:left="2880" w:hanging="360"/>
      </w:pPr>
      <w:rPr>
        <w:rFonts w:ascii="Symbol" w:hAnsi="Symbol" w:hint="default"/>
      </w:rPr>
    </w:lvl>
    <w:lvl w:ilvl="4" w:tplc="222403E4" w:tentative="1">
      <w:start w:val="1"/>
      <w:numFmt w:val="bullet"/>
      <w:lvlText w:val=""/>
      <w:lvlJc w:val="left"/>
      <w:pPr>
        <w:tabs>
          <w:tab w:val="num" w:pos="3600"/>
        </w:tabs>
        <w:ind w:left="3600" w:hanging="360"/>
      </w:pPr>
      <w:rPr>
        <w:rFonts w:ascii="Symbol" w:hAnsi="Symbol" w:hint="default"/>
      </w:rPr>
    </w:lvl>
    <w:lvl w:ilvl="5" w:tplc="C486EF36" w:tentative="1">
      <w:start w:val="1"/>
      <w:numFmt w:val="bullet"/>
      <w:lvlText w:val=""/>
      <w:lvlJc w:val="left"/>
      <w:pPr>
        <w:tabs>
          <w:tab w:val="num" w:pos="4320"/>
        </w:tabs>
        <w:ind w:left="4320" w:hanging="360"/>
      </w:pPr>
      <w:rPr>
        <w:rFonts w:ascii="Symbol" w:hAnsi="Symbol" w:hint="default"/>
      </w:rPr>
    </w:lvl>
    <w:lvl w:ilvl="6" w:tplc="7AE65F96" w:tentative="1">
      <w:start w:val="1"/>
      <w:numFmt w:val="bullet"/>
      <w:lvlText w:val=""/>
      <w:lvlJc w:val="left"/>
      <w:pPr>
        <w:tabs>
          <w:tab w:val="num" w:pos="5040"/>
        </w:tabs>
        <w:ind w:left="5040" w:hanging="360"/>
      </w:pPr>
      <w:rPr>
        <w:rFonts w:ascii="Symbol" w:hAnsi="Symbol" w:hint="default"/>
      </w:rPr>
    </w:lvl>
    <w:lvl w:ilvl="7" w:tplc="538C7674" w:tentative="1">
      <w:start w:val="1"/>
      <w:numFmt w:val="bullet"/>
      <w:lvlText w:val=""/>
      <w:lvlJc w:val="left"/>
      <w:pPr>
        <w:tabs>
          <w:tab w:val="num" w:pos="5760"/>
        </w:tabs>
        <w:ind w:left="5760" w:hanging="360"/>
      </w:pPr>
      <w:rPr>
        <w:rFonts w:ascii="Symbol" w:hAnsi="Symbol" w:hint="default"/>
      </w:rPr>
    </w:lvl>
    <w:lvl w:ilvl="8" w:tplc="D4AC8160" w:tentative="1">
      <w:start w:val="1"/>
      <w:numFmt w:val="bullet"/>
      <w:lvlText w:val=""/>
      <w:lvlJc w:val="left"/>
      <w:pPr>
        <w:tabs>
          <w:tab w:val="num" w:pos="6480"/>
        </w:tabs>
        <w:ind w:left="6480" w:hanging="360"/>
      </w:pPr>
      <w:rPr>
        <w:rFonts w:ascii="Symbol" w:hAnsi="Symbol" w:hint="default"/>
      </w:rPr>
    </w:lvl>
  </w:abstractNum>
  <w:abstractNum w:abstractNumId="49" w15:restartNumberingAfterBreak="0">
    <w:nsid w:val="6039334C"/>
    <w:multiLevelType w:val="hybridMultilevel"/>
    <w:tmpl w:val="71D2141E"/>
    <w:lvl w:ilvl="0" w:tplc="8670151E">
      <w:start w:val="1"/>
      <w:numFmt w:val="upperRoman"/>
      <w:lvlText w:val="%1."/>
      <w:lvlJc w:val="left"/>
      <w:pPr>
        <w:ind w:left="4689"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136DDB"/>
    <w:multiLevelType w:val="hybridMultilevel"/>
    <w:tmpl w:val="06D21E20"/>
    <w:lvl w:ilvl="0" w:tplc="74569016">
      <w:start w:val="1"/>
      <w:numFmt w:val="upperLetter"/>
      <w:lvlText w:val="%1."/>
      <w:lvlJc w:val="left"/>
      <w:pPr>
        <w:ind w:left="720" w:hanging="360"/>
      </w:pPr>
      <w:rPr>
        <w:rFonts w:ascii="Times New Roman" w:eastAsia="Times New Roman" w:hAnsi="Times New Roman" w:cs="Times New Roman"/>
      </w:rPr>
    </w:lvl>
    <w:lvl w:ilvl="1" w:tplc="10090019">
      <w:start w:val="1"/>
      <w:numFmt w:val="lowerLetter"/>
      <w:lvlText w:val="%2."/>
      <w:lvlJc w:val="left"/>
      <w:pPr>
        <w:ind w:left="1440" w:hanging="360"/>
      </w:pPr>
    </w:lvl>
    <w:lvl w:ilvl="2" w:tplc="7A268CD0">
      <w:start w:val="1"/>
      <w:numFmt w:val="lowerRoman"/>
      <w:lvlText w:val="%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614608C6"/>
    <w:multiLevelType w:val="hybridMultilevel"/>
    <w:tmpl w:val="BC6CFBDC"/>
    <w:lvl w:ilvl="0" w:tplc="81F04CD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1F53601"/>
    <w:multiLevelType w:val="hybridMultilevel"/>
    <w:tmpl w:val="13DC3974"/>
    <w:lvl w:ilvl="0" w:tplc="74569016">
      <w:start w:val="1"/>
      <w:numFmt w:val="upperLetter"/>
      <w:lvlText w:val="%1."/>
      <w:lvlJc w:val="left"/>
      <w:pPr>
        <w:ind w:left="720" w:hanging="360"/>
      </w:pPr>
      <w:rPr>
        <w:rFonts w:ascii="Times New Roman" w:eastAsia="Times New Roman" w:hAnsi="Times New Roman" w:cs="Times New Roman"/>
      </w:rPr>
    </w:lvl>
    <w:lvl w:ilvl="1" w:tplc="10090019">
      <w:start w:val="1"/>
      <w:numFmt w:val="lowerLetter"/>
      <w:lvlText w:val="%2."/>
      <w:lvlJc w:val="left"/>
      <w:pPr>
        <w:ind w:left="1440" w:hanging="360"/>
      </w:pPr>
    </w:lvl>
    <w:lvl w:ilvl="2" w:tplc="7A268CD0">
      <w:start w:val="1"/>
      <w:numFmt w:val="lowerRoman"/>
      <w:lvlText w:val="%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62760592"/>
    <w:multiLevelType w:val="hybridMultilevel"/>
    <w:tmpl w:val="9D9A9330"/>
    <w:lvl w:ilvl="0" w:tplc="4622093E">
      <w:start w:val="1"/>
      <w:numFmt w:val="bullet"/>
      <w:lvlText w:val="o"/>
      <w:lvlJc w:val="left"/>
      <w:pPr>
        <w:tabs>
          <w:tab w:val="num" w:pos="720"/>
        </w:tabs>
        <w:ind w:left="720" w:hanging="360"/>
      </w:pPr>
      <w:rPr>
        <w:rFonts w:ascii="Courier New" w:hAnsi="Courier New" w:hint="default"/>
      </w:rPr>
    </w:lvl>
    <w:lvl w:ilvl="1" w:tplc="E9FE4A40">
      <w:start w:val="1251"/>
      <w:numFmt w:val="bullet"/>
      <w:lvlText w:val="o"/>
      <w:lvlJc w:val="left"/>
      <w:pPr>
        <w:tabs>
          <w:tab w:val="num" w:pos="1440"/>
        </w:tabs>
        <w:ind w:left="1440" w:hanging="360"/>
      </w:pPr>
      <w:rPr>
        <w:rFonts w:ascii="Courier New" w:hAnsi="Courier New" w:hint="default"/>
      </w:rPr>
    </w:lvl>
    <w:lvl w:ilvl="2" w:tplc="F032642C" w:tentative="1">
      <w:start w:val="1"/>
      <w:numFmt w:val="bullet"/>
      <w:lvlText w:val="o"/>
      <w:lvlJc w:val="left"/>
      <w:pPr>
        <w:tabs>
          <w:tab w:val="num" w:pos="2160"/>
        </w:tabs>
        <w:ind w:left="2160" w:hanging="360"/>
      </w:pPr>
      <w:rPr>
        <w:rFonts w:ascii="Courier New" w:hAnsi="Courier New" w:hint="default"/>
      </w:rPr>
    </w:lvl>
    <w:lvl w:ilvl="3" w:tplc="467A3358" w:tentative="1">
      <w:start w:val="1"/>
      <w:numFmt w:val="bullet"/>
      <w:lvlText w:val="o"/>
      <w:lvlJc w:val="left"/>
      <w:pPr>
        <w:tabs>
          <w:tab w:val="num" w:pos="2880"/>
        </w:tabs>
        <w:ind w:left="2880" w:hanging="360"/>
      </w:pPr>
      <w:rPr>
        <w:rFonts w:ascii="Courier New" w:hAnsi="Courier New" w:hint="default"/>
      </w:rPr>
    </w:lvl>
    <w:lvl w:ilvl="4" w:tplc="067CFF54" w:tentative="1">
      <w:start w:val="1"/>
      <w:numFmt w:val="bullet"/>
      <w:lvlText w:val="o"/>
      <w:lvlJc w:val="left"/>
      <w:pPr>
        <w:tabs>
          <w:tab w:val="num" w:pos="3600"/>
        </w:tabs>
        <w:ind w:left="3600" w:hanging="360"/>
      </w:pPr>
      <w:rPr>
        <w:rFonts w:ascii="Courier New" w:hAnsi="Courier New" w:hint="default"/>
      </w:rPr>
    </w:lvl>
    <w:lvl w:ilvl="5" w:tplc="E75E8664" w:tentative="1">
      <w:start w:val="1"/>
      <w:numFmt w:val="bullet"/>
      <w:lvlText w:val="o"/>
      <w:lvlJc w:val="left"/>
      <w:pPr>
        <w:tabs>
          <w:tab w:val="num" w:pos="4320"/>
        </w:tabs>
        <w:ind w:left="4320" w:hanging="360"/>
      </w:pPr>
      <w:rPr>
        <w:rFonts w:ascii="Courier New" w:hAnsi="Courier New" w:hint="default"/>
      </w:rPr>
    </w:lvl>
    <w:lvl w:ilvl="6" w:tplc="493CEC84" w:tentative="1">
      <w:start w:val="1"/>
      <w:numFmt w:val="bullet"/>
      <w:lvlText w:val="o"/>
      <w:lvlJc w:val="left"/>
      <w:pPr>
        <w:tabs>
          <w:tab w:val="num" w:pos="5040"/>
        </w:tabs>
        <w:ind w:left="5040" w:hanging="360"/>
      </w:pPr>
      <w:rPr>
        <w:rFonts w:ascii="Courier New" w:hAnsi="Courier New" w:hint="default"/>
      </w:rPr>
    </w:lvl>
    <w:lvl w:ilvl="7" w:tplc="2B2C837E" w:tentative="1">
      <w:start w:val="1"/>
      <w:numFmt w:val="bullet"/>
      <w:lvlText w:val="o"/>
      <w:lvlJc w:val="left"/>
      <w:pPr>
        <w:tabs>
          <w:tab w:val="num" w:pos="5760"/>
        </w:tabs>
        <w:ind w:left="5760" w:hanging="360"/>
      </w:pPr>
      <w:rPr>
        <w:rFonts w:ascii="Courier New" w:hAnsi="Courier New" w:hint="default"/>
      </w:rPr>
    </w:lvl>
    <w:lvl w:ilvl="8" w:tplc="1C08BB92" w:tentative="1">
      <w:start w:val="1"/>
      <w:numFmt w:val="bullet"/>
      <w:lvlText w:val="o"/>
      <w:lvlJc w:val="left"/>
      <w:pPr>
        <w:tabs>
          <w:tab w:val="num" w:pos="6480"/>
        </w:tabs>
        <w:ind w:left="6480" w:hanging="360"/>
      </w:pPr>
      <w:rPr>
        <w:rFonts w:ascii="Courier New" w:hAnsi="Courier New" w:hint="default"/>
      </w:rPr>
    </w:lvl>
  </w:abstractNum>
  <w:abstractNum w:abstractNumId="54" w15:restartNumberingAfterBreak="0">
    <w:nsid w:val="6392121F"/>
    <w:multiLevelType w:val="hybridMultilevel"/>
    <w:tmpl w:val="302C8256"/>
    <w:lvl w:ilvl="0" w:tplc="A59E31DC">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65814BD9"/>
    <w:multiLevelType w:val="hybridMultilevel"/>
    <w:tmpl w:val="4A5E6682"/>
    <w:lvl w:ilvl="0" w:tplc="3808F94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6E76F63"/>
    <w:multiLevelType w:val="hybridMultilevel"/>
    <w:tmpl w:val="43C8DB2A"/>
    <w:lvl w:ilvl="0" w:tplc="ED14CB84">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6EA75C28"/>
    <w:multiLevelType w:val="hybridMultilevel"/>
    <w:tmpl w:val="10E468FC"/>
    <w:lvl w:ilvl="0" w:tplc="74569016">
      <w:start w:val="1"/>
      <w:numFmt w:val="upperLetter"/>
      <w:lvlText w:val="%1."/>
      <w:lvlJc w:val="left"/>
      <w:pPr>
        <w:ind w:left="720" w:hanging="360"/>
      </w:pPr>
      <w:rPr>
        <w:rFonts w:ascii="Times New Roman" w:eastAsia="Times New Roman" w:hAnsi="Times New Roman" w:cs="Times New Roman"/>
      </w:rPr>
    </w:lvl>
    <w:lvl w:ilvl="1" w:tplc="10090019">
      <w:start w:val="1"/>
      <w:numFmt w:val="lowerLetter"/>
      <w:lvlText w:val="%2."/>
      <w:lvlJc w:val="left"/>
      <w:pPr>
        <w:ind w:left="1440" w:hanging="360"/>
      </w:pPr>
    </w:lvl>
    <w:lvl w:ilvl="2" w:tplc="7A268CD0">
      <w:start w:val="1"/>
      <w:numFmt w:val="lowerRoman"/>
      <w:lvlText w:val="%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FEA22B3"/>
    <w:multiLevelType w:val="hybridMultilevel"/>
    <w:tmpl w:val="E39427FC"/>
    <w:lvl w:ilvl="0" w:tplc="9404DD7E">
      <w:start w:val="1"/>
      <w:numFmt w:val="lowerLetter"/>
      <w:lvlText w:val="(%1)"/>
      <w:lvlJc w:val="left"/>
      <w:pPr>
        <w:ind w:left="1496" w:hanging="360"/>
      </w:pPr>
      <w:rPr>
        <w:rFonts w:hint="default"/>
      </w:rPr>
    </w:lvl>
    <w:lvl w:ilvl="1" w:tplc="10090019" w:tentative="1">
      <w:start w:val="1"/>
      <w:numFmt w:val="lowerLetter"/>
      <w:lvlText w:val="%2."/>
      <w:lvlJc w:val="left"/>
      <w:pPr>
        <w:ind w:left="2216" w:hanging="360"/>
      </w:pPr>
    </w:lvl>
    <w:lvl w:ilvl="2" w:tplc="1009001B" w:tentative="1">
      <w:start w:val="1"/>
      <w:numFmt w:val="lowerRoman"/>
      <w:lvlText w:val="%3."/>
      <w:lvlJc w:val="right"/>
      <w:pPr>
        <w:ind w:left="2936" w:hanging="180"/>
      </w:pPr>
    </w:lvl>
    <w:lvl w:ilvl="3" w:tplc="1009000F" w:tentative="1">
      <w:start w:val="1"/>
      <w:numFmt w:val="decimal"/>
      <w:lvlText w:val="%4."/>
      <w:lvlJc w:val="left"/>
      <w:pPr>
        <w:ind w:left="3656" w:hanging="360"/>
      </w:pPr>
    </w:lvl>
    <w:lvl w:ilvl="4" w:tplc="10090019" w:tentative="1">
      <w:start w:val="1"/>
      <w:numFmt w:val="lowerLetter"/>
      <w:lvlText w:val="%5."/>
      <w:lvlJc w:val="left"/>
      <w:pPr>
        <w:ind w:left="4376" w:hanging="360"/>
      </w:pPr>
    </w:lvl>
    <w:lvl w:ilvl="5" w:tplc="1009001B" w:tentative="1">
      <w:start w:val="1"/>
      <w:numFmt w:val="lowerRoman"/>
      <w:lvlText w:val="%6."/>
      <w:lvlJc w:val="right"/>
      <w:pPr>
        <w:ind w:left="5096" w:hanging="180"/>
      </w:pPr>
    </w:lvl>
    <w:lvl w:ilvl="6" w:tplc="1009000F" w:tentative="1">
      <w:start w:val="1"/>
      <w:numFmt w:val="decimal"/>
      <w:lvlText w:val="%7."/>
      <w:lvlJc w:val="left"/>
      <w:pPr>
        <w:ind w:left="5816" w:hanging="360"/>
      </w:pPr>
    </w:lvl>
    <w:lvl w:ilvl="7" w:tplc="10090019" w:tentative="1">
      <w:start w:val="1"/>
      <w:numFmt w:val="lowerLetter"/>
      <w:lvlText w:val="%8."/>
      <w:lvlJc w:val="left"/>
      <w:pPr>
        <w:ind w:left="6536" w:hanging="360"/>
      </w:pPr>
    </w:lvl>
    <w:lvl w:ilvl="8" w:tplc="1009001B" w:tentative="1">
      <w:start w:val="1"/>
      <w:numFmt w:val="lowerRoman"/>
      <w:lvlText w:val="%9."/>
      <w:lvlJc w:val="right"/>
      <w:pPr>
        <w:ind w:left="7256" w:hanging="180"/>
      </w:pPr>
    </w:lvl>
  </w:abstractNum>
  <w:abstractNum w:abstractNumId="60" w15:restartNumberingAfterBreak="0">
    <w:nsid w:val="71470EA0"/>
    <w:multiLevelType w:val="hybridMultilevel"/>
    <w:tmpl w:val="DCAC67DA"/>
    <w:lvl w:ilvl="0" w:tplc="74569016">
      <w:start w:val="1"/>
      <w:numFmt w:val="upperLetter"/>
      <w:lvlText w:val="%1."/>
      <w:lvlJc w:val="left"/>
      <w:pPr>
        <w:ind w:left="720" w:hanging="360"/>
      </w:pPr>
      <w:rPr>
        <w:rFonts w:ascii="Times New Roman" w:eastAsia="Times New Roman" w:hAnsi="Times New Roman" w:cs="Times New Roman"/>
      </w:rPr>
    </w:lvl>
    <w:lvl w:ilvl="1" w:tplc="37D076FE">
      <w:start w:val="1"/>
      <w:numFmt w:val="lowerLetter"/>
      <w:lvlText w:val="%2)"/>
      <w:lvlJc w:val="left"/>
      <w:pPr>
        <w:ind w:left="1440" w:hanging="360"/>
      </w:pPr>
      <w:rPr>
        <w:rFonts w:ascii="Times New Roman" w:hAnsi="Times New Roman" w:cs="Courier" w:hint="default"/>
        <w:b w:val="0"/>
        <w:i w:val="0"/>
        <w:sz w:val="22"/>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730A2A3B"/>
    <w:multiLevelType w:val="hybridMultilevel"/>
    <w:tmpl w:val="541C3456"/>
    <w:lvl w:ilvl="0" w:tplc="AC5CB2AC">
      <w:start w:val="1"/>
      <w:numFmt w:val="decimal"/>
      <w:lvlText w:val="%1."/>
      <w:lvlJc w:val="left"/>
      <w:pPr>
        <w:tabs>
          <w:tab w:val="num" w:pos="576"/>
        </w:tabs>
        <w:ind w:left="576" w:hanging="576"/>
      </w:pPr>
      <w:rPr>
        <w:rFonts w:hint="default"/>
      </w:rPr>
    </w:lvl>
    <w:lvl w:ilvl="1" w:tplc="E7C89700">
      <w:start w:val="1"/>
      <w:numFmt w:val="lowerLetter"/>
      <w:lvlText w:val="(%2)"/>
      <w:lvlJc w:val="left"/>
      <w:pPr>
        <w:tabs>
          <w:tab w:val="num" w:pos="1287"/>
        </w:tabs>
        <w:ind w:left="0" w:firstLine="567"/>
      </w:pPr>
      <w:rPr>
        <w:rFonts w:hint="default"/>
      </w:rPr>
    </w:lvl>
    <w:lvl w:ilvl="2" w:tplc="EC168E4E">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5853473"/>
    <w:multiLevelType w:val="hybridMultilevel"/>
    <w:tmpl w:val="B3DCB6A6"/>
    <w:lvl w:ilvl="0" w:tplc="74569016">
      <w:start w:val="1"/>
      <w:numFmt w:val="upperLetter"/>
      <w:lvlText w:val="%1."/>
      <w:lvlJc w:val="left"/>
      <w:pPr>
        <w:ind w:left="720" w:hanging="360"/>
      </w:pPr>
      <w:rPr>
        <w:rFonts w:ascii="Times New Roman" w:eastAsia="Times New Roman" w:hAnsi="Times New Roman" w:cs="Times New Roman"/>
      </w:rPr>
    </w:lvl>
    <w:lvl w:ilvl="1" w:tplc="10090019">
      <w:start w:val="1"/>
      <w:numFmt w:val="lowerLetter"/>
      <w:lvlText w:val="%2."/>
      <w:lvlJc w:val="left"/>
      <w:pPr>
        <w:ind w:left="1440" w:hanging="360"/>
      </w:pPr>
    </w:lvl>
    <w:lvl w:ilvl="2" w:tplc="7A268CD0">
      <w:start w:val="1"/>
      <w:numFmt w:val="lowerRoman"/>
      <w:lvlText w:val="%3)"/>
      <w:lvlJc w:val="righ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7CA7539A"/>
    <w:multiLevelType w:val="hybridMultilevel"/>
    <w:tmpl w:val="15CA26F8"/>
    <w:lvl w:ilvl="0" w:tplc="3A22BB3E">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7E1965CD"/>
    <w:multiLevelType w:val="multilevel"/>
    <w:tmpl w:val="5D8E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3B6087"/>
    <w:multiLevelType w:val="hybridMultilevel"/>
    <w:tmpl w:val="5A58367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EC637CE"/>
    <w:multiLevelType w:val="hybridMultilevel"/>
    <w:tmpl w:val="E28240F6"/>
    <w:lvl w:ilvl="0" w:tplc="E90E797A">
      <w:start w:val="18"/>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20"/>
  </w:num>
  <w:num w:numId="3">
    <w:abstractNumId w:val="18"/>
  </w:num>
  <w:num w:numId="4">
    <w:abstractNumId w:val="61"/>
  </w:num>
  <w:num w:numId="5">
    <w:abstractNumId w:val="21"/>
  </w:num>
  <w:num w:numId="6">
    <w:abstractNumId w:val="42"/>
  </w:num>
  <w:num w:numId="7">
    <w:abstractNumId w:val="36"/>
  </w:num>
  <w:num w:numId="8">
    <w:abstractNumId w:val="27"/>
  </w:num>
  <w:num w:numId="9">
    <w:abstractNumId w:val="42"/>
  </w:num>
  <w:num w:numId="10">
    <w:abstractNumId w:val="40"/>
  </w:num>
  <w:num w:numId="11">
    <w:abstractNumId w:val="28"/>
  </w:num>
  <w:num w:numId="12">
    <w:abstractNumId w:val="10"/>
  </w:num>
  <w:num w:numId="13">
    <w:abstractNumId w:val="39"/>
  </w:num>
  <w:num w:numId="14">
    <w:abstractNumId w:val="2"/>
  </w:num>
  <w:num w:numId="15">
    <w:abstractNumId w:val="66"/>
  </w:num>
  <w:num w:numId="16">
    <w:abstractNumId w:val="46"/>
  </w:num>
  <w:num w:numId="17">
    <w:abstractNumId w:val="9"/>
  </w:num>
  <w:num w:numId="18">
    <w:abstractNumId w:val="42"/>
    <w:lvlOverride w:ilvl="0">
      <w:startOverride w:val="1"/>
    </w:lvlOverride>
    <w:lvlOverride w:ilvl="1">
      <w:startOverride w:val="1"/>
    </w:lvlOverride>
    <w:lvlOverride w:ilvl="2">
      <w:startOverride w:val="2"/>
    </w:lvlOverride>
  </w:num>
  <w:num w:numId="19">
    <w:abstractNumId w:val="42"/>
    <w:lvlOverride w:ilvl="0">
      <w:startOverride w:val="1"/>
    </w:lvlOverride>
    <w:lvlOverride w:ilvl="1">
      <w:startOverride w:val="1"/>
    </w:lvlOverride>
    <w:lvlOverride w:ilvl="2">
      <w:startOverride w:val="3"/>
    </w:lvlOverride>
  </w:num>
  <w:num w:numId="20">
    <w:abstractNumId w:val="6"/>
  </w:num>
  <w:num w:numId="21">
    <w:abstractNumId w:val="47"/>
  </w:num>
  <w:num w:numId="22">
    <w:abstractNumId w:val="45"/>
  </w:num>
  <w:num w:numId="23">
    <w:abstractNumId w:val="13"/>
  </w:num>
  <w:num w:numId="24">
    <w:abstractNumId w:val="51"/>
  </w:num>
  <w:num w:numId="25">
    <w:abstractNumId w:val="55"/>
  </w:num>
  <w:num w:numId="26">
    <w:abstractNumId w:val="37"/>
  </w:num>
  <w:num w:numId="27">
    <w:abstractNumId w:val="42"/>
  </w:num>
  <w:num w:numId="28">
    <w:abstractNumId w:val="42"/>
  </w:num>
  <w:num w:numId="29">
    <w:abstractNumId w:val="42"/>
  </w:num>
  <w:num w:numId="30">
    <w:abstractNumId w:val="42"/>
  </w:num>
  <w:num w:numId="31">
    <w:abstractNumId w:val="3"/>
  </w:num>
  <w:num w:numId="32">
    <w:abstractNumId w:val="4"/>
  </w:num>
  <w:num w:numId="33">
    <w:abstractNumId w:val="5"/>
  </w:num>
  <w:num w:numId="34">
    <w:abstractNumId w:val="0"/>
  </w:num>
  <w:num w:numId="35">
    <w:abstractNumId w:val="48"/>
  </w:num>
  <w:num w:numId="36">
    <w:abstractNumId w:val="4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3"/>
  </w:num>
  <w:num w:numId="39">
    <w:abstractNumId w:val="42"/>
  </w:num>
  <w:num w:numId="40">
    <w:abstractNumId w:val="42"/>
  </w:num>
  <w:num w:numId="41">
    <w:abstractNumId w:val="42"/>
  </w:num>
  <w:num w:numId="42">
    <w:abstractNumId w:val="42"/>
  </w:num>
  <w:num w:numId="43">
    <w:abstractNumId w:val="42"/>
  </w:num>
  <w:num w:numId="44">
    <w:abstractNumId w:val="1"/>
  </w:num>
  <w:num w:numId="45">
    <w:abstractNumId w:val="14"/>
  </w:num>
  <w:num w:numId="46">
    <w:abstractNumId w:val="32"/>
  </w:num>
  <w:num w:numId="47">
    <w:abstractNumId w:val="8"/>
  </w:num>
  <w:num w:numId="48">
    <w:abstractNumId w:val="53"/>
  </w:num>
  <w:num w:numId="49">
    <w:abstractNumId w:val="34"/>
  </w:num>
  <w:num w:numId="50">
    <w:abstractNumId w:val="41"/>
  </w:num>
  <w:num w:numId="51">
    <w:abstractNumId w:val="22"/>
  </w:num>
  <w:num w:numId="52">
    <w:abstractNumId w:val="44"/>
  </w:num>
  <w:num w:numId="53">
    <w:abstractNumId w:val="42"/>
  </w:num>
  <w:num w:numId="54">
    <w:abstractNumId w:val="42"/>
  </w:num>
  <w:num w:numId="55">
    <w:abstractNumId w:val="42"/>
  </w:num>
  <w:num w:numId="56">
    <w:abstractNumId w:val="42"/>
  </w:num>
  <w:num w:numId="57">
    <w:abstractNumId w:val="42"/>
  </w:num>
  <w:num w:numId="58">
    <w:abstractNumId w:val="42"/>
  </w:num>
  <w:num w:numId="59">
    <w:abstractNumId w:val="42"/>
  </w:num>
  <w:num w:numId="60">
    <w:abstractNumId w:val="42"/>
  </w:num>
  <w:num w:numId="61">
    <w:abstractNumId w:val="42"/>
  </w:num>
  <w:num w:numId="62">
    <w:abstractNumId w:val="42"/>
  </w:num>
  <w:num w:numId="63">
    <w:abstractNumId w:val="42"/>
  </w:num>
  <w:num w:numId="64">
    <w:abstractNumId w:val="42"/>
  </w:num>
  <w:num w:numId="65">
    <w:abstractNumId w:val="42"/>
  </w:num>
  <w:num w:numId="66">
    <w:abstractNumId w:val="42"/>
  </w:num>
  <w:num w:numId="67">
    <w:abstractNumId w:val="54"/>
  </w:num>
  <w:num w:numId="68">
    <w:abstractNumId w:val="43"/>
  </w:num>
  <w:num w:numId="69">
    <w:abstractNumId w:val="49"/>
  </w:num>
  <w:num w:numId="70">
    <w:abstractNumId w:val="31"/>
  </w:num>
  <w:num w:numId="71">
    <w:abstractNumId w:val="23"/>
  </w:num>
  <w:num w:numId="72">
    <w:abstractNumId w:val="65"/>
  </w:num>
  <w:num w:numId="73">
    <w:abstractNumId w:val="30"/>
  </w:num>
  <w:num w:numId="74">
    <w:abstractNumId w:val="33"/>
  </w:num>
  <w:num w:numId="75">
    <w:abstractNumId w:val="25"/>
  </w:num>
  <w:num w:numId="76">
    <w:abstractNumId w:val="17"/>
  </w:num>
  <w:num w:numId="77">
    <w:abstractNumId w:val="59"/>
  </w:num>
  <w:num w:numId="78">
    <w:abstractNumId w:val="24"/>
  </w:num>
  <w:num w:numId="79">
    <w:abstractNumId w:val="64"/>
  </w:num>
  <w:num w:numId="80">
    <w:abstractNumId w:val="56"/>
  </w:num>
  <w:num w:numId="81">
    <w:abstractNumId w:val="38"/>
  </w:num>
  <w:num w:numId="82">
    <w:abstractNumId w:val="36"/>
  </w:num>
  <w:num w:numId="83">
    <w:abstractNumId w:val="36"/>
    <w:lvlOverride w:ilvl="0">
      <w:startOverride w:val="1"/>
    </w:lvlOverride>
  </w:num>
  <w:num w:numId="84">
    <w:abstractNumId w:val="36"/>
    <w:lvlOverride w:ilvl="0">
      <w:startOverride w:val="1"/>
    </w:lvlOverride>
  </w:num>
  <w:num w:numId="85">
    <w:abstractNumId w:val="36"/>
    <w:lvlOverride w:ilvl="0">
      <w:startOverride w:val="1"/>
    </w:lvlOverride>
  </w:num>
  <w:num w:numId="86">
    <w:abstractNumId w:val="35"/>
  </w:num>
  <w:num w:numId="87">
    <w:abstractNumId w:val="29"/>
  </w:num>
  <w:num w:numId="88">
    <w:abstractNumId w:val="62"/>
  </w:num>
  <w:num w:numId="89">
    <w:abstractNumId w:val="52"/>
  </w:num>
  <w:num w:numId="90">
    <w:abstractNumId w:val="7"/>
  </w:num>
  <w:num w:numId="91">
    <w:abstractNumId w:val="50"/>
  </w:num>
  <w:num w:numId="92">
    <w:abstractNumId w:val="15"/>
  </w:num>
  <w:num w:numId="93">
    <w:abstractNumId w:val="26"/>
  </w:num>
  <w:num w:numId="94">
    <w:abstractNumId w:val="36"/>
    <w:lvlOverride w:ilvl="0">
      <w:startOverride w:val="1"/>
    </w:lvlOverride>
  </w:num>
  <w:num w:numId="95">
    <w:abstractNumId w:val="16"/>
  </w:num>
  <w:num w:numId="96">
    <w:abstractNumId w:val="60"/>
  </w:num>
  <w:num w:numId="97">
    <w:abstractNumId w:val="11"/>
  </w:num>
  <w:num w:numId="98">
    <w:abstractNumId w:val="12"/>
  </w:num>
  <w:num w:numId="99">
    <w:abstractNumId w:val="57"/>
  </w:num>
  <w:num w:numId="100">
    <w:abstractNumId w:val="42"/>
  </w:num>
  <w:num w:numId="101">
    <w:abstractNumId w:val="42"/>
  </w:num>
  <w:num w:numId="102">
    <w:abstractNumId w:val="42"/>
  </w:num>
  <w:num w:numId="103">
    <w:abstractNumId w:val="42"/>
  </w:num>
  <w:num w:numId="104">
    <w:abstractNumId w:val="42"/>
  </w:num>
  <w:num w:numId="105">
    <w:abstractNumId w:val="42"/>
  </w:num>
  <w:num w:numId="106">
    <w:abstractNumId w:val="58"/>
  </w:num>
  <w:num w:numId="107">
    <w:abstractNumId w:val="21"/>
  </w:num>
  <w:num w:numId="108">
    <w:abstractNumId w:val="42"/>
  </w:num>
  <w:num w:numId="109">
    <w:abstractNumId w:val="40"/>
  </w:num>
  <w:num w:numId="110">
    <w:abstractNumId w:val="42"/>
  </w:num>
  <w:num w:numId="111">
    <w:abstractNumId w:val="42"/>
  </w:num>
  <w:num w:numId="112">
    <w:abstractNumId w:val="42"/>
  </w:num>
  <w:num w:numId="113">
    <w:abstractNumId w:val="42"/>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06B4"/>
    <w:rsid w:val="00004CE9"/>
    <w:rsid w:val="0001208E"/>
    <w:rsid w:val="000131A7"/>
    <w:rsid w:val="00015524"/>
    <w:rsid w:val="00017740"/>
    <w:rsid w:val="000219AC"/>
    <w:rsid w:val="00021F63"/>
    <w:rsid w:val="00024F6D"/>
    <w:rsid w:val="00025C80"/>
    <w:rsid w:val="00026B90"/>
    <w:rsid w:val="00031D24"/>
    <w:rsid w:val="00035843"/>
    <w:rsid w:val="0003737D"/>
    <w:rsid w:val="00037873"/>
    <w:rsid w:val="0004033C"/>
    <w:rsid w:val="00041182"/>
    <w:rsid w:val="00043BFA"/>
    <w:rsid w:val="00053D11"/>
    <w:rsid w:val="00054381"/>
    <w:rsid w:val="000571A9"/>
    <w:rsid w:val="0005764B"/>
    <w:rsid w:val="00060B3E"/>
    <w:rsid w:val="00063942"/>
    <w:rsid w:val="00064908"/>
    <w:rsid w:val="00064FEE"/>
    <w:rsid w:val="000665EB"/>
    <w:rsid w:val="00070293"/>
    <w:rsid w:val="000711E1"/>
    <w:rsid w:val="00073708"/>
    <w:rsid w:val="00080AC2"/>
    <w:rsid w:val="00087638"/>
    <w:rsid w:val="0009347E"/>
    <w:rsid w:val="00093A7A"/>
    <w:rsid w:val="00096F6A"/>
    <w:rsid w:val="00097294"/>
    <w:rsid w:val="00097886"/>
    <w:rsid w:val="00097C8D"/>
    <w:rsid w:val="000A02BA"/>
    <w:rsid w:val="000A11E3"/>
    <w:rsid w:val="000A6775"/>
    <w:rsid w:val="000B02D3"/>
    <w:rsid w:val="000B043B"/>
    <w:rsid w:val="000B0903"/>
    <w:rsid w:val="000B25ED"/>
    <w:rsid w:val="000C1D95"/>
    <w:rsid w:val="000C774D"/>
    <w:rsid w:val="000D36EF"/>
    <w:rsid w:val="000D5904"/>
    <w:rsid w:val="000D6EDB"/>
    <w:rsid w:val="000D7AF1"/>
    <w:rsid w:val="000E0FB7"/>
    <w:rsid w:val="000E2935"/>
    <w:rsid w:val="000E637D"/>
    <w:rsid w:val="000E7E6A"/>
    <w:rsid w:val="000F04B8"/>
    <w:rsid w:val="000F0A86"/>
    <w:rsid w:val="000F1BBC"/>
    <w:rsid w:val="000F1D56"/>
    <w:rsid w:val="000F2B9E"/>
    <w:rsid w:val="000F45AE"/>
    <w:rsid w:val="000F4DE0"/>
    <w:rsid w:val="000F5FF5"/>
    <w:rsid w:val="000F63AB"/>
    <w:rsid w:val="000F721C"/>
    <w:rsid w:val="000F74B8"/>
    <w:rsid w:val="00100DDF"/>
    <w:rsid w:val="00102A00"/>
    <w:rsid w:val="00102EB6"/>
    <w:rsid w:val="001118F0"/>
    <w:rsid w:val="001178FF"/>
    <w:rsid w:val="0012214B"/>
    <w:rsid w:val="001222C2"/>
    <w:rsid w:val="00123A71"/>
    <w:rsid w:val="0013586A"/>
    <w:rsid w:val="00137FA7"/>
    <w:rsid w:val="00140142"/>
    <w:rsid w:val="00141789"/>
    <w:rsid w:val="0014265C"/>
    <w:rsid w:val="00143C15"/>
    <w:rsid w:val="0014571A"/>
    <w:rsid w:val="00145961"/>
    <w:rsid w:val="00145994"/>
    <w:rsid w:val="0014668F"/>
    <w:rsid w:val="00146CBA"/>
    <w:rsid w:val="0015182F"/>
    <w:rsid w:val="001534C7"/>
    <w:rsid w:val="001573DA"/>
    <w:rsid w:val="001615C3"/>
    <w:rsid w:val="00162574"/>
    <w:rsid w:val="00164834"/>
    <w:rsid w:val="001651D3"/>
    <w:rsid w:val="00166367"/>
    <w:rsid w:val="00172AE2"/>
    <w:rsid w:val="00173A00"/>
    <w:rsid w:val="001742CA"/>
    <w:rsid w:val="00174952"/>
    <w:rsid w:val="00174B15"/>
    <w:rsid w:val="0017589E"/>
    <w:rsid w:val="00176766"/>
    <w:rsid w:val="001774F8"/>
    <w:rsid w:val="0018288F"/>
    <w:rsid w:val="0018471E"/>
    <w:rsid w:val="0019213D"/>
    <w:rsid w:val="00192E06"/>
    <w:rsid w:val="00195754"/>
    <w:rsid w:val="001A1540"/>
    <w:rsid w:val="001A5072"/>
    <w:rsid w:val="001A6231"/>
    <w:rsid w:val="001C0A08"/>
    <w:rsid w:val="001C1EAB"/>
    <w:rsid w:val="001C7000"/>
    <w:rsid w:val="001D13C5"/>
    <w:rsid w:val="001D2EA4"/>
    <w:rsid w:val="001D325E"/>
    <w:rsid w:val="001D3EA4"/>
    <w:rsid w:val="001D6A17"/>
    <w:rsid w:val="001D7354"/>
    <w:rsid w:val="001E2016"/>
    <w:rsid w:val="001E51A6"/>
    <w:rsid w:val="001F3732"/>
    <w:rsid w:val="001F6379"/>
    <w:rsid w:val="001F777C"/>
    <w:rsid w:val="00202645"/>
    <w:rsid w:val="002032C9"/>
    <w:rsid w:val="00204415"/>
    <w:rsid w:val="00204CAE"/>
    <w:rsid w:val="00205EC7"/>
    <w:rsid w:val="00207283"/>
    <w:rsid w:val="00207A6E"/>
    <w:rsid w:val="00210A35"/>
    <w:rsid w:val="00210C3F"/>
    <w:rsid w:val="00211412"/>
    <w:rsid w:val="002138DE"/>
    <w:rsid w:val="002209DA"/>
    <w:rsid w:val="002249FA"/>
    <w:rsid w:val="00224B92"/>
    <w:rsid w:val="00225964"/>
    <w:rsid w:val="00226E79"/>
    <w:rsid w:val="002275BE"/>
    <w:rsid w:val="00227883"/>
    <w:rsid w:val="0023147C"/>
    <w:rsid w:val="00232A3E"/>
    <w:rsid w:val="0023421A"/>
    <w:rsid w:val="002357E1"/>
    <w:rsid w:val="00235925"/>
    <w:rsid w:val="0024158B"/>
    <w:rsid w:val="002425F2"/>
    <w:rsid w:val="002426E6"/>
    <w:rsid w:val="002430F2"/>
    <w:rsid w:val="00244379"/>
    <w:rsid w:val="00246851"/>
    <w:rsid w:val="002471A2"/>
    <w:rsid w:val="00251B13"/>
    <w:rsid w:val="00252222"/>
    <w:rsid w:val="00252897"/>
    <w:rsid w:val="002539CA"/>
    <w:rsid w:val="00253E57"/>
    <w:rsid w:val="00255C8C"/>
    <w:rsid w:val="002606C4"/>
    <w:rsid w:val="00261B77"/>
    <w:rsid w:val="002678CF"/>
    <w:rsid w:val="00271735"/>
    <w:rsid w:val="00272162"/>
    <w:rsid w:val="00274A19"/>
    <w:rsid w:val="00276305"/>
    <w:rsid w:val="002769BD"/>
    <w:rsid w:val="00276B16"/>
    <w:rsid w:val="00281E2B"/>
    <w:rsid w:val="00284EC2"/>
    <w:rsid w:val="0028518D"/>
    <w:rsid w:val="002854B0"/>
    <w:rsid w:val="00286E5E"/>
    <w:rsid w:val="00287B63"/>
    <w:rsid w:val="002909DC"/>
    <w:rsid w:val="00293B48"/>
    <w:rsid w:val="0029692B"/>
    <w:rsid w:val="00296A11"/>
    <w:rsid w:val="00297603"/>
    <w:rsid w:val="002A3738"/>
    <w:rsid w:val="002A6350"/>
    <w:rsid w:val="002A7272"/>
    <w:rsid w:val="002A7320"/>
    <w:rsid w:val="002B01AC"/>
    <w:rsid w:val="002B0942"/>
    <w:rsid w:val="002B32F6"/>
    <w:rsid w:val="002B6132"/>
    <w:rsid w:val="002B6841"/>
    <w:rsid w:val="002C0456"/>
    <w:rsid w:val="002C453A"/>
    <w:rsid w:val="002C4BDB"/>
    <w:rsid w:val="002C5517"/>
    <w:rsid w:val="002C714E"/>
    <w:rsid w:val="002D3454"/>
    <w:rsid w:val="002D40D5"/>
    <w:rsid w:val="002E0627"/>
    <w:rsid w:val="002E391B"/>
    <w:rsid w:val="002E7DA0"/>
    <w:rsid w:val="002F1185"/>
    <w:rsid w:val="002F2D03"/>
    <w:rsid w:val="002F477A"/>
    <w:rsid w:val="002F4877"/>
    <w:rsid w:val="00300370"/>
    <w:rsid w:val="00304B04"/>
    <w:rsid w:val="00310145"/>
    <w:rsid w:val="00310E29"/>
    <w:rsid w:val="0031732A"/>
    <w:rsid w:val="003210FF"/>
    <w:rsid w:val="00321C05"/>
    <w:rsid w:val="00321FB7"/>
    <w:rsid w:val="00322338"/>
    <w:rsid w:val="00322A35"/>
    <w:rsid w:val="00324BE1"/>
    <w:rsid w:val="00325DE3"/>
    <w:rsid w:val="00332BBE"/>
    <w:rsid w:val="0033457D"/>
    <w:rsid w:val="00336766"/>
    <w:rsid w:val="003408B8"/>
    <w:rsid w:val="003409FD"/>
    <w:rsid w:val="003435BB"/>
    <w:rsid w:val="00344BD6"/>
    <w:rsid w:val="00344D97"/>
    <w:rsid w:val="00345951"/>
    <w:rsid w:val="00347AD4"/>
    <w:rsid w:val="003508A8"/>
    <w:rsid w:val="003567FB"/>
    <w:rsid w:val="0035747D"/>
    <w:rsid w:val="00364B85"/>
    <w:rsid w:val="00367F81"/>
    <w:rsid w:val="003707E4"/>
    <w:rsid w:val="003848FA"/>
    <w:rsid w:val="00385457"/>
    <w:rsid w:val="00387330"/>
    <w:rsid w:val="003919A2"/>
    <w:rsid w:val="00396302"/>
    <w:rsid w:val="003965F5"/>
    <w:rsid w:val="003A0829"/>
    <w:rsid w:val="003A1C62"/>
    <w:rsid w:val="003B10B9"/>
    <w:rsid w:val="003B24CB"/>
    <w:rsid w:val="003B5E05"/>
    <w:rsid w:val="003B7067"/>
    <w:rsid w:val="003C113F"/>
    <w:rsid w:val="003C1759"/>
    <w:rsid w:val="003C57B0"/>
    <w:rsid w:val="003C592F"/>
    <w:rsid w:val="003C73EB"/>
    <w:rsid w:val="003C776A"/>
    <w:rsid w:val="003D000B"/>
    <w:rsid w:val="003D35B9"/>
    <w:rsid w:val="003D36E3"/>
    <w:rsid w:val="003D44CC"/>
    <w:rsid w:val="003D4579"/>
    <w:rsid w:val="003D4F39"/>
    <w:rsid w:val="003D5B5F"/>
    <w:rsid w:val="003D701A"/>
    <w:rsid w:val="003D7C4E"/>
    <w:rsid w:val="003E09DF"/>
    <w:rsid w:val="003E0FAD"/>
    <w:rsid w:val="003E2DAE"/>
    <w:rsid w:val="003F0D2A"/>
    <w:rsid w:val="003F2ABF"/>
    <w:rsid w:val="003F3A52"/>
    <w:rsid w:val="003F69BB"/>
    <w:rsid w:val="003F6E44"/>
    <w:rsid w:val="003F7818"/>
    <w:rsid w:val="004004F3"/>
    <w:rsid w:val="004022D6"/>
    <w:rsid w:val="00402E92"/>
    <w:rsid w:val="00404AFC"/>
    <w:rsid w:val="004054AA"/>
    <w:rsid w:val="00406BC6"/>
    <w:rsid w:val="00412F38"/>
    <w:rsid w:val="0041449D"/>
    <w:rsid w:val="00415743"/>
    <w:rsid w:val="00422E27"/>
    <w:rsid w:val="004257AF"/>
    <w:rsid w:val="00432012"/>
    <w:rsid w:val="00434AF7"/>
    <w:rsid w:val="00436A82"/>
    <w:rsid w:val="004410D9"/>
    <w:rsid w:val="00442194"/>
    <w:rsid w:val="0044247D"/>
    <w:rsid w:val="00442A09"/>
    <w:rsid w:val="00442A25"/>
    <w:rsid w:val="00442A9E"/>
    <w:rsid w:val="00443664"/>
    <w:rsid w:val="0044424E"/>
    <w:rsid w:val="00444811"/>
    <w:rsid w:val="004452CA"/>
    <w:rsid w:val="004471B6"/>
    <w:rsid w:val="00450F14"/>
    <w:rsid w:val="00453B5B"/>
    <w:rsid w:val="004546C2"/>
    <w:rsid w:val="00454A0E"/>
    <w:rsid w:val="00455EF8"/>
    <w:rsid w:val="0045655E"/>
    <w:rsid w:val="004565D6"/>
    <w:rsid w:val="00457789"/>
    <w:rsid w:val="00463AB5"/>
    <w:rsid w:val="00465BD7"/>
    <w:rsid w:val="004669B4"/>
    <w:rsid w:val="00470F82"/>
    <w:rsid w:val="0047165E"/>
    <w:rsid w:val="00471AFC"/>
    <w:rsid w:val="00481071"/>
    <w:rsid w:val="00483212"/>
    <w:rsid w:val="00485943"/>
    <w:rsid w:val="00485A18"/>
    <w:rsid w:val="00490089"/>
    <w:rsid w:val="00492135"/>
    <w:rsid w:val="00493619"/>
    <w:rsid w:val="00493D8F"/>
    <w:rsid w:val="00493F36"/>
    <w:rsid w:val="0049694E"/>
    <w:rsid w:val="00497F55"/>
    <w:rsid w:val="004A2EFC"/>
    <w:rsid w:val="004B196C"/>
    <w:rsid w:val="004B597A"/>
    <w:rsid w:val="004B5D78"/>
    <w:rsid w:val="004B7C4D"/>
    <w:rsid w:val="004C069C"/>
    <w:rsid w:val="004C2235"/>
    <w:rsid w:val="004C2450"/>
    <w:rsid w:val="004C545F"/>
    <w:rsid w:val="004C5629"/>
    <w:rsid w:val="004C68AF"/>
    <w:rsid w:val="004C6A31"/>
    <w:rsid w:val="004C74CD"/>
    <w:rsid w:val="004D35A0"/>
    <w:rsid w:val="004D3922"/>
    <w:rsid w:val="004D576F"/>
    <w:rsid w:val="004D7874"/>
    <w:rsid w:val="004E1515"/>
    <w:rsid w:val="004E183C"/>
    <w:rsid w:val="004E22DB"/>
    <w:rsid w:val="004E2E0A"/>
    <w:rsid w:val="004E4118"/>
    <w:rsid w:val="004E43D7"/>
    <w:rsid w:val="004E6C9A"/>
    <w:rsid w:val="004F0575"/>
    <w:rsid w:val="004F3268"/>
    <w:rsid w:val="00500530"/>
    <w:rsid w:val="00501EA8"/>
    <w:rsid w:val="005020E1"/>
    <w:rsid w:val="005032C9"/>
    <w:rsid w:val="00504AD3"/>
    <w:rsid w:val="0051079C"/>
    <w:rsid w:val="00511923"/>
    <w:rsid w:val="00513461"/>
    <w:rsid w:val="00513A4F"/>
    <w:rsid w:val="00515E92"/>
    <w:rsid w:val="00516C26"/>
    <w:rsid w:val="00517CF5"/>
    <w:rsid w:val="00520DCC"/>
    <w:rsid w:val="0052270B"/>
    <w:rsid w:val="005313E3"/>
    <w:rsid w:val="0053178F"/>
    <w:rsid w:val="00535BD1"/>
    <w:rsid w:val="005363BC"/>
    <w:rsid w:val="005367C7"/>
    <w:rsid w:val="00540C51"/>
    <w:rsid w:val="0054398A"/>
    <w:rsid w:val="005439E1"/>
    <w:rsid w:val="005440A6"/>
    <w:rsid w:val="005466C8"/>
    <w:rsid w:val="0054769E"/>
    <w:rsid w:val="00547958"/>
    <w:rsid w:val="005508E1"/>
    <w:rsid w:val="00556120"/>
    <w:rsid w:val="00556460"/>
    <w:rsid w:val="005565DA"/>
    <w:rsid w:val="005567B2"/>
    <w:rsid w:val="00557690"/>
    <w:rsid w:val="00557C2F"/>
    <w:rsid w:val="00561879"/>
    <w:rsid w:val="00567D0F"/>
    <w:rsid w:val="005721B0"/>
    <w:rsid w:val="00574A6A"/>
    <w:rsid w:val="005758D1"/>
    <w:rsid w:val="00576737"/>
    <w:rsid w:val="00576B67"/>
    <w:rsid w:val="00576CC8"/>
    <w:rsid w:val="00577C88"/>
    <w:rsid w:val="005808AF"/>
    <w:rsid w:val="00581E71"/>
    <w:rsid w:val="005836D3"/>
    <w:rsid w:val="0058478A"/>
    <w:rsid w:val="0058580E"/>
    <w:rsid w:val="00590DBA"/>
    <w:rsid w:val="00593466"/>
    <w:rsid w:val="005955D2"/>
    <w:rsid w:val="005A4284"/>
    <w:rsid w:val="005A7499"/>
    <w:rsid w:val="005B03A4"/>
    <w:rsid w:val="005B453F"/>
    <w:rsid w:val="005B4DB8"/>
    <w:rsid w:val="005B6A66"/>
    <w:rsid w:val="005B6C84"/>
    <w:rsid w:val="005B7112"/>
    <w:rsid w:val="005C101F"/>
    <w:rsid w:val="005C1546"/>
    <w:rsid w:val="005C1D09"/>
    <w:rsid w:val="005C614C"/>
    <w:rsid w:val="005D139C"/>
    <w:rsid w:val="005D4999"/>
    <w:rsid w:val="005D646A"/>
    <w:rsid w:val="005D64DD"/>
    <w:rsid w:val="005E0D5A"/>
    <w:rsid w:val="005E25B4"/>
    <w:rsid w:val="005E37A2"/>
    <w:rsid w:val="005E5763"/>
    <w:rsid w:val="005E5B23"/>
    <w:rsid w:val="005E71E6"/>
    <w:rsid w:val="005F0B07"/>
    <w:rsid w:val="005F1854"/>
    <w:rsid w:val="005F4C74"/>
    <w:rsid w:val="005F67B3"/>
    <w:rsid w:val="0060214F"/>
    <w:rsid w:val="00603B74"/>
    <w:rsid w:val="00603FDF"/>
    <w:rsid w:val="00604749"/>
    <w:rsid w:val="00604828"/>
    <w:rsid w:val="00604A41"/>
    <w:rsid w:val="006073AB"/>
    <w:rsid w:val="00613058"/>
    <w:rsid w:val="0061370B"/>
    <w:rsid w:val="00620824"/>
    <w:rsid w:val="0062372D"/>
    <w:rsid w:val="00623928"/>
    <w:rsid w:val="00624E78"/>
    <w:rsid w:val="006260D5"/>
    <w:rsid w:val="006328D8"/>
    <w:rsid w:val="00636934"/>
    <w:rsid w:val="00643BFB"/>
    <w:rsid w:val="00644F7B"/>
    <w:rsid w:val="006462AA"/>
    <w:rsid w:val="006469E6"/>
    <w:rsid w:val="00646E55"/>
    <w:rsid w:val="006507F2"/>
    <w:rsid w:val="00650E04"/>
    <w:rsid w:val="00652DFD"/>
    <w:rsid w:val="00655FCA"/>
    <w:rsid w:val="006619EE"/>
    <w:rsid w:val="00661D62"/>
    <w:rsid w:val="006646D9"/>
    <w:rsid w:val="00673576"/>
    <w:rsid w:val="00673738"/>
    <w:rsid w:val="00675725"/>
    <w:rsid w:val="00680041"/>
    <w:rsid w:val="0068005F"/>
    <w:rsid w:val="006839A9"/>
    <w:rsid w:val="00686437"/>
    <w:rsid w:val="00687AF7"/>
    <w:rsid w:val="00690847"/>
    <w:rsid w:val="00690CCA"/>
    <w:rsid w:val="00693EC4"/>
    <w:rsid w:val="00697933"/>
    <w:rsid w:val="006A0A9E"/>
    <w:rsid w:val="006A58C3"/>
    <w:rsid w:val="006A6805"/>
    <w:rsid w:val="006B074E"/>
    <w:rsid w:val="006B271B"/>
    <w:rsid w:val="006B2BD5"/>
    <w:rsid w:val="006B3470"/>
    <w:rsid w:val="006B4E66"/>
    <w:rsid w:val="006B5179"/>
    <w:rsid w:val="006B5AC9"/>
    <w:rsid w:val="006B5DD9"/>
    <w:rsid w:val="006B6D3A"/>
    <w:rsid w:val="006C3063"/>
    <w:rsid w:val="006C5119"/>
    <w:rsid w:val="006C6371"/>
    <w:rsid w:val="006C7786"/>
    <w:rsid w:val="006C7E33"/>
    <w:rsid w:val="006D0E3D"/>
    <w:rsid w:val="006D4FB1"/>
    <w:rsid w:val="006E214A"/>
    <w:rsid w:val="006E2285"/>
    <w:rsid w:val="006E228C"/>
    <w:rsid w:val="006E3AE4"/>
    <w:rsid w:val="006F2032"/>
    <w:rsid w:val="006F284C"/>
    <w:rsid w:val="006F28E5"/>
    <w:rsid w:val="006F3EC0"/>
    <w:rsid w:val="006F5DBF"/>
    <w:rsid w:val="006F6A31"/>
    <w:rsid w:val="006F705F"/>
    <w:rsid w:val="006F7227"/>
    <w:rsid w:val="00702366"/>
    <w:rsid w:val="00704776"/>
    <w:rsid w:val="00710262"/>
    <w:rsid w:val="00712AF6"/>
    <w:rsid w:val="00715457"/>
    <w:rsid w:val="007163BC"/>
    <w:rsid w:val="007207FF"/>
    <w:rsid w:val="00721EB9"/>
    <w:rsid w:val="0072663B"/>
    <w:rsid w:val="00726787"/>
    <w:rsid w:val="007279CE"/>
    <w:rsid w:val="00730AE3"/>
    <w:rsid w:val="00731FC6"/>
    <w:rsid w:val="007326EE"/>
    <w:rsid w:val="007327DB"/>
    <w:rsid w:val="007334DA"/>
    <w:rsid w:val="00733851"/>
    <w:rsid w:val="00736BC2"/>
    <w:rsid w:val="007463FF"/>
    <w:rsid w:val="0074789E"/>
    <w:rsid w:val="007478FC"/>
    <w:rsid w:val="007531F4"/>
    <w:rsid w:val="007604D5"/>
    <w:rsid w:val="00760D9D"/>
    <w:rsid w:val="007716D1"/>
    <w:rsid w:val="00771F5F"/>
    <w:rsid w:val="007721B7"/>
    <w:rsid w:val="00773BBB"/>
    <w:rsid w:val="00776B5A"/>
    <w:rsid w:val="00780276"/>
    <w:rsid w:val="007802ED"/>
    <w:rsid w:val="0078220F"/>
    <w:rsid w:val="0079325E"/>
    <w:rsid w:val="00795717"/>
    <w:rsid w:val="00797CE5"/>
    <w:rsid w:val="00797F20"/>
    <w:rsid w:val="007A1943"/>
    <w:rsid w:val="007A3F5E"/>
    <w:rsid w:val="007A5B09"/>
    <w:rsid w:val="007A5D25"/>
    <w:rsid w:val="007B0B13"/>
    <w:rsid w:val="007B1587"/>
    <w:rsid w:val="007B3659"/>
    <w:rsid w:val="007B62CF"/>
    <w:rsid w:val="007C1F3D"/>
    <w:rsid w:val="007C5285"/>
    <w:rsid w:val="007C633B"/>
    <w:rsid w:val="007C7955"/>
    <w:rsid w:val="007D0504"/>
    <w:rsid w:val="007D3182"/>
    <w:rsid w:val="007D6BB0"/>
    <w:rsid w:val="007D7486"/>
    <w:rsid w:val="007E6FF3"/>
    <w:rsid w:val="007F50C7"/>
    <w:rsid w:val="007F675B"/>
    <w:rsid w:val="007F72E1"/>
    <w:rsid w:val="007F7796"/>
    <w:rsid w:val="00800C3C"/>
    <w:rsid w:val="00802BFF"/>
    <w:rsid w:val="00805A11"/>
    <w:rsid w:val="008101CD"/>
    <w:rsid w:val="00811180"/>
    <w:rsid w:val="00811D06"/>
    <w:rsid w:val="008167B9"/>
    <w:rsid w:val="00817C4B"/>
    <w:rsid w:val="00820C19"/>
    <w:rsid w:val="00820C92"/>
    <w:rsid w:val="00821250"/>
    <w:rsid w:val="00821A72"/>
    <w:rsid w:val="00824612"/>
    <w:rsid w:val="00824957"/>
    <w:rsid w:val="00825524"/>
    <w:rsid w:val="00830A88"/>
    <w:rsid w:val="008315E4"/>
    <w:rsid w:val="0083205A"/>
    <w:rsid w:val="0083211E"/>
    <w:rsid w:val="00832F2B"/>
    <w:rsid w:val="008376A3"/>
    <w:rsid w:val="0084016B"/>
    <w:rsid w:val="008405DD"/>
    <w:rsid w:val="00842365"/>
    <w:rsid w:val="00843FF1"/>
    <w:rsid w:val="00845A1D"/>
    <w:rsid w:val="0084759F"/>
    <w:rsid w:val="00850CAD"/>
    <w:rsid w:val="008511D6"/>
    <w:rsid w:val="00852CFF"/>
    <w:rsid w:val="00857244"/>
    <w:rsid w:val="00857D3B"/>
    <w:rsid w:val="008601B9"/>
    <w:rsid w:val="0086578A"/>
    <w:rsid w:val="00870C1F"/>
    <w:rsid w:val="00870D40"/>
    <w:rsid w:val="00872112"/>
    <w:rsid w:val="008729B3"/>
    <w:rsid w:val="0087327A"/>
    <w:rsid w:val="0087496B"/>
    <w:rsid w:val="00876001"/>
    <w:rsid w:val="008812AB"/>
    <w:rsid w:val="008823C2"/>
    <w:rsid w:val="008825D4"/>
    <w:rsid w:val="0088505C"/>
    <w:rsid w:val="00885804"/>
    <w:rsid w:val="008858B6"/>
    <w:rsid w:val="00891BDD"/>
    <w:rsid w:val="0089286C"/>
    <w:rsid w:val="00894F86"/>
    <w:rsid w:val="008975AB"/>
    <w:rsid w:val="008A4AD7"/>
    <w:rsid w:val="008A5C3E"/>
    <w:rsid w:val="008B259C"/>
    <w:rsid w:val="008B2810"/>
    <w:rsid w:val="008B3A93"/>
    <w:rsid w:val="008B7173"/>
    <w:rsid w:val="008C013C"/>
    <w:rsid w:val="008C03B4"/>
    <w:rsid w:val="008C15D4"/>
    <w:rsid w:val="008C1DD6"/>
    <w:rsid w:val="008C1E35"/>
    <w:rsid w:val="008C452D"/>
    <w:rsid w:val="008C64F3"/>
    <w:rsid w:val="008C79D3"/>
    <w:rsid w:val="008D1BD0"/>
    <w:rsid w:val="008D57DA"/>
    <w:rsid w:val="008D5AA2"/>
    <w:rsid w:val="008D65DB"/>
    <w:rsid w:val="008D76F5"/>
    <w:rsid w:val="008E094E"/>
    <w:rsid w:val="008E274A"/>
    <w:rsid w:val="008E3CA3"/>
    <w:rsid w:val="008E5F84"/>
    <w:rsid w:val="008E7500"/>
    <w:rsid w:val="008E78E6"/>
    <w:rsid w:val="008F112D"/>
    <w:rsid w:val="008F1A5D"/>
    <w:rsid w:val="008F32C3"/>
    <w:rsid w:val="008F35F8"/>
    <w:rsid w:val="008F40F9"/>
    <w:rsid w:val="008F772A"/>
    <w:rsid w:val="008F7F6B"/>
    <w:rsid w:val="0090057D"/>
    <w:rsid w:val="009009B4"/>
    <w:rsid w:val="00901263"/>
    <w:rsid w:val="00901DA1"/>
    <w:rsid w:val="009046A7"/>
    <w:rsid w:val="009067F8"/>
    <w:rsid w:val="009137ED"/>
    <w:rsid w:val="00913B58"/>
    <w:rsid w:val="00914434"/>
    <w:rsid w:val="009151DA"/>
    <w:rsid w:val="00915CAB"/>
    <w:rsid w:val="009168B3"/>
    <w:rsid w:val="00921651"/>
    <w:rsid w:val="009218D2"/>
    <w:rsid w:val="00922EAD"/>
    <w:rsid w:val="00925D7A"/>
    <w:rsid w:val="0092794B"/>
    <w:rsid w:val="00930CF2"/>
    <w:rsid w:val="009329E6"/>
    <w:rsid w:val="009357A5"/>
    <w:rsid w:val="00940ED4"/>
    <w:rsid w:val="009411DF"/>
    <w:rsid w:val="0094176F"/>
    <w:rsid w:val="00944772"/>
    <w:rsid w:val="00945057"/>
    <w:rsid w:val="00946649"/>
    <w:rsid w:val="00946899"/>
    <w:rsid w:val="009478BF"/>
    <w:rsid w:val="0095058F"/>
    <w:rsid w:val="009515B8"/>
    <w:rsid w:val="00952110"/>
    <w:rsid w:val="00953856"/>
    <w:rsid w:val="00954EFE"/>
    <w:rsid w:val="0095507D"/>
    <w:rsid w:val="009554D5"/>
    <w:rsid w:val="00957436"/>
    <w:rsid w:val="00960B88"/>
    <w:rsid w:val="0096541C"/>
    <w:rsid w:val="0096605A"/>
    <w:rsid w:val="0096752E"/>
    <w:rsid w:val="00971391"/>
    <w:rsid w:val="00975A50"/>
    <w:rsid w:val="00981695"/>
    <w:rsid w:val="00982981"/>
    <w:rsid w:val="00983FEA"/>
    <w:rsid w:val="0098561F"/>
    <w:rsid w:val="009876D3"/>
    <w:rsid w:val="009902DE"/>
    <w:rsid w:val="00994CC4"/>
    <w:rsid w:val="00995113"/>
    <w:rsid w:val="00995DF0"/>
    <w:rsid w:val="00996057"/>
    <w:rsid w:val="009976F7"/>
    <w:rsid w:val="00997DB5"/>
    <w:rsid w:val="009A0D8A"/>
    <w:rsid w:val="009A4234"/>
    <w:rsid w:val="009A54A9"/>
    <w:rsid w:val="009A67E6"/>
    <w:rsid w:val="009A7F79"/>
    <w:rsid w:val="009B0584"/>
    <w:rsid w:val="009B109E"/>
    <w:rsid w:val="009B17D2"/>
    <w:rsid w:val="009B2333"/>
    <w:rsid w:val="009B3BE4"/>
    <w:rsid w:val="009B4302"/>
    <w:rsid w:val="009B5E1D"/>
    <w:rsid w:val="009B60BF"/>
    <w:rsid w:val="009C0E54"/>
    <w:rsid w:val="009C1522"/>
    <w:rsid w:val="009C2469"/>
    <w:rsid w:val="009C39E7"/>
    <w:rsid w:val="009C5FCA"/>
    <w:rsid w:val="009D2F92"/>
    <w:rsid w:val="009D6CF4"/>
    <w:rsid w:val="009D7A79"/>
    <w:rsid w:val="009E00BC"/>
    <w:rsid w:val="009E02D5"/>
    <w:rsid w:val="009E065C"/>
    <w:rsid w:val="009E0963"/>
    <w:rsid w:val="009E1E16"/>
    <w:rsid w:val="009E2955"/>
    <w:rsid w:val="009E2B79"/>
    <w:rsid w:val="009E2BAB"/>
    <w:rsid w:val="009F0345"/>
    <w:rsid w:val="009F4047"/>
    <w:rsid w:val="009F5917"/>
    <w:rsid w:val="009F5CA4"/>
    <w:rsid w:val="009F6D8B"/>
    <w:rsid w:val="00A000B2"/>
    <w:rsid w:val="00A00A87"/>
    <w:rsid w:val="00A03CE5"/>
    <w:rsid w:val="00A10051"/>
    <w:rsid w:val="00A11F90"/>
    <w:rsid w:val="00A138DB"/>
    <w:rsid w:val="00A20F36"/>
    <w:rsid w:val="00A240AB"/>
    <w:rsid w:val="00A24568"/>
    <w:rsid w:val="00A26397"/>
    <w:rsid w:val="00A269D0"/>
    <w:rsid w:val="00A269D3"/>
    <w:rsid w:val="00A30DAD"/>
    <w:rsid w:val="00A338D9"/>
    <w:rsid w:val="00A33DDE"/>
    <w:rsid w:val="00A35E89"/>
    <w:rsid w:val="00A411D8"/>
    <w:rsid w:val="00A433A2"/>
    <w:rsid w:val="00A44750"/>
    <w:rsid w:val="00A4579F"/>
    <w:rsid w:val="00A468AC"/>
    <w:rsid w:val="00A46F41"/>
    <w:rsid w:val="00A51B57"/>
    <w:rsid w:val="00A522FE"/>
    <w:rsid w:val="00A57A98"/>
    <w:rsid w:val="00A628EA"/>
    <w:rsid w:val="00A645F2"/>
    <w:rsid w:val="00A65EE8"/>
    <w:rsid w:val="00A661F5"/>
    <w:rsid w:val="00A70B8D"/>
    <w:rsid w:val="00A711DF"/>
    <w:rsid w:val="00A712C6"/>
    <w:rsid w:val="00A71BB1"/>
    <w:rsid w:val="00A71C4D"/>
    <w:rsid w:val="00A7471F"/>
    <w:rsid w:val="00A74AA4"/>
    <w:rsid w:val="00A753E6"/>
    <w:rsid w:val="00A76A21"/>
    <w:rsid w:val="00A8321A"/>
    <w:rsid w:val="00A83AC2"/>
    <w:rsid w:val="00A8454E"/>
    <w:rsid w:val="00A86C4E"/>
    <w:rsid w:val="00A872F3"/>
    <w:rsid w:val="00A90507"/>
    <w:rsid w:val="00A93443"/>
    <w:rsid w:val="00AA014E"/>
    <w:rsid w:val="00AA18E6"/>
    <w:rsid w:val="00AA1F01"/>
    <w:rsid w:val="00AA3120"/>
    <w:rsid w:val="00AA5E51"/>
    <w:rsid w:val="00AB082D"/>
    <w:rsid w:val="00AB194E"/>
    <w:rsid w:val="00AB3BE7"/>
    <w:rsid w:val="00AB40A3"/>
    <w:rsid w:val="00AB511B"/>
    <w:rsid w:val="00AB5362"/>
    <w:rsid w:val="00AB665B"/>
    <w:rsid w:val="00AB76C8"/>
    <w:rsid w:val="00AC01AA"/>
    <w:rsid w:val="00AC0C7E"/>
    <w:rsid w:val="00AC1E69"/>
    <w:rsid w:val="00AC37F8"/>
    <w:rsid w:val="00AD120F"/>
    <w:rsid w:val="00AD33AD"/>
    <w:rsid w:val="00AE4237"/>
    <w:rsid w:val="00AE49E1"/>
    <w:rsid w:val="00AF0235"/>
    <w:rsid w:val="00AF0A38"/>
    <w:rsid w:val="00AF4383"/>
    <w:rsid w:val="00B0060B"/>
    <w:rsid w:val="00B00705"/>
    <w:rsid w:val="00B013E8"/>
    <w:rsid w:val="00B025AF"/>
    <w:rsid w:val="00B1027C"/>
    <w:rsid w:val="00B10421"/>
    <w:rsid w:val="00B14089"/>
    <w:rsid w:val="00B1517B"/>
    <w:rsid w:val="00B16338"/>
    <w:rsid w:val="00B20504"/>
    <w:rsid w:val="00B20DD4"/>
    <w:rsid w:val="00B241DC"/>
    <w:rsid w:val="00B271A0"/>
    <w:rsid w:val="00B31503"/>
    <w:rsid w:val="00B3299A"/>
    <w:rsid w:val="00B32DDA"/>
    <w:rsid w:val="00B35010"/>
    <w:rsid w:val="00B36ADA"/>
    <w:rsid w:val="00B36D61"/>
    <w:rsid w:val="00B37C40"/>
    <w:rsid w:val="00B409D5"/>
    <w:rsid w:val="00B42024"/>
    <w:rsid w:val="00B4267F"/>
    <w:rsid w:val="00B508E1"/>
    <w:rsid w:val="00B5440B"/>
    <w:rsid w:val="00B54DCC"/>
    <w:rsid w:val="00B54EF2"/>
    <w:rsid w:val="00B55050"/>
    <w:rsid w:val="00B56B11"/>
    <w:rsid w:val="00B61678"/>
    <w:rsid w:val="00B636D7"/>
    <w:rsid w:val="00B63BFB"/>
    <w:rsid w:val="00B6487F"/>
    <w:rsid w:val="00B6495B"/>
    <w:rsid w:val="00B704A7"/>
    <w:rsid w:val="00B716CA"/>
    <w:rsid w:val="00B720B6"/>
    <w:rsid w:val="00B729AF"/>
    <w:rsid w:val="00B73129"/>
    <w:rsid w:val="00B73940"/>
    <w:rsid w:val="00B75F41"/>
    <w:rsid w:val="00B81C73"/>
    <w:rsid w:val="00B82229"/>
    <w:rsid w:val="00B84235"/>
    <w:rsid w:val="00B8431C"/>
    <w:rsid w:val="00B84396"/>
    <w:rsid w:val="00B8587A"/>
    <w:rsid w:val="00B85F9B"/>
    <w:rsid w:val="00B87047"/>
    <w:rsid w:val="00B87426"/>
    <w:rsid w:val="00B93E15"/>
    <w:rsid w:val="00B94D19"/>
    <w:rsid w:val="00B973C3"/>
    <w:rsid w:val="00BA1095"/>
    <w:rsid w:val="00BA1498"/>
    <w:rsid w:val="00BA3233"/>
    <w:rsid w:val="00BA36BD"/>
    <w:rsid w:val="00BA3A93"/>
    <w:rsid w:val="00BA4452"/>
    <w:rsid w:val="00BA7B98"/>
    <w:rsid w:val="00BB013B"/>
    <w:rsid w:val="00BB1CFD"/>
    <w:rsid w:val="00BB1DEB"/>
    <w:rsid w:val="00BB3E99"/>
    <w:rsid w:val="00BB624D"/>
    <w:rsid w:val="00BC08FD"/>
    <w:rsid w:val="00BC2203"/>
    <w:rsid w:val="00BC3079"/>
    <w:rsid w:val="00BC58D0"/>
    <w:rsid w:val="00BC6F4A"/>
    <w:rsid w:val="00BD0434"/>
    <w:rsid w:val="00BD0C7E"/>
    <w:rsid w:val="00BD24D4"/>
    <w:rsid w:val="00BE186E"/>
    <w:rsid w:val="00BE1C64"/>
    <w:rsid w:val="00BE2F69"/>
    <w:rsid w:val="00BE37A4"/>
    <w:rsid w:val="00BE45DE"/>
    <w:rsid w:val="00BE47AD"/>
    <w:rsid w:val="00BE66A8"/>
    <w:rsid w:val="00BE731E"/>
    <w:rsid w:val="00BF1328"/>
    <w:rsid w:val="00BF22D0"/>
    <w:rsid w:val="00BF2C54"/>
    <w:rsid w:val="00BF3507"/>
    <w:rsid w:val="00BF4745"/>
    <w:rsid w:val="00BF5812"/>
    <w:rsid w:val="00BF5DF9"/>
    <w:rsid w:val="00C035A3"/>
    <w:rsid w:val="00C03CDA"/>
    <w:rsid w:val="00C05456"/>
    <w:rsid w:val="00C05F60"/>
    <w:rsid w:val="00C062DA"/>
    <w:rsid w:val="00C076A9"/>
    <w:rsid w:val="00C078B0"/>
    <w:rsid w:val="00C152E8"/>
    <w:rsid w:val="00C15BBB"/>
    <w:rsid w:val="00C15E9B"/>
    <w:rsid w:val="00C168EA"/>
    <w:rsid w:val="00C16F20"/>
    <w:rsid w:val="00C201C9"/>
    <w:rsid w:val="00C22A00"/>
    <w:rsid w:val="00C22D14"/>
    <w:rsid w:val="00C2415E"/>
    <w:rsid w:val="00C267C1"/>
    <w:rsid w:val="00C30A2D"/>
    <w:rsid w:val="00C31FC0"/>
    <w:rsid w:val="00C346A7"/>
    <w:rsid w:val="00C35204"/>
    <w:rsid w:val="00C35B39"/>
    <w:rsid w:val="00C37FF1"/>
    <w:rsid w:val="00C42572"/>
    <w:rsid w:val="00C4351D"/>
    <w:rsid w:val="00C4459E"/>
    <w:rsid w:val="00C46454"/>
    <w:rsid w:val="00C507CD"/>
    <w:rsid w:val="00C50D24"/>
    <w:rsid w:val="00C5170D"/>
    <w:rsid w:val="00C51B19"/>
    <w:rsid w:val="00C6311C"/>
    <w:rsid w:val="00C668AD"/>
    <w:rsid w:val="00C67796"/>
    <w:rsid w:val="00C72443"/>
    <w:rsid w:val="00C73E77"/>
    <w:rsid w:val="00C752C1"/>
    <w:rsid w:val="00C76F1D"/>
    <w:rsid w:val="00C7763E"/>
    <w:rsid w:val="00C84E3F"/>
    <w:rsid w:val="00C85B88"/>
    <w:rsid w:val="00C85EA4"/>
    <w:rsid w:val="00C872D7"/>
    <w:rsid w:val="00C87756"/>
    <w:rsid w:val="00C912FE"/>
    <w:rsid w:val="00C92E50"/>
    <w:rsid w:val="00C94E7B"/>
    <w:rsid w:val="00C95613"/>
    <w:rsid w:val="00C95B7D"/>
    <w:rsid w:val="00C96E9E"/>
    <w:rsid w:val="00CA0092"/>
    <w:rsid w:val="00CA0C8A"/>
    <w:rsid w:val="00CA1572"/>
    <w:rsid w:val="00CA1E2F"/>
    <w:rsid w:val="00CA415C"/>
    <w:rsid w:val="00CA674A"/>
    <w:rsid w:val="00CA6B87"/>
    <w:rsid w:val="00CB52EA"/>
    <w:rsid w:val="00CB632F"/>
    <w:rsid w:val="00CB649F"/>
    <w:rsid w:val="00CC2031"/>
    <w:rsid w:val="00CC2F78"/>
    <w:rsid w:val="00CC5E66"/>
    <w:rsid w:val="00CD2DA7"/>
    <w:rsid w:val="00CD4465"/>
    <w:rsid w:val="00CD68EE"/>
    <w:rsid w:val="00CE095E"/>
    <w:rsid w:val="00CE0CCE"/>
    <w:rsid w:val="00CE438D"/>
    <w:rsid w:val="00CE4800"/>
    <w:rsid w:val="00CE51C3"/>
    <w:rsid w:val="00CE6256"/>
    <w:rsid w:val="00CE7329"/>
    <w:rsid w:val="00CF0928"/>
    <w:rsid w:val="00CF4F69"/>
    <w:rsid w:val="00CF6AD2"/>
    <w:rsid w:val="00D019B7"/>
    <w:rsid w:val="00D025DD"/>
    <w:rsid w:val="00D0282A"/>
    <w:rsid w:val="00D11828"/>
    <w:rsid w:val="00D128E5"/>
    <w:rsid w:val="00D15589"/>
    <w:rsid w:val="00D1616F"/>
    <w:rsid w:val="00D1739B"/>
    <w:rsid w:val="00D2037A"/>
    <w:rsid w:val="00D205B8"/>
    <w:rsid w:val="00D22AE8"/>
    <w:rsid w:val="00D239A9"/>
    <w:rsid w:val="00D24635"/>
    <w:rsid w:val="00D25E92"/>
    <w:rsid w:val="00D27168"/>
    <w:rsid w:val="00D278A9"/>
    <w:rsid w:val="00D30C33"/>
    <w:rsid w:val="00D31465"/>
    <w:rsid w:val="00D345A3"/>
    <w:rsid w:val="00D35CA9"/>
    <w:rsid w:val="00D36FCC"/>
    <w:rsid w:val="00D41553"/>
    <w:rsid w:val="00D41E59"/>
    <w:rsid w:val="00D41FD6"/>
    <w:rsid w:val="00D4290D"/>
    <w:rsid w:val="00D43299"/>
    <w:rsid w:val="00D432AD"/>
    <w:rsid w:val="00D46CD0"/>
    <w:rsid w:val="00D502A5"/>
    <w:rsid w:val="00D51069"/>
    <w:rsid w:val="00D52702"/>
    <w:rsid w:val="00D52C40"/>
    <w:rsid w:val="00D53E50"/>
    <w:rsid w:val="00D57404"/>
    <w:rsid w:val="00D57B1B"/>
    <w:rsid w:val="00D57F2B"/>
    <w:rsid w:val="00D6299A"/>
    <w:rsid w:val="00D63017"/>
    <w:rsid w:val="00D64276"/>
    <w:rsid w:val="00D72037"/>
    <w:rsid w:val="00D745E5"/>
    <w:rsid w:val="00D7547D"/>
    <w:rsid w:val="00D76C82"/>
    <w:rsid w:val="00D7730A"/>
    <w:rsid w:val="00D80C44"/>
    <w:rsid w:val="00D83F13"/>
    <w:rsid w:val="00D85F61"/>
    <w:rsid w:val="00D9058D"/>
    <w:rsid w:val="00D906FA"/>
    <w:rsid w:val="00D914B1"/>
    <w:rsid w:val="00D93092"/>
    <w:rsid w:val="00D9537D"/>
    <w:rsid w:val="00D97144"/>
    <w:rsid w:val="00D97F7A"/>
    <w:rsid w:val="00DA5980"/>
    <w:rsid w:val="00DA5D37"/>
    <w:rsid w:val="00DB25B4"/>
    <w:rsid w:val="00DB4137"/>
    <w:rsid w:val="00DB4989"/>
    <w:rsid w:val="00DB535E"/>
    <w:rsid w:val="00DB783F"/>
    <w:rsid w:val="00DC28BB"/>
    <w:rsid w:val="00DC3512"/>
    <w:rsid w:val="00DC49AE"/>
    <w:rsid w:val="00DC66DD"/>
    <w:rsid w:val="00DD1B5C"/>
    <w:rsid w:val="00DD3AD7"/>
    <w:rsid w:val="00DD45B8"/>
    <w:rsid w:val="00DD52CC"/>
    <w:rsid w:val="00DD57EE"/>
    <w:rsid w:val="00DE0249"/>
    <w:rsid w:val="00DE0D24"/>
    <w:rsid w:val="00DE2844"/>
    <w:rsid w:val="00DE308B"/>
    <w:rsid w:val="00DF0086"/>
    <w:rsid w:val="00DF01E0"/>
    <w:rsid w:val="00DF2CAE"/>
    <w:rsid w:val="00DF40C9"/>
    <w:rsid w:val="00DF68B0"/>
    <w:rsid w:val="00E00334"/>
    <w:rsid w:val="00E01C6B"/>
    <w:rsid w:val="00E01F27"/>
    <w:rsid w:val="00E03F0D"/>
    <w:rsid w:val="00E0754A"/>
    <w:rsid w:val="00E12325"/>
    <w:rsid w:val="00E1487D"/>
    <w:rsid w:val="00E15E30"/>
    <w:rsid w:val="00E20ACC"/>
    <w:rsid w:val="00E20EA6"/>
    <w:rsid w:val="00E220CC"/>
    <w:rsid w:val="00E26090"/>
    <w:rsid w:val="00E27BC8"/>
    <w:rsid w:val="00E32E80"/>
    <w:rsid w:val="00E37A7A"/>
    <w:rsid w:val="00E413A4"/>
    <w:rsid w:val="00E45453"/>
    <w:rsid w:val="00E47630"/>
    <w:rsid w:val="00E53637"/>
    <w:rsid w:val="00E53B89"/>
    <w:rsid w:val="00E552FD"/>
    <w:rsid w:val="00E55B3B"/>
    <w:rsid w:val="00E55C5D"/>
    <w:rsid w:val="00E55E91"/>
    <w:rsid w:val="00E56717"/>
    <w:rsid w:val="00E63532"/>
    <w:rsid w:val="00E641FB"/>
    <w:rsid w:val="00E71990"/>
    <w:rsid w:val="00E71F32"/>
    <w:rsid w:val="00E722FD"/>
    <w:rsid w:val="00E724B3"/>
    <w:rsid w:val="00E72632"/>
    <w:rsid w:val="00E72980"/>
    <w:rsid w:val="00E72DC1"/>
    <w:rsid w:val="00E73836"/>
    <w:rsid w:val="00E80DBD"/>
    <w:rsid w:val="00E83877"/>
    <w:rsid w:val="00E87F6F"/>
    <w:rsid w:val="00E9124F"/>
    <w:rsid w:val="00E91830"/>
    <w:rsid w:val="00E967BA"/>
    <w:rsid w:val="00E97F40"/>
    <w:rsid w:val="00EA3399"/>
    <w:rsid w:val="00EA644D"/>
    <w:rsid w:val="00EA7525"/>
    <w:rsid w:val="00EB2979"/>
    <w:rsid w:val="00EC0891"/>
    <w:rsid w:val="00EC5406"/>
    <w:rsid w:val="00EC6835"/>
    <w:rsid w:val="00ED25B6"/>
    <w:rsid w:val="00ED2772"/>
    <w:rsid w:val="00ED3941"/>
    <w:rsid w:val="00ED4BD9"/>
    <w:rsid w:val="00ED4F4C"/>
    <w:rsid w:val="00EE0F5F"/>
    <w:rsid w:val="00EE12C8"/>
    <w:rsid w:val="00EE2D64"/>
    <w:rsid w:val="00EE33A4"/>
    <w:rsid w:val="00EE51DB"/>
    <w:rsid w:val="00EE5485"/>
    <w:rsid w:val="00EE5AC8"/>
    <w:rsid w:val="00EF0AD2"/>
    <w:rsid w:val="00EF1C11"/>
    <w:rsid w:val="00EF2A11"/>
    <w:rsid w:val="00EF32A6"/>
    <w:rsid w:val="00EF5A08"/>
    <w:rsid w:val="00EF7C42"/>
    <w:rsid w:val="00F002DD"/>
    <w:rsid w:val="00F01ADF"/>
    <w:rsid w:val="00F0393D"/>
    <w:rsid w:val="00F04A43"/>
    <w:rsid w:val="00F060CD"/>
    <w:rsid w:val="00F06F85"/>
    <w:rsid w:val="00F079DF"/>
    <w:rsid w:val="00F10CE0"/>
    <w:rsid w:val="00F12C77"/>
    <w:rsid w:val="00F1363B"/>
    <w:rsid w:val="00F13D86"/>
    <w:rsid w:val="00F13DC0"/>
    <w:rsid w:val="00F14485"/>
    <w:rsid w:val="00F16F02"/>
    <w:rsid w:val="00F2046C"/>
    <w:rsid w:val="00F224EC"/>
    <w:rsid w:val="00F23196"/>
    <w:rsid w:val="00F26A60"/>
    <w:rsid w:val="00F304D4"/>
    <w:rsid w:val="00F352E2"/>
    <w:rsid w:val="00F371FA"/>
    <w:rsid w:val="00F40373"/>
    <w:rsid w:val="00F4426F"/>
    <w:rsid w:val="00F465B6"/>
    <w:rsid w:val="00F51D35"/>
    <w:rsid w:val="00F52672"/>
    <w:rsid w:val="00F544A3"/>
    <w:rsid w:val="00F574B4"/>
    <w:rsid w:val="00F57D7D"/>
    <w:rsid w:val="00F60318"/>
    <w:rsid w:val="00F60FEB"/>
    <w:rsid w:val="00F61729"/>
    <w:rsid w:val="00F64CB9"/>
    <w:rsid w:val="00F6647E"/>
    <w:rsid w:val="00F66DD4"/>
    <w:rsid w:val="00F67181"/>
    <w:rsid w:val="00F71180"/>
    <w:rsid w:val="00F72A70"/>
    <w:rsid w:val="00F75CAA"/>
    <w:rsid w:val="00F76547"/>
    <w:rsid w:val="00F774CC"/>
    <w:rsid w:val="00F77628"/>
    <w:rsid w:val="00F776AF"/>
    <w:rsid w:val="00F7793A"/>
    <w:rsid w:val="00F82D0E"/>
    <w:rsid w:val="00F838DD"/>
    <w:rsid w:val="00F83C84"/>
    <w:rsid w:val="00F84307"/>
    <w:rsid w:val="00F84CBE"/>
    <w:rsid w:val="00F87ADE"/>
    <w:rsid w:val="00F92C99"/>
    <w:rsid w:val="00F96D86"/>
    <w:rsid w:val="00FA178B"/>
    <w:rsid w:val="00FA2B7C"/>
    <w:rsid w:val="00FA2FCB"/>
    <w:rsid w:val="00FA6C63"/>
    <w:rsid w:val="00FB2587"/>
    <w:rsid w:val="00FB27D3"/>
    <w:rsid w:val="00FB3453"/>
    <w:rsid w:val="00FB3B70"/>
    <w:rsid w:val="00FB6425"/>
    <w:rsid w:val="00FB79A8"/>
    <w:rsid w:val="00FC370F"/>
    <w:rsid w:val="00FC3D2F"/>
    <w:rsid w:val="00FC6159"/>
    <w:rsid w:val="00FC71DE"/>
    <w:rsid w:val="00FD05DE"/>
    <w:rsid w:val="00FD061C"/>
    <w:rsid w:val="00FD233E"/>
    <w:rsid w:val="00FD27A9"/>
    <w:rsid w:val="00FD377E"/>
    <w:rsid w:val="00FD4640"/>
    <w:rsid w:val="00FD49A4"/>
    <w:rsid w:val="00FE02D2"/>
    <w:rsid w:val="00FE0697"/>
    <w:rsid w:val="00FE27F7"/>
    <w:rsid w:val="00FE2C52"/>
    <w:rsid w:val="00FE2F88"/>
    <w:rsid w:val="00FE3202"/>
    <w:rsid w:val="00FE327B"/>
    <w:rsid w:val="00FE4F3F"/>
    <w:rsid w:val="00FF0274"/>
    <w:rsid w:val="00FF22C1"/>
    <w:rsid w:val="00FF2890"/>
    <w:rsid w:val="00FF36AA"/>
    <w:rsid w:val="00FF5272"/>
    <w:rsid w:val="00FF5C1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60615"/>
  <w15:docId w15:val="{49FC54B1-B490-A34A-BB7E-EC89636C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FDF"/>
    <w:pPr>
      <w:jc w:val="both"/>
    </w:pPr>
    <w:rPr>
      <w:sz w:val="22"/>
      <w:szCs w:val="24"/>
    </w:rPr>
  </w:style>
  <w:style w:type="paragraph" w:styleId="Ttulo1">
    <w:name w:val="heading 1"/>
    <w:basedOn w:val="Normal"/>
    <w:next w:val="Ttulo2"/>
    <w:link w:val="Ttulo1Car"/>
    <w:qFormat/>
    <w:rsid w:val="00603FDF"/>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03FDF"/>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603FDF"/>
    <w:pPr>
      <w:keepNext/>
      <w:tabs>
        <w:tab w:val="left" w:pos="567"/>
      </w:tabs>
      <w:spacing w:before="120" w:after="120"/>
      <w:jc w:val="center"/>
      <w:outlineLvl w:val="2"/>
    </w:pPr>
    <w:rPr>
      <w:i/>
      <w:iCs/>
    </w:rPr>
  </w:style>
  <w:style w:type="paragraph" w:styleId="Ttulo4">
    <w:name w:val="heading 4"/>
    <w:basedOn w:val="Normal"/>
    <w:link w:val="Ttulo4Car"/>
    <w:qFormat/>
    <w:rsid w:val="00603FDF"/>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603FDF"/>
    <w:pPr>
      <w:keepNext/>
      <w:numPr>
        <w:ilvl w:val="4"/>
        <w:numId w:val="107"/>
      </w:numPr>
      <w:spacing w:before="120" w:after="120"/>
      <w:jc w:val="left"/>
      <w:outlineLvl w:val="4"/>
    </w:pPr>
    <w:rPr>
      <w:bCs/>
      <w:i/>
      <w:szCs w:val="26"/>
    </w:rPr>
  </w:style>
  <w:style w:type="paragraph" w:styleId="Ttulo6">
    <w:name w:val="heading 6"/>
    <w:basedOn w:val="Normal"/>
    <w:next w:val="Normal"/>
    <w:link w:val="Ttulo6Car"/>
    <w:qFormat/>
    <w:rsid w:val="00603FDF"/>
    <w:pPr>
      <w:keepNext/>
      <w:spacing w:after="240" w:line="240" w:lineRule="exact"/>
      <w:ind w:left="720"/>
      <w:outlineLvl w:val="5"/>
    </w:pPr>
    <w:rPr>
      <w:u w:val="single"/>
    </w:rPr>
  </w:style>
  <w:style w:type="paragraph" w:styleId="Ttulo7">
    <w:name w:val="heading 7"/>
    <w:basedOn w:val="Normal"/>
    <w:next w:val="Normal"/>
    <w:link w:val="Ttulo7Car"/>
    <w:rsid w:val="00603FDF"/>
    <w:pPr>
      <w:keepNext/>
      <w:jc w:val="right"/>
      <w:outlineLvl w:val="6"/>
    </w:pPr>
    <w:rPr>
      <w:rFonts w:ascii="Univers" w:hAnsi="Univers"/>
      <w:b/>
      <w:sz w:val="28"/>
    </w:rPr>
  </w:style>
  <w:style w:type="paragraph" w:styleId="Ttulo8">
    <w:name w:val="heading 8"/>
    <w:basedOn w:val="Normal"/>
    <w:next w:val="Normal"/>
    <w:link w:val="Ttulo8Car"/>
    <w:qFormat/>
    <w:rsid w:val="00603FDF"/>
    <w:pPr>
      <w:keepNext/>
      <w:jc w:val="right"/>
      <w:outlineLvl w:val="7"/>
    </w:pPr>
    <w:rPr>
      <w:rFonts w:ascii="Univers" w:hAnsi="Univers"/>
      <w:b/>
      <w:sz w:val="32"/>
    </w:rPr>
  </w:style>
  <w:style w:type="paragraph" w:styleId="Ttulo9">
    <w:name w:val="heading 9"/>
    <w:basedOn w:val="Normal"/>
    <w:next w:val="Normal"/>
    <w:link w:val="Ttulo9Car"/>
    <w:rsid w:val="00603FDF"/>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03FDF"/>
    <w:pPr>
      <w:tabs>
        <w:tab w:val="center" w:pos="4320"/>
        <w:tab w:val="right" w:pos="8640"/>
      </w:tabs>
    </w:pPr>
  </w:style>
  <w:style w:type="paragraph" w:styleId="Piedepgina">
    <w:name w:val="footer"/>
    <w:basedOn w:val="Normal"/>
    <w:link w:val="PiedepginaCar"/>
    <w:rsid w:val="00603FDF"/>
    <w:pPr>
      <w:tabs>
        <w:tab w:val="center" w:pos="4320"/>
        <w:tab w:val="right" w:pos="8640"/>
      </w:tabs>
      <w:ind w:firstLine="720"/>
      <w:jc w:val="right"/>
    </w:pPr>
  </w:style>
  <w:style w:type="paragraph" w:customStyle="1" w:styleId="Para10">
    <w:name w:val="Para1"/>
    <w:basedOn w:val="Normal"/>
    <w:link w:val="Para1Char"/>
    <w:rsid w:val="00603FDF"/>
    <w:pPr>
      <w:numPr>
        <w:numId w:val="108"/>
      </w:numPr>
      <w:spacing w:before="120" w:after="120"/>
    </w:pPr>
    <w:rPr>
      <w:snapToGrid w:val="0"/>
      <w:szCs w:val="18"/>
    </w:rPr>
  </w:style>
  <w:style w:type="paragraph" w:styleId="Textonotapie">
    <w:name w:val="footnote text"/>
    <w:basedOn w:val="Normal"/>
    <w:link w:val="TextonotapieCar"/>
    <w:rsid w:val="00603FDF"/>
    <w:pPr>
      <w:keepLines/>
      <w:spacing w:after="60"/>
      <w:ind w:firstLine="720"/>
    </w:pPr>
    <w:rPr>
      <w:sz w:val="18"/>
    </w:rPr>
  </w:style>
  <w:style w:type="paragraph" w:styleId="Textoindependiente">
    <w:name w:val="Body Text"/>
    <w:basedOn w:val="Normal"/>
    <w:link w:val="TextoindependienteCar"/>
    <w:rsid w:val="00603FDF"/>
    <w:pPr>
      <w:spacing w:before="120" w:after="120"/>
      <w:ind w:firstLine="720"/>
    </w:pPr>
    <w:rPr>
      <w:iCs/>
    </w:rPr>
  </w:style>
  <w:style w:type="character" w:customStyle="1" w:styleId="StyleFootnoteReferenceNounderline">
    <w:name w:val="Style Footnote Reference + No underline"/>
    <w:rsid w:val="00603FDF"/>
    <w:rPr>
      <w:sz w:val="18"/>
      <w:u w:val="none"/>
      <w:vertAlign w:val="baseline"/>
    </w:rPr>
  </w:style>
  <w:style w:type="paragraph" w:customStyle="1" w:styleId="Quotationtextindented">
    <w:name w:val="Quotation text (indented)"/>
    <w:basedOn w:val="Normal"/>
    <w:qFormat/>
    <w:rsid w:val="00603FDF"/>
    <w:pPr>
      <w:spacing w:before="120" w:after="120"/>
      <w:ind w:left="720" w:right="720"/>
    </w:pPr>
    <w:rPr>
      <w:bCs/>
    </w:rPr>
  </w:style>
  <w:style w:type="paragraph" w:customStyle="1" w:styleId="recommendationheader">
    <w:name w:val="recommendation header"/>
    <w:basedOn w:val="Ttulo2"/>
    <w:qFormat/>
    <w:rsid w:val="00603FDF"/>
  </w:style>
  <w:style w:type="character" w:styleId="Refdecomentario">
    <w:name w:val="annotation reference"/>
    <w:semiHidden/>
    <w:rsid w:val="00603FDF"/>
    <w:rPr>
      <w:sz w:val="16"/>
    </w:rPr>
  </w:style>
  <w:style w:type="paragraph" w:styleId="Textocomentario">
    <w:name w:val="annotation text"/>
    <w:basedOn w:val="Normal"/>
    <w:link w:val="TextocomentarioCar"/>
    <w:semiHidden/>
    <w:rsid w:val="00603FDF"/>
    <w:pPr>
      <w:spacing w:after="120" w:line="240" w:lineRule="exact"/>
    </w:pPr>
  </w:style>
  <w:style w:type="character" w:styleId="Refdenotaalpie">
    <w:name w:val="footnote reference"/>
    <w:link w:val="BVIfnrChar"/>
    <w:rsid w:val="00603FDF"/>
    <w:rPr>
      <w:sz w:val="22"/>
      <w:u w:val="none"/>
      <w:vertAlign w:val="superscript"/>
    </w:rPr>
  </w:style>
  <w:style w:type="paragraph" w:styleId="Sangradetextonormal">
    <w:name w:val="Body Text Indent"/>
    <w:basedOn w:val="Normal"/>
    <w:link w:val="SangradetextonormalCar"/>
    <w:rsid w:val="00603FDF"/>
    <w:pPr>
      <w:spacing w:before="120" w:after="120"/>
      <w:ind w:left="1440" w:hanging="720"/>
      <w:jc w:val="left"/>
    </w:pPr>
  </w:style>
  <w:style w:type="character" w:styleId="Nmerodepgina">
    <w:name w:val="page number"/>
    <w:rsid w:val="00603FDF"/>
    <w:rPr>
      <w:rFonts w:ascii="Times New Roman" w:hAnsi="Times New Roman"/>
      <w:sz w:val="22"/>
    </w:rPr>
  </w:style>
  <w:style w:type="paragraph" w:customStyle="1" w:styleId="HEADING">
    <w:name w:val="HEADING"/>
    <w:basedOn w:val="Normal"/>
    <w:rsid w:val="00603FDF"/>
    <w:pPr>
      <w:keepNext/>
      <w:spacing w:before="240" w:after="120"/>
      <w:jc w:val="center"/>
    </w:pPr>
    <w:rPr>
      <w:b/>
      <w:bCs/>
      <w:caps/>
    </w:rPr>
  </w:style>
  <w:style w:type="paragraph" w:customStyle="1" w:styleId="para4">
    <w:name w:val="para4"/>
    <w:basedOn w:val="Normal"/>
    <w:rsid w:val="00603FDF"/>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Ttulo4"/>
    <w:rsid w:val="00603FDF"/>
    <w:pPr>
      <w:ind w:left="720"/>
      <w:outlineLvl w:val="9"/>
    </w:pPr>
    <w:rPr>
      <w:rFonts w:ascii="Times New Roman" w:hAnsi="Times New Roman"/>
    </w:rPr>
  </w:style>
  <w:style w:type="paragraph" w:customStyle="1" w:styleId="Cornernotation">
    <w:name w:val="Corner notation"/>
    <w:basedOn w:val="Normal"/>
    <w:rsid w:val="00603FDF"/>
    <w:pPr>
      <w:ind w:left="170" w:right="3119" w:hanging="170"/>
      <w:jc w:val="left"/>
    </w:pPr>
  </w:style>
  <w:style w:type="paragraph" w:customStyle="1" w:styleId="Para3">
    <w:name w:val="Para3"/>
    <w:basedOn w:val="Normal"/>
    <w:rsid w:val="00603FDF"/>
    <w:pPr>
      <w:numPr>
        <w:ilvl w:val="3"/>
        <w:numId w:val="109"/>
      </w:numPr>
      <w:tabs>
        <w:tab w:val="left" w:pos="1980"/>
      </w:tabs>
      <w:spacing w:before="80" w:after="80"/>
    </w:pPr>
    <w:rPr>
      <w:szCs w:val="20"/>
    </w:rPr>
  </w:style>
  <w:style w:type="paragraph" w:customStyle="1" w:styleId="recommendationheaderlong">
    <w:name w:val="recommendation header long"/>
    <w:basedOn w:val="Heading2longmultiline"/>
    <w:qFormat/>
    <w:rsid w:val="00603FDF"/>
  </w:style>
  <w:style w:type="paragraph" w:customStyle="1" w:styleId="tabletitle">
    <w:name w:val="table title"/>
    <w:basedOn w:val="Ttulo2"/>
    <w:qFormat/>
    <w:rsid w:val="00603FDF"/>
    <w:pPr>
      <w:jc w:val="left"/>
      <w:outlineLvl w:val="9"/>
    </w:pPr>
    <w:rPr>
      <w:i/>
    </w:rPr>
  </w:style>
  <w:style w:type="paragraph" w:styleId="Encabezadodelista">
    <w:name w:val="toa heading"/>
    <w:basedOn w:val="Normal"/>
    <w:next w:val="Normal"/>
    <w:semiHidden/>
    <w:rsid w:val="00603FDF"/>
    <w:pPr>
      <w:spacing w:before="120"/>
    </w:pPr>
    <w:rPr>
      <w:rFonts w:cs="Arial"/>
      <w:b/>
      <w:bCs/>
      <w:sz w:val="24"/>
    </w:rPr>
  </w:style>
  <w:style w:type="paragraph" w:styleId="TDC9">
    <w:name w:val="toc 9"/>
    <w:basedOn w:val="Normal"/>
    <w:next w:val="Normal"/>
    <w:autoRedefine/>
    <w:semiHidden/>
    <w:rsid w:val="00603FDF"/>
    <w:pPr>
      <w:spacing w:before="120" w:after="120"/>
      <w:ind w:left="1760"/>
      <w:jc w:val="left"/>
    </w:pPr>
  </w:style>
  <w:style w:type="paragraph" w:styleId="TDC1">
    <w:name w:val="toc 1"/>
    <w:basedOn w:val="Normal"/>
    <w:next w:val="Normal"/>
    <w:autoRedefine/>
    <w:semiHidden/>
    <w:rsid w:val="00603FDF"/>
    <w:pPr>
      <w:ind w:left="720" w:hanging="720"/>
    </w:pPr>
    <w:rPr>
      <w:caps/>
    </w:rPr>
  </w:style>
  <w:style w:type="paragraph" w:styleId="TDC2">
    <w:name w:val="toc 2"/>
    <w:basedOn w:val="Normal"/>
    <w:next w:val="Normal"/>
    <w:autoRedefine/>
    <w:semiHidden/>
    <w:rsid w:val="00603FDF"/>
    <w:pPr>
      <w:tabs>
        <w:tab w:val="right" w:leader="dot" w:pos="9356"/>
      </w:tabs>
      <w:ind w:left="1440" w:hanging="720"/>
    </w:pPr>
    <w:rPr>
      <w:noProof/>
      <w:szCs w:val="22"/>
    </w:rPr>
  </w:style>
  <w:style w:type="paragraph" w:styleId="TDC3">
    <w:name w:val="toc 3"/>
    <w:basedOn w:val="Normal"/>
    <w:next w:val="Normal"/>
    <w:autoRedefine/>
    <w:semiHidden/>
    <w:rsid w:val="00603FDF"/>
    <w:pPr>
      <w:ind w:left="2160" w:hanging="720"/>
    </w:pPr>
  </w:style>
  <w:style w:type="paragraph" w:styleId="TDC4">
    <w:name w:val="toc 4"/>
    <w:basedOn w:val="Normal"/>
    <w:next w:val="Normal"/>
    <w:autoRedefine/>
    <w:semiHidden/>
    <w:rsid w:val="00603FDF"/>
    <w:pPr>
      <w:spacing w:before="120" w:after="120"/>
      <w:ind w:left="660"/>
      <w:jc w:val="left"/>
    </w:pPr>
  </w:style>
  <w:style w:type="paragraph" w:styleId="TDC5">
    <w:name w:val="toc 5"/>
    <w:basedOn w:val="Normal"/>
    <w:next w:val="Normal"/>
    <w:autoRedefine/>
    <w:semiHidden/>
    <w:rsid w:val="00603FDF"/>
    <w:pPr>
      <w:spacing w:before="120" w:after="120"/>
      <w:ind w:left="880"/>
      <w:jc w:val="left"/>
    </w:pPr>
  </w:style>
  <w:style w:type="paragraph" w:styleId="TDC6">
    <w:name w:val="toc 6"/>
    <w:basedOn w:val="Normal"/>
    <w:next w:val="Normal"/>
    <w:autoRedefine/>
    <w:semiHidden/>
    <w:rsid w:val="00603FDF"/>
    <w:pPr>
      <w:spacing w:before="120" w:after="120"/>
      <w:ind w:left="1100"/>
      <w:jc w:val="left"/>
    </w:pPr>
  </w:style>
  <w:style w:type="paragraph" w:styleId="TDC7">
    <w:name w:val="toc 7"/>
    <w:basedOn w:val="Normal"/>
    <w:next w:val="Normal"/>
    <w:autoRedefine/>
    <w:semiHidden/>
    <w:rsid w:val="00603FDF"/>
    <w:pPr>
      <w:spacing w:before="120" w:after="120"/>
      <w:ind w:left="1320"/>
      <w:jc w:val="left"/>
    </w:pPr>
  </w:style>
  <w:style w:type="paragraph" w:styleId="TDC8">
    <w:name w:val="toc 8"/>
    <w:basedOn w:val="Normal"/>
    <w:next w:val="Normal"/>
    <w:autoRedefine/>
    <w:semiHidden/>
    <w:rsid w:val="00603FDF"/>
    <w:pPr>
      <w:spacing w:before="120" w:after="120"/>
      <w:ind w:left="1540"/>
      <w:jc w:val="left"/>
    </w:pPr>
  </w:style>
  <w:style w:type="paragraph" w:customStyle="1" w:styleId="reference">
    <w:name w:val="reference"/>
    <w:basedOn w:val="Ttulo9"/>
    <w:qFormat/>
    <w:rsid w:val="00603FDF"/>
    <w:rPr>
      <w:i w:val="0"/>
      <w:sz w:val="18"/>
    </w:rPr>
  </w:style>
  <w:style w:type="character" w:styleId="Hipervnculovisitado">
    <w:name w:val="FollowedHyperlink"/>
    <w:rsid w:val="00603FDF"/>
    <w:rPr>
      <w:color w:val="800080"/>
      <w:u w:val="single"/>
    </w:rPr>
  </w:style>
  <w:style w:type="paragraph" w:customStyle="1" w:styleId="Style1">
    <w:name w:val="Style1"/>
    <w:basedOn w:val="Ttulo2"/>
    <w:qFormat/>
    <w:rsid w:val="00603FDF"/>
    <w:rPr>
      <w:i/>
    </w:rPr>
  </w:style>
  <w:style w:type="paragraph" w:customStyle="1" w:styleId="Para2">
    <w:name w:val="Para2"/>
    <w:basedOn w:val="Para10"/>
    <w:rsid w:val="00603FDF"/>
    <w:pPr>
      <w:numPr>
        <w:numId w:val="0"/>
      </w:numPr>
      <w:autoSpaceDE w:val="0"/>
      <w:autoSpaceDN w:val="0"/>
    </w:pPr>
  </w:style>
  <w:style w:type="paragraph" w:customStyle="1" w:styleId="Para-decision">
    <w:name w:val="Para-decision"/>
    <w:basedOn w:val="Normal"/>
    <w:rsid w:val="00603FDF"/>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ipervnculo">
    <w:name w:val="Hyperlink"/>
    <w:rsid w:val="00603FDF"/>
    <w:rPr>
      <w:color w:val="0000FF"/>
      <w:sz w:val="18"/>
      <w:u w:val="single"/>
    </w:rPr>
  </w:style>
  <w:style w:type="character" w:styleId="Refdenotaalfinal">
    <w:name w:val="endnote reference"/>
    <w:semiHidden/>
    <w:rsid w:val="00603FDF"/>
    <w:rPr>
      <w:vertAlign w:val="superscript"/>
    </w:rPr>
  </w:style>
  <w:style w:type="paragraph" w:styleId="Textonotaalfinal">
    <w:name w:val="endnote text"/>
    <w:basedOn w:val="Normal"/>
    <w:link w:val="TextonotaalfinalCar"/>
    <w:semiHidden/>
    <w:rsid w:val="00603FDF"/>
    <w:pPr>
      <w:widowControl w:val="0"/>
      <w:tabs>
        <w:tab w:val="left" w:pos="-720"/>
      </w:tabs>
      <w:suppressAutoHyphens/>
    </w:pPr>
    <w:rPr>
      <w:rFonts w:ascii="Courier New" w:hAnsi="Courier New"/>
    </w:rPr>
  </w:style>
  <w:style w:type="paragraph" w:customStyle="1" w:styleId="Heading1longmultiline">
    <w:name w:val="Heading 1 (long multiline)"/>
    <w:basedOn w:val="Ttulo1"/>
    <w:rsid w:val="00603FDF"/>
    <w:pPr>
      <w:ind w:left="1843" w:hanging="1134"/>
      <w:jc w:val="left"/>
    </w:pPr>
  </w:style>
  <w:style w:type="paragraph" w:customStyle="1" w:styleId="Heading1multiline">
    <w:name w:val="Heading 1 (multiline)"/>
    <w:basedOn w:val="Ttulo1"/>
    <w:rsid w:val="00603FDF"/>
    <w:pPr>
      <w:ind w:left="1843" w:right="996" w:hanging="567"/>
      <w:jc w:val="left"/>
    </w:pPr>
  </w:style>
  <w:style w:type="paragraph" w:customStyle="1" w:styleId="Heading2multiline">
    <w:name w:val="Heading 2 (multiline)"/>
    <w:basedOn w:val="Ttulo1"/>
    <w:next w:val="Normal"/>
    <w:rsid w:val="00603FDF"/>
    <w:pPr>
      <w:spacing w:before="120"/>
      <w:ind w:left="1843" w:right="998" w:hanging="567"/>
      <w:jc w:val="left"/>
    </w:pPr>
    <w:rPr>
      <w:i/>
      <w:iCs/>
      <w:caps w:val="0"/>
    </w:rPr>
  </w:style>
  <w:style w:type="paragraph" w:customStyle="1" w:styleId="Heading2longmultiline">
    <w:name w:val="Heading 2 (long multiline)"/>
    <w:basedOn w:val="Heading2multiline"/>
    <w:rsid w:val="00603FDF"/>
    <w:pPr>
      <w:ind w:left="2127" w:hanging="1276"/>
    </w:pPr>
  </w:style>
  <w:style w:type="paragraph" w:customStyle="1" w:styleId="Heading3multiline">
    <w:name w:val="Heading 3 (multiline)"/>
    <w:basedOn w:val="Ttulo3"/>
    <w:next w:val="Normal"/>
    <w:rsid w:val="00603FDF"/>
    <w:pPr>
      <w:ind w:left="1418" w:hanging="425"/>
      <w:jc w:val="left"/>
    </w:pPr>
  </w:style>
  <w:style w:type="paragraph" w:customStyle="1" w:styleId="heading2notforTOC">
    <w:name w:val="heading 2 not for TOC"/>
    <w:basedOn w:val="Ttulo3"/>
    <w:rsid w:val="00603FDF"/>
  </w:style>
  <w:style w:type="paragraph" w:customStyle="1" w:styleId="HEADINGNOTFORTOC">
    <w:name w:val="HEADING (NOT FOR TOC)"/>
    <w:basedOn w:val="Ttulo1"/>
    <w:next w:val="Ttulo2"/>
    <w:rsid w:val="00603FDF"/>
  </w:style>
  <w:style w:type="character" w:customStyle="1" w:styleId="TextonotapieCar">
    <w:name w:val="Texto nota pie Car"/>
    <w:basedOn w:val="Fuentedeprrafopredeter"/>
    <w:link w:val="Textonotapie"/>
    <w:rsid w:val="00603FDF"/>
    <w:rPr>
      <w:sz w:val="18"/>
      <w:szCs w:val="24"/>
      <w:lang w:val="es-ES"/>
    </w:rPr>
  </w:style>
  <w:style w:type="paragraph" w:customStyle="1" w:styleId="decision">
    <w:name w:val="decision"/>
    <w:basedOn w:val="Normal"/>
    <w:qFormat/>
    <w:rsid w:val="00406BC6"/>
    <w:pPr>
      <w:keepNext/>
      <w:spacing w:before="240" w:after="120"/>
      <w:ind w:hanging="11"/>
      <w:jc w:val="center"/>
    </w:pPr>
    <w:rPr>
      <w:b/>
      <w:kern w:val="22"/>
    </w:rPr>
  </w:style>
  <w:style w:type="paragraph" w:styleId="Textodeglobo">
    <w:name w:val="Balloon Text"/>
    <w:basedOn w:val="Normal"/>
    <w:link w:val="TextodegloboCar"/>
    <w:uiPriority w:val="99"/>
    <w:semiHidden/>
    <w:unhideWhenUsed/>
    <w:rsid w:val="00603FD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03FDF"/>
    <w:rPr>
      <w:rFonts w:ascii="Lucida Grande" w:hAnsi="Lucida Grande" w:cs="Lucida Grande"/>
      <w:sz w:val="18"/>
      <w:szCs w:val="18"/>
      <w:lang w:val="es-ES"/>
    </w:rPr>
  </w:style>
  <w:style w:type="character" w:customStyle="1" w:styleId="apple-converted-space">
    <w:name w:val="apple-converted-space"/>
    <w:rsid w:val="00CF4F69"/>
  </w:style>
  <w:style w:type="paragraph" w:styleId="Asuntodelcomentario">
    <w:name w:val="annotation subject"/>
    <w:basedOn w:val="Textocomentario"/>
    <w:next w:val="Textocomentario"/>
    <w:link w:val="AsuntodelcomentarioCar"/>
    <w:uiPriority w:val="99"/>
    <w:semiHidden/>
    <w:unhideWhenUsed/>
    <w:rsid w:val="00D9537D"/>
    <w:pPr>
      <w:spacing w:after="0" w:line="240" w:lineRule="auto"/>
    </w:pPr>
    <w:rPr>
      <w:b/>
      <w:bCs/>
      <w:sz w:val="20"/>
      <w:szCs w:val="20"/>
    </w:rPr>
  </w:style>
  <w:style w:type="character" w:customStyle="1" w:styleId="TextocomentarioCar">
    <w:name w:val="Texto comentario Car"/>
    <w:basedOn w:val="Fuentedeprrafopredeter"/>
    <w:link w:val="Textocomentario"/>
    <w:semiHidden/>
    <w:rsid w:val="00603FDF"/>
    <w:rPr>
      <w:sz w:val="22"/>
      <w:szCs w:val="24"/>
      <w:lang w:val="es-ES"/>
    </w:rPr>
  </w:style>
  <w:style w:type="character" w:customStyle="1" w:styleId="AsuntodelcomentarioCar">
    <w:name w:val="Asunto del comentario Car"/>
    <w:link w:val="Asuntodelcomentario"/>
    <w:uiPriority w:val="99"/>
    <w:semiHidden/>
    <w:rsid w:val="00D9537D"/>
    <w:rPr>
      <w:b/>
      <w:bCs/>
      <w:sz w:val="22"/>
      <w:szCs w:val="24"/>
      <w:lang w:val="es-ES"/>
    </w:rPr>
  </w:style>
  <w:style w:type="paragraph" w:styleId="Revisin">
    <w:name w:val="Revision"/>
    <w:hidden/>
    <w:uiPriority w:val="99"/>
    <w:semiHidden/>
    <w:rsid w:val="00D9537D"/>
    <w:rPr>
      <w:sz w:val="22"/>
      <w:szCs w:val="24"/>
    </w:rPr>
  </w:style>
  <w:style w:type="character" w:styleId="Textodelmarcadordeposicin">
    <w:name w:val="Placeholder Text"/>
    <w:basedOn w:val="Fuentedeprrafopredeter"/>
    <w:uiPriority w:val="99"/>
    <w:rsid w:val="00603FDF"/>
    <w:rPr>
      <w:color w:val="808080"/>
    </w:rPr>
  </w:style>
  <w:style w:type="paragraph" w:styleId="Prrafodelista">
    <w:name w:val="List Paragraph"/>
    <w:basedOn w:val="Normal"/>
    <w:link w:val="PrrafodelistaCar"/>
    <w:uiPriority w:val="34"/>
    <w:qFormat/>
    <w:rsid w:val="00603FDF"/>
    <w:pPr>
      <w:ind w:left="720"/>
      <w:contextualSpacing/>
    </w:pPr>
  </w:style>
  <w:style w:type="paragraph" w:customStyle="1" w:styleId="meetingname">
    <w:name w:val="meeting name"/>
    <w:basedOn w:val="Normal"/>
    <w:qFormat/>
    <w:rsid w:val="00603FDF"/>
    <w:pPr>
      <w:ind w:left="142" w:right="4218" w:hanging="142"/>
    </w:pPr>
    <w:rPr>
      <w:caps/>
      <w:szCs w:val="22"/>
    </w:rPr>
  </w:style>
  <w:style w:type="table" w:styleId="Tablaconcuadrcula">
    <w:name w:val="Table Grid"/>
    <w:basedOn w:val="Tablanormal"/>
    <w:uiPriority w:val="59"/>
    <w:rsid w:val="00603FD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
    <w:name w:val="Para1 Char"/>
    <w:link w:val="Para10"/>
    <w:locked/>
    <w:rsid w:val="00603FDF"/>
    <w:rPr>
      <w:snapToGrid w:val="0"/>
      <w:sz w:val="22"/>
      <w:szCs w:val="18"/>
      <w:lang w:val="es-ES"/>
    </w:rPr>
  </w:style>
  <w:style w:type="character" w:customStyle="1" w:styleId="EncabezadoCar">
    <w:name w:val="Encabezado Car"/>
    <w:basedOn w:val="Fuentedeprrafopredeter"/>
    <w:link w:val="Encabezado"/>
    <w:rsid w:val="00603FDF"/>
    <w:rPr>
      <w:sz w:val="22"/>
      <w:szCs w:val="24"/>
      <w:lang w:val="es-ES"/>
    </w:rPr>
  </w:style>
  <w:style w:type="character" w:customStyle="1" w:styleId="PiedepginaCar">
    <w:name w:val="Pie de página Car"/>
    <w:basedOn w:val="Fuentedeprrafopredeter"/>
    <w:link w:val="Piedepgina"/>
    <w:rsid w:val="00603FDF"/>
    <w:rPr>
      <w:sz w:val="22"/>
      <w:szCs w:val="24"/>
      <w:lang w:val="es-ES"/>
    </w:rPr>
  </w:style>
  <w:style w:type="character" w:styleId="Mencinsinresolver">
    <w:name w:val="Unresolved Mention"/>
    <w:basedOn w:val="Fuentedeprrafopredeter"/>
    <w:uiPriority w:val="99"/>
    <w:semiHidden/>
    <w:unhideWhenUsed/>
    <w:rsid w:val="00E80DBD"/>
    <w:rPr>
      <w:color w:val="605E5C"/>
      <w:shd w:val="clear" w:color="auto" w:fill="E1DFDD"/>
    </w:rPr>
  </w:style>
  <w:style w:type="paragraph" w:styleId="NormalWeb">
    <w:name w:val="Normal (Web)"/>
    <w:basedOn w:val="Normal"/>
    <w:uiPriority w:val="99"/>
    <w:unhideWhenUsed/>
    <w:rsid w:val="006B4E66"/>
    <w:pPr>
      <w:spacing w:before="100" w:beforeAutospacing="1" w:after="100" w:afterAutospacing="1"/>
      <w:jc w:val="left"/>
    </w:pPr>
    <w:rPr>
      <w:sz w:val="24"/>
    </w:rPr>
  </w:style>
  <w:style w:type="paragraph" w:styleId="HTMLconformatoprevio">
    <w:name w:val="HTML Preformatted"/>
    <w:basedOn w:val="Normal"/>
    <w:link w:val="HTMLconformatoprevioCar"/>
    <w:uiPriority w:val="99"/>
    <w:unhideWhenUsed/>
    <w:rsid w:val="00A45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A4579F"/>
    <w:rPr>
      <w:rFonts w:ascii="Courier New" w:hAnsi="Courier New" w:cs="Courier New"/>
      <w:lang w:val="es-ES" w:eastAsia="es-CO"/>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rsid w:val="001E2016"/>
    <w:pPr>
      <w:spacing w:after="160" w:line="240" w:lineRule="exact"/>
    </w:pPr>
    <w:rPr>
      <w:szCs w:val="20"/>
      <w:vertAlign w:val="superscript"/>
    </w:rPr>
  </w:style>
  <w:style w:type="character" w:customStyle="1" w:styleId="PrrafodelistaCar">
    <w:name w:val="Párrafo de lista Car"/>
    <w:basedOn w:val="Fuentedeprrafopredeter"/>
    <w:link w:val="Prrafodelista"/>
    <w:uiPriority w:val="34"/>
    <w:qFormat/>
    <w:locked/>
    <w:rsid w:val="00817C4B"/>
    <w:rPr>
      <w:sz w:val="22"/>
      <w:szCs w:val="24"/>
      <w:lang w:val="es-ES"/>
    </w:rPr>
  </w:style>
  <w:style w:type="paragraph" w:customStyle="1" w:styleId="Para1">
    <w:name w:val="Para 1"/>
    <w:basedOn w:val="Textoindependiente"/>
    <w:rsid w:val="00817C4B"/>
    <w:pPr>
      <w:numPr>
        <w:numId w:val="70"/>
      </w:numPr>
      <w:tabs>
        <w:tab w:val="num" w:pos="360"/>
      </w:tabs>
      <w:ind w:left="0" w:firstLine="0"/>
    </w:pPr>
    <w:rPr>
      <w:rFonts w:eastAsia="MS Mincho" w:cs="Angsana New"/>
      <w:bCs/>
      <w:iCs w:val="0"/>
      <w:szCs w:val="22"/>
    </w:rPr>
  </w:style>
  <w:style w:type="paragraph" w:customStyle="1" w:styleId="trt0xe">
    <w:name w:val="trt0xe"/>
    <w:basedOn w:val="Normal"/>
    <w:rsid w:val="00E20ACC"/>
    <w:pPr>
      <w:spacing w:before="100" w:beforeAutospacing="1" w:after="100" w:afterAutospacing="1"/>
      <w:jc w:val="left"/>
    </w:pPr>
    <w:rPr>
      <w:sz w:val="24"/>
      <w:lang w:eastAsia="en-CA"/>
    </w:rPr>
  </w:style>
  <w:style w:type="character" w:customStyle="1" w:styleId="TextoindependienteCar">
    <w:name w:val="Texto independiente Car"/>
    <w:basedOn w:val="Fuentedeprrafopredeter"/>
    <w:link w:val="Textoindependiente"/>
    <w:rsid w:val="00603FDF"/>
    <w:rPr>
      <w:iCs/>
      <w:sz w:val="22"/>
      <w:szCs w:val="24"/>
      <w:lang w:val="es-ES"/>
    </w:rPr>
  </w:style>
  <w:style w:type="character" w:customStyle="1" w:styleId="SangradetextonormalCar">
    <w:name w:val="Sangría de texto normal Car"/>
    <w:basedOn w:val="Fuentedeprrafopredeter"/>
    <w:link w:val="Sangradetextonormal"/>
    <w:rsid w:val="00603FDF"/>
    <w:rPr>
      <w:sz w:val="22"/>
      <w:szCs w:val="24"/>
      <w:lang w:val="es-ES"/>
    </w:rPr>
  </w:style>
  <w:style w:type="paragraph" w:styleId="Descripcin">
    <w:name w:val="caption"/>
    <w:basedOn w:val="Normal"/>
    <w:next w:val="Normal"/>
    <w:uiPriority w:val="35"/>
    <w:unhideWhenUsed/>
    <w:qFormat/>
    <w:rsid w:val="00603FDF"/>
    <w:pPr>
      <w:keepNext/>
      <w:keepLines/>
      <w:spacing w:after="200"/>
    </w:pPr>
    <w:rPr>
      <w:b/>
      <w:iCs/>
      <w:szCs w:val="18"/>
    </w:rPr>
  </w:style>
  <w:style w:type="paragraph" w:customStyle="1" w:styleId="CBD-Doc">
    <w:name w:val="CBD-Doc"/>
    <w:basedOn w:val="Normal"/>
    <w:rsid w:val="00603FDF"/>
    <w:pPr>
      <w:keepLines/>
      <w:numPr>
        <w:numId w:val="106"/>
      </w:numPr>
      <w:spacing w:after="120"/>
    </w:pPr>
    <w:rPr>
      <w:rFonts w:cs="Angsana New"/>
    </w:rPr>
  </w:style>
  <w:style w:type="paragraph" w:customStyle="1" w:styleId="CBD-Doc-Type">
    <w:name w:val="CBD-Doc-Type"/>
    <w:basedOn w:val="Normal"/>
    <w:rsid w:val="00603FDF"/>
    <w:pPr>
      <w:keepLines/>
      <w:spacing w:before="240" w:after="120"/>
    </w:pPr>
    <w:rPr>
      <w:rFonts w:cs="Angsana New"/>
      <w:b/>
      <w:i/>
      <w:sz w:val="24"/>
    </w:rPr>
  </w:style>
  <w:style w:type="character" w:customStyle="1" w:styleId="TextonotaalfinalCar">
    <w:name w:val="Texto nota al final Car"/>
    <w:basedOn w:val="Fuentedeprrafopredeter"/>
    <w:link w:val="Textonotaalfinal"/>
    <w:semiHidden/>
    <w:rsid w:val="00603FDF"/>
    <w:rPr>
      <w:rFonts w:ascii="Courier New" w:hAnsi="Courier New"/>
      <w:sz w:val="22"/>
      <w:szCs w:val="24"/>
      <w:lang w:val="es-ES"/>
    </w:rPr>
  </w:style>
  <w:style w:type="character" w:customStyle="1" w:styleId="Ttulo1Car">
    <w:name w:val="Título 1 Car"/>
    <w:basedOn w:val="Fuentedeprrafopredeter"/>
    <w:link w:val="Ttulo1"/>
    <w:rsid w:val="00603FDF"/>
    <w:rPr>
      <w:b/>
      <w:caps/>
      <w:sz w:val="22"/>
      <w:szCs w:val="24"/>
      <w:lang w:val="es-ES"/>
    </w:rPr>
  </w:style>
  <w:style w:type="character" w:customStyle="1" w:styleId="Ttulo2Car">
    <w:name w:val="Título 2 Car"/>
    <w:basedOn w:val="Fuentedeprrafopredeter"/>
    <w:link w:val="Ttulo2"/>
    <w:rsid w:val="00603FDF"/>
    <w:rPr>
      <w:b/>
      <w:bCs/>
      <w:iCs/>
      <w:sz w:val="22"/>
      <w:szCs w:val="24"/>
      <w:lang w:val="es-ES"/>
    </w:rPr>
  </w:style>
  <w:style w:type="character" w:customStyle="1" w:styleId="Ttulo3Car">
    <w:name w:val="Título 3 Car"/>
    <w:basedOn w:val="Fuentedeprrafopredeter"/>
    <w:link w:val="Ttulo3"/>
    <w:rsid w:val="00603FDF"/>
    <w:rPr>
      <w:i/>
      <w:iCs/>
      <w:sz w:val="22"/>
      <w:szCs w:val="24"/>
      <w:lang w:val="es-ES"/>
    </w:rPr>
  </w:style>
  <w:style w:type="character" w:customStyle="1" w:styleId="Ttulo4Car">
    <w:name w:val="Título 4 Car"/>
    <w:basedOn w:val="Fuentedeprrafopredeter"/>
    <w:link w:val="Ttulo4"/>
    <w:rsid w:val="00603FDF"/>
    <w:rPr>
      <w:rFonts w:ascii="Times New Roman Bold" w:eastAsia="Arial Unicode MS" w:hAnsi="Times New Roman Bold" w:cs="Arial"/>
      <w:b/>
      <w:bCs/>
      <w:i/>
      <w:sz w:val="22"/>
      <w:szCs w:val="24"/>
      <w:lang w:val="es-ES"/>
    </w:rPr>
  </w:style>
  <w:style w:type="character" w:customStyle="1" w:styleId="Ttulo5Car">
    <w:name w:val="Título 5 Car"/>
    <w:basedOn w:val="Fuentedeprrafopredeter"/>
    <w:link w:val="Ttulo5"/>
    <w:rsid w:val="00603FDF"/>
    <w:rPr>
      <w:bCs/>
      <w:i/>
      <w:sz w:val="22"/>
      <w:szCs w:val="26"/>
    </w:rPr>
  </w:style>
  <w:style w:type="character" w:customStyle="1" w:styleId="Ttulo6Car">
    <w:name w:val="Título 6 Car"/>
    <w:basedOn w:val="Fuentedeprrafopredeter"/>
    <w:link w:val="Ttulo6"/>
    <w:rsid w:val="00603FDF"/>
    <w:rPr>
      <w:sz w:val="22"/>
      <w:szCs w:val="24"/>
      <w:u w:val="single"/>
      <w:lang w:val="es-ES"/>
    </w:rPr>
  </w:style>
  <w:style w:type="character" w:customStyle="1" w:styleId="Ttulo7Car">
    <w:name w:val="Título 7 Car"/>
    <w:basedOn w:val="Fuentedeprrafopredeter"/>
    <w:link w:val="Ttulo7"/>
    <w:rsid w:val="00603FDF"/>
    <w:rPr>
      <w:rFonts w:ascii="Univers" w:hAnsi="Univers"/>
      <w:b/>
      <w:sz w:val="28"/>
      <w:szCs w:val="24"/>
      <w:lang w:val="es-ES"/>
    </w:rPr>
  </w:style>
  <w:style w:type="character" w:customStyle="1" w:styleId="Ttulo8Car">
    <w:name w:val="Título 8 Car"/>
    <w:basedOn w:val="Fuentedeprrafopredeter"/>
    <w:link w:val="Ttulo8"/>
    <w:rsid w:val="00603FDF"/>
    <w:rPr>
      <w:rFonts w:ascii="Univers" w:hAnsi="Univers"/>
      <w:b/>
      <w:sz w:val="32"/>
      <w:szCs w:val="24"/>
      <w:lang w:val="es-ES"/>
    </w:rPr>
  </w:style>
  <w:style w:type="character" w:customStyle="1" w:styleId="Ttulo9Car">
    <w:name w:val="Título 9 Car"/>
    <w:basedOn w:val="Fuentedeprrafopredeter"/>
    <w:link w:val="Ttulo9"/>
    <w:rsid w:val="00603FDF"/>
    <w:rPr>
      <w:i/>
      <w:iCs/>
      <w:sz w:val="22"/>
      <w:szCs w:val="24"/>
      <w:lang w:val="es-ES"/>
    </w:rPr>
  </w:style>
  <w:style w:type="paragraph" w:styleId="Subttulo">
    <w:name w:val="Subtitle"/>
    <w:basedOn w:val="Normal"/>
    <w:next w:val="Normal"/>
    <w:link w:val="SubttuloCar"/>
    <w:uiPriority w:val="11"/>
    <w:qFormat/>
    <w:rsid w:val="00603FDF"/>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603FDF"/>
    <w:rPr>
      <w:rFonts w:asciiTheme="majorHAnsi" w:eastAsiaTheme="majorEastAsia" w:hAnsiTheme="majorHAnsi" w:cstheme="majorBidi"/>
      <w:i/>
      <w:iCs/>
      <w:color w:val="4F81BD" w:themeColor="accent1"/>
      <w:spacing w:val="15"/>
      <w:sz w:val="24"/>
      <w:szCs w:val="24"/>
      <w:lang w:val="es-ES"/>
    </w:rPr>
  </w:style>
  <w:style w:type="paragraph" w:styleId="Ttulo">
    <w:name w:val="Title"/>
    <w:basedOn w:val="Normal"/>
    <w:next w:val="Normal"/>
    <w:link w:val="TtuloCar"/>
    <w:uiPriority w:val="10"/>
    <w:qFormat/>
    <w:rsid w:val="00603F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03FDF"/>
    <w:rPr>
      <w:rFonts w:asciiTheme="majorHAnsi" w:eastAsiaTheme="majorEastAsia" w:hAnsiTheme="majorHAnsi" w:cstheme="majorBidi"/>
      <w:color w:val="17365D" w:themeColor="text2" w:themeShade="BF"/>
      <w:spacing w:val="5"/>
      <w:kern w:val="28"/>
      <w:sz w:val="52"/>
      <w:szCs w:val="5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45903">
      <w:bodyDiv w:val="1"/>
      <w:marLeft w:val="0"/>
      <w:marRight w:val="0"/>
      <w:marTop w:val="0"/>
      <w:marBottom w:val="0"/>
      <w:divBdr>
        <w:top w:val="none" w:sz="0" w:space="0" w:color="auto"/>
        <w:left w:val="none" w:sz="0" w:space="0" w:color="auto"/>
        <w:bottom w:val="none" w:sz="0" w:space="0" w:color="auto"/>
        <w:right w:val="none" w:sz="0" w:space="0" w:color="auto"/>
      </w:divBdr>
    </w:div>
    <w:div w:id="143398215">
      <w:bodyDiv w:val="1"/>
      <w:marLeft w:val="0"/>
      <w:marRight w:val="0"/>
      <w:marTop w:val="0"/>
      <w:marBottom w:val="0"/>
      <w:divBdr>
        <w:top w:val="none" w:sz="0" w:space="0" w:color="auto"/>
        <w:left w:val="none" w:sz="0" w:space="0" w:color="auto"/>
        <w:bottom w:val="none" w:sz="0" w:space="0" w:color="auto"/>
        <w:right w:val="none" w:sz="0" w:space="0" w:color="auto"/>
      </w:divBdr>
    </w:div>
    <w:div w:id="180894775">
      <w:bodyDiv w:val="1"/>
      <w:marLeft w:val="0"/>
      <w:marRight w:val="0"/>
      <w:marTop w:val="0"/>
      <w:marBottom w:val="0"/>
      <w:divBdr>
        <w:top w:val="none" w:sz="0" w:space="0" w:color="auto"/>
        <w:left w:val="none" w:sz="0" w:space="0" w:color="auto"/>
        <w:bottom w:val="none" w:sz="0" w:space="0" w:color="auto"/>
        <w:right w:val="none" w:sz="0" w:space="0" w:color="auto"/>
      </w:divBdr>
      <w:divsChild>
        <w:div w:id="2089034635">
          <w:marLeft w:val="547"/>
          <w:marRight w:val="0"/>
          <w:marTop w:val="115"/>
          <w:marBottom w:val="0"/>
          <w:divBdr>
            <w:top w:val="none" w:sz="0" w:space="0" w:color="auto"/>
            <w:left w:val="none" w:sz="0" w:space="0" w:color="auto"/>
            <w:bottom w:val="none" w:sz="0" w:space="0" w:color="auto"/>
            <w:right w:val="none" w:sz="0" w:space="0" w:color="auto"/>
          </w:divBdr>
        </w:div>
        <w:div w:id="941498814">
          <w:marLeft w:val="1166"/>
          <w:marRight w:val="0"/>
          <w:marTop w:val="86"/>
          <w:marBottom w:val="0"/>
          <w:divBdr>
            <w:top w:val="none" w:sz="0" w:space="0" w:color="auto"/>
            <w:left w:val="none" w:sz="0" w:space="0" w:color="auto"/>
            <w:bottom w:val="none" w:sz="0" w:space="0" w:color="auto"/>
            <w:right w:val="none" w:sz="0" w:space="0" w:color="auto"/>
          </w:divBdr>
        </w:div>
        <w:div w:id="1578173098">
          <w:marLeft w:val="1166"/>
          <w:marRight w:val="0"/>
          <w:marTop w:val="86"/>
          <w:marBottom w:val="0"/>
          <w:divBdr>
            <w:top w:val="none" w:sz="0" w:space="0" w:color="auto"/>
            <w:left w:val="none" w:sz="0" w:space="0" w:color="auto"/>
            <w:bottom w:val="none" w:sz="0" w:space="0" w:color="auto"/>
            <w:right w:val="none" w:sz="0" w:space="0" w:color="auto"/>
          </w:divBdr>
        </w:div>
        <w:div w:id="467939382">
          <w:marLeft w:val="1800"/>
          <w:marRight w:val="0"/>
          <w:marTop w:val="67"/>
          <w:marBottom w:val="0"/>
          <w:divBdr>
            <w:top w:val="none" w:sz="0" w:space="0" w:color="auto"/>
            <w:left w:val="none" w:sz="0" w:space="0" w:color="auto"/>
            <w:bottom w:val="none" w:sz="0" w:space="0" w:color="auto"/>
            <w:right w:val="none" w:sz="0" w:space="0" w:color="auto"/>
          </w:divBdr>
        </w:div>
        <w:div w:id="910581766">
          <w:marLeft w:val="547"/>
          <w:marRight w:val="0"/>
          <w:marTop w:val="115"/>
          <w:marBottom w:val="0"/>
          <w:divBdr>
            <w:top w:val="none" w:sz="0" w:space="0" w:color="auto"/>
            <w:left w:val="none" w:sz="0" w:space="0" w:color="auto"/>
            <w:bottom w:val="none" w:sz="0" w:space="0" w:color="auto"/>
            <w:right w:val="none" w:sz="0" w:space="0" w:color="auto"/>
          </w:divBdr>
        </w:div>
        <w:div w:id="978414005">
          <w:marLeft w:val="1166"/>
          <w:marRight w:val="0"/>
          <w:marTop w:val="86"/>
          <w:marBottom w:val="0"/>
          <w:divBdr>
            <w:top w:val="none" w:sz="0" w:space="0" w:color="auto"/>
            <w:left w:val="none" w:sz="0" w:space="0" w:color="auto"/>
            <w:bottom w:val="none" w:sz="0" w:space="0" w:color="auto"/>
            <w:right w:val="none" w:sz="0" w:space="0" w:color="auto"/>
          </w:divBdr>
        </w:div>
        <w:div w:id="1202209372">
          <w:marLeft w:val="1166"/>
          <w:marRight w:val="0"/>
          <w:marTop w:val="86"/>
          <w:marBottom w:val="0"/>
          <w:divBdr>
            <w:top w:val="none" w:sz="0" w:space="0" w:color="auto"/>
            <w:left w:val="none" w:sz="0" w:space="0" w:color="auto"/>
            <w:bottom w:val="none" w:sz="0" w:space="0" w:color="auto"/>
            <w:right w:val="none" w:sz="0" w:space="0" w:color="auto"/>
          </w:divBdr>
        </w:div>
        <w:div w:id="485241218">
          <w:marLeft w:val="547"/>
          <w:marRight w:val="0"/>
          <w:marTop w:val="115"/>
          <w:marBottom w:val="0"/>
          <w:divBdr>
            <w:top w:val="none" w:sz="0" w:space="0" w:color="auto"/>
            <w:left w:val="none" w:sz="0" w:space="0" w:color="auto"/>
            <w:bottom w:val="none" w:sz="0" w:space="0" w:color="auto"/>
            <w:right w:val="none" w:sz="0" w:space="0" w:color="auto"/>
          </w:divBdr>
        </w:div>
        <w:div w:id="102649561">
          <w:marLeft w:val="1166"/>
          <w:marRight w:val="0"/>
          <w:marTop w:val="86"/>
          <w:marBottom w:val="0"/>
          <w:divBdr>
            <w:top w:val="none" w:sz="0" w:space="0" w:color="auto"/>
            <w:left w:val="none" w:sz="0" w:space="0" w:color="auto"/>
            <w:bottom w:val="none" w:sz="0" w:space="0" w:color="auto"/>
            <w:right w:val="none" w:sz="0" w:space="0" w:color="auto"/>
          </w:divBdr>
        </w:div>
        <w:div w:id="101731757">
          <w:marLeft w:val="1166"/>
          <w:marRight w:val="0"/>
          <w:marTop w:val="86"/>
          <w:marBottom w:val="0"/>
          <w:divBdr>
            <w:top w:val="none" w:sz="0" w:space="0" w:color="auto"/>
            <w:left w:val="none" w:sz="0" w:space="0" w:color="auto"/>
            <w:bottom w:val="none" w:sz="0" w:space="0" w:color="auto"/>
            <w:right w:val="none" w:sz="0" w:space="0" w:color="auto"/>
          </w:divBdr>
        </w:div>
        <w:div w:id="265845506">
          <w:marLeft w:val="1166"/>
          <w:marRight w:val="0"/>
          <w:marTop w:val="86"/>
          <w:marBottom w:val="0"/>
          <w:divBdr>
            <w:top w:val="none" w:sz="0" w:space="0" w:color="auto"/>
            <w:left w:val="none" w:sz="0" w:space="0" w:color="auto"/>
            <w:bottom w:val="none" w:sz="0" w:space="0" w:color="auto"/>
            <w:right w:val="none" w:sz="0" w:space="0" w:color="auto"/>
          </w:divBdr>
        </w:div>
        <w:div w:id="1897741860">
          <w:marLeft w:val="1166"/>
          <w:marRight w:val="0"/>
          <w:marTop w:val="86"/>
          <w:marBottom w:val="0"/>
          <w:divBdr>
            <w:top w:val="none" w:sz="0" w:space="0" w:color="auto"/>
            <w:left w:val="none" w:sz="0" w:space="0" w:color="auto"/>
            <w:bottom w:val="none" w:sz="0" w:space="0" w:color="auto"/>
            <w:right w:val="none" w:sz="0" w:space="0" w:color="auto"/>
          </w:divBdr>
        </w:div>
      </w:divsChild>
    </w:div>
    <w:div w:id="268664553">
      <w:bodyDiv w:val="1"/>
      <w:marLeft w:val="0"/>
      <w:marRight w:val="0"/>
      <w:marTop w:val="0"/>
      <w:marBottom w:val="0"/>
      <w:divBdr>
        <w:top w:val="none" w:sz="0" w:space="0" w:color="auto"/>
        <w:left w:val="none" w:sz="0" w:space="0" w:color="auto"/>
        <w:bottom w:val="none" w:sz="0" w:space="0" w:color="auto"/>
        <w:right w:val="none" w:sz="0" w:space="0" w:color="auto"/>
      </w:divBdr>
    </w:div>
    <w:div w:id="275603723">
      <w:bodyDiv w:val="1"/>
      <w:marLeft w:val="0"/>
      <w:marRight w:val="0"/>
      <w:marTop w:val="0"/>
      <w:marBottom w:val="0"/>
      <w:divBdr>
        <w:top w:val="none" w:sz="0" w:space="0" w:color="auto"/>
        <w:left w:val="none" w:sz="0" w:space="0" w:color="auto"/>
        <w:bottom w:val="none" w:sz="0" w:space="0" w:color="auto"/>
        <w:right w:val="none" w:sz="0" w:space="0" w:color="auto"/>
      </w:divBdr>
    </w:div>
    <w:div w:id="310135538">
      <w:bodyDiv w:val="1"/>
      <w:marLeft w:val="0"/>
      <w:marRight w:val="0"/>
      <w:marTop w:val="0"/>
      <w:marBottom w:val="0"/>
      <w:divBdr>
        <w:top w:val="none" w:sz="0" w:space="0" w:color="auto"/>
        <w:left w:val="none" w:sz="0" w:space="0" w:color="auto"/>
        <w:bottom w:val="none" w:sz="0" w:space="0" w:color="auto"/>
        <w:right w:val="none" w:sz="0" w:space="0" w:color="auto"/>
      </w:divBdr>
      <w:divsChild>
        <w:div w:id="920799416">
          <w:marLeft w:val="0"/>
          <w:marRight w:val="0"/>
          <w:marTop w:val="0"/>
          <w:marBottom w:val="0"/>
          <w:divBdr>
            <w:top w:val="none" w:sz="0" w:space="0" w:color="auto"/>
            <w:left w:val="none" w:sz="0" w:space="0" w:color="auto"/>
            <w:bottom w:val="none" w:sz="0" w:space="0" w:color="auto"/>
            <w:right w:val="none" w:sz="0" w:space="0" w:color="auto"/>
          </w:divBdr>
          <w:divsChild>
            <w:div w:id="281890005">
              <w:marLeft w:val="0"/>
              <w:marRight w:val="0"/>
              <w:marTop w:val="0"/>
              <w:marBottom w:val="0"/>
              <w:divBdr>
                <w:top w:val="none" w:sz="0" w:space="0" w:color="auto"/>
                <w:left w:val="none" w:sz="0" w:space="0" w:color="auto"/>
                <w:bottom w:val="none" w:sz="0" w:space="0" w:color="auto"/>
                <w:right w:val="none" w:sz="0" w:space="0" w:color="auto"/>
              </w:divBdr>
              <w:divsChild>
                <w:div w:id="1594322015">
                  <w:marLeft w:val="0"/>
                  <w:marRight w:val="0"/>
                  <w:marTop w:val="0"/>
                  <w:marBottom w:val="0"/>
                  <w:divBdr>
                    <w:top w:val="none" w:sz="0" w:space="0" w:color="auto"/>
                    <w:left w:val="none" w:sz="0" w:space="0" w:color="auto"/>
                    <w:bottom w:val="none" w:sz="0" w:space="0" w:color="auto"/>
                    <w:right w:val="none" w:sz="0" w:space="0" w:color="auto"/>
                  </w:divBdr>
                  <w:divsChild>
                    <w:div w:id="20094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5609">
          <w:marLeft w:val="0"/>
          <w:marRight w:val="0"/>
          <w:marTop w:val="0"/>
          <w:marBottom w:val="0"/>
          <w:divBdr>
            <w:top w:val="none" w:sz="0" w:space="0" w:color="auto"/>
            <w:left w:val="none" w:sz="0" w:space="0" w:color="auto"/>
            <w:bottom w:val="none" w:sz="0" w:space="0" w:color="auto"/>
            <w:right w:val="none" w:sz="0" w:space="0" w:color="auto"/>
          </w:divBdr>
          <w:divsChild>
            <w:div w:id="833685805">
              <w:marLeft w:val="0"/>
              <w:marRight w:val="0"/>
              <w:marTop w:val="0"/>
              <w:marBottom w:val="0"/>
              <w:divBdr>
                <w:top w:val="none" w:sz="0" w:space="0" w:color="auto"/>
                <w:left w:val="none" w:sz="0" w:space="0" w:color="auto"/>
                <w:bottom w:val="none" w:sz="0" w:space="0" w:color="auto"/>
                <w:right w:val="none" w:sz="0" w:space="0" w:color="auto"/>
              </w:divBdr>
              <w:divsChild>
                <w:div w:id="1647857164">
                  <w:marLeft w:val="0"/>
                  <w:marRight w:val="0"/>
                  <w:marTop w:val="0"/>
                  <w:marBottom w:val="0"/>
                  <w:divBdr>
                    <w:top w:val="none" w:sz="0" w:space="0" w:color="auto"/>
                    <w:left w:val="none" w:sz="0" w:space="0" w:color="auto"/>
                    <w:bottom w:val="none" w:sz="0" w:space="0" w:color="auto"/>
                    <w:right w:val="none" w:sz="0" w:space="0" w:color="auto"/>
                  </w:divBdr>
                  <w:divsChild>
                    <w:div w:id="12456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72075">
      <w:bodyDiv w:val="1"/>
      <w:marLeft w:val="0"/>
      <w:marRight w:val="0"/>
      <w:marTop w:val="0"/>
      <w:marBottom w:val="0"/>
      <w:divBdr>
        <w:top w:val="none" w:sz="0" w:space="0" w:color="auto"/>
        <w:left w:val="none" w:sz="0" w:space="0" w:color="auto"/>
        <w:bottom w:val="none" w:sz="0" w:space="0" w:color="auto"/>
        <w:right w:val="none" w:sz="0" w:space="0" w:color="auto"/>
      </w:divBdr>
    </w:div>
    <w:div w:id="359161603">
      <w:bodyDiv w:val="1"/>
      <w:marLeft w:val="0"/>
      <w:marRight w:val="0"/>
      <w:marTop w:val="0"/>
      <w:marBottom w:val="0"/>
      <w:divBdr>
        <w:top w:val="none" w:sz="0" w:space="0" w:color="auto"/>
        <w:left w:val="none" w:sz="0" w:space="0" w:color="auto"/>
        <w:bottom w:val="none" w:sz="0" w:space="0" w:color="auto"/>
        <w:right w:val="none" w:sz="0" w:space="0" w:color="auto"/>
      </w:divBdr>
    </w:div>
    <w:div w:id="782383425">
      <w:bodyDiv w:val="1"/>
      <w:marLeft w:val="0"/>
      <w:marRight w:val="0"/>
      <w:marTop w:val="0"/>
      <w:marBottom w:val="0"/>
      <w:divBdr>
        <w:top w:val="none" w:sz="0" w:space="0" w:color="auto"/>
        <w:left w:val="none" w:sz="0" w:space="0" w:color="auto"/>
        <w:bottom w:val="none" w:sz="0" w:space="0" w:color="auto"/>
        <w:right w:val="none" w:sz="0" w:space="0" w:color="auto"/>
      </w:divBdr>
    </w:div>
    <w:div w:id="794836961">
      <w:bodyDiv w:val="1"/>
      <w:marLeft w:val="0"/>
      <w:marRight w:val="0"/>
      <w:marTop w:val="0"/>
      <w:marBottom w:val="0"/>
      <w:divBdr>
        <w:top w:val="none" w:sz="0" w:space="0" w:color="auto"/>
        <w:left w:val="none" w:sz="0" w:space="0" w:color="auto"/>
        <w:bottom w:val="none" w:sz="0" w:space="0" w:color="auto"/>
        <w:right w:val="none" w:sz="0" w:space="0" w:color="auto"/>
      </w:divBdr>
    </w:div>
    <w:div w:id="910575351">
      <w:bodyDiv w:val="1"/>
      <w:marLeft w:val="0"/>
      <w:marRight w:val="0"/>
      <w:marTop w:val="0"/>
      <w:marBottom w:val="0"/>
      <w:divBdr>
        <w:top w:val="none" w:sz="0" w:space="0" w:color="auto"/>
        <w:left w:val="none" w:sz="0" w:space="0" w:color="auto"/>
        <w:bottom w:val="none" w:sz="0" w:space="0" w:color="auto"/>
        <w:right w:val="none" w:sz="0" w:space="0" w:color="auto"/>
      </w:divBdr>
    </w:div>
    <w:div w:id="1108698357">
      <w:bodyDiv w:val="1"/>
      <w:marLeft w:val="0"/>
      <w:marRight w:val="0"/>
      <w:marTop w:val="0"/>
      <w:marBottom w:val="0"/>
      <w:divBdr>
        <w:top w:val="none" w:sz="0" w:space="0" w:color="auto"/>
        <w:left w:val="none" w:sz="0" w:space="0" w:color="auto"/>
        <w:bottom w:val="none" w:sz="0" w:space="0" w:color="auto"/>
        <w:right w:val="none" w:sz="0" w:space="0" w:color="auto"/>
      </w:divBdr>
    </w:div>
    <w:div w:id="1120955685">
      <w:bodyDiv w:val="1"/>
      <w:marLeft w:val="0"/>
      <w:marRight w:val="0"/>
      <w:marTop w:val="0"/>
      <w:marBottom w:val="0"/>
      <w:divBdr>
        <w:top w:val="none" w:sz="0" w:space="0" w:color="auto"/>
        <w:left w:val="none" w:sz="0" w:space="0" w:color="auto"/>
        <w:bottom w:val="none" w:sz="0" w:space="0" w:color="auto"/>
        <w:right w:val="none" w:sz="0" w:space="0" w:color="auto"/>
      </w:divBdr>
    </w:div>
    <w:div w:id="1387492761">
      <w:bodyDiv w:val="1"/>
      <w:marLeft w:val="0"/>
      <w:marRight w:val="0"/>
      <w:marTop w:val="0"/>
      <w:marBottom w:val="0"/>
      <w:divBdr>
        <w:top w:val="none" w:sz="0" w:space="0" w:color="auto"/>
        <w:left w:val="none" w:sz="0" w:space="0" w:color="auto"/>
        <w:bottom w:val="none" w:sz="0" w:space="0" w:color="auto"/>
        <w:right w:val="none" w:sz="0" w:space="0" w:color="auto"/>
      </w:divBdr>
      <w:divsChild>
        <w:div w:id="1928271542">
          <w:marLeft w:val="0"/>
          <w:marRight w:val="0"/>
          <w:marTop w:val="0"/>
          <w:marBottom w:val="0"/>
          <w:divBdr>
            <w:top w:val="none" w:sz="0" w:space="0" w:color="auto"/>
            <w:left w:val="none" w:sz="0" w:space="0" w:color="auto"/>
            <w:bottom w:val="none" w:sz="0" w:space="0" w:color="auto"/>
            <w:right w:val="none" w:sz="0" w:space="0" w:color="auto"/>
          </w:divBdr>
          <w:divsChild>
            <w:div w:id="1497726467">
              <w:marLeft w:val="0"/>
              <w:marRight w:val="0"/>
              <w:marTop w:val="0"/>
              <w:marBottom w:val="0"/>
              <w:divBdr>
                <w:top w:val="none" w:sz="0" w:space="0" w:color="auto"/>
                <w:left w:val="none" w:sz="0" w:space="0" w:color="auto"/>
                <w:bottom w:val="none" w:sz="0" w:space="0" w:color="auto"/>
                <w:right w:val="none" w:sz="0" w:space="0" w:color="auto"/>
              </w:divBdr>
              <w:divsChild>
                <w:div w:id="5738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98040">
      <w:bodyDiv w:val="1"/>
      <w:marLeft w:val="0"/>
      <w:marRight w:val="0"/>
      <w:marTop w:val="0"/>
      <w:marBottom w:val="0"/>
      <w:divBdr>
        <w:top w:val="none" w:sz="0" w:space="0" w:color="auto"/>
        <w:left w:val="none" w:sz="0" w:space="0" w:color="auto"/>
        <w:bottom w:val="none" w:sz="0" w:space="0" w:color="auto"/>
        <w:right w:val="none" w:sz="0" w:space="0" w:color="auto"/>
      </w:divBdr>
    </w:div>
    <w:div w:id="1520435501">
      <w:bodyDiv w:val="1"/>
      <w:marLeft w:val="0"/>
      <w:marRight w:val="0"/>
      <w:marTop w:val="0"/>
      <w:marBottom w:val="0"/>
      <w:divBdr>
        <w:top w:val="none" w:sz="0" w:space="0" w:color="auto"/>
        <w:left w:val="none" w:sz="0" w:space="0" w:color="auto"/>
        <w:bottom w:val="none" w:sz="0" w:space="0" w:color="auto"/>
        <w:right w:val="none" w:sz="0" w:space="0" w:color="auto"/>
      </w:divBdr>
    </w:div>
    <w:div w:id="1738094365">
      <w:bodyDiv w:val="1"/>
      <w:marLeft w:val="0"/>
      <w:marRight w:val="0"/>
      <w:marTop w:val="0"/>
      <w:marBottom w:val="0"/>
      <w:divBdr>
        <w:top w:val="none" w:sz="0" w:space="0" w:color="auto"/>
        <w:left w:val="none" w:sz="0" w:space="0" w:color="auto"/>
        <w:bottom w:val="none" w:sz="0" w:space="0" w:color="auto"/>
        <w:right w:val="none" w:sz="0" w:space="0" w:color="auto"/>
      </w:divBdr>
    </w:div>
    <w:div w:id="1759524131">
      <w:bodyDiv w:val="1"/>
      <w:marLeft w:val="0"/>
      <w:marRight w:val="0"/>
      <w:marTop w:val="0"/>
      <w:marBottom w:val="0"/>
      <w:divBdr>
        <w:top w:val="none" w:sz="0" w:space="0" w:color="auto"/>
        <w:left w:val="none" w:sz="0" w:space="0" w:color="auto"/>
        <w:bottom w:val="none" w:sz="0" w:space="0" w:color="auto"/>
        <w:right w:val="none" w:sz="0" w:space="0" w:color="auto"/>
      </w:divBdr>
      <w:divsChild>
        <w:div w:id="921530369">
          <w:marLeft w:val="547"/>
          <w:marRight w:val="0"/>
          <w:marTop w:val="82"/>
          <w:marBottom w:val="0"/>
          <w:divBdr>
            <w:top w:val="none" w:sz="0" w:space="0" w:color="auto"/>
            <w:left w:val="none" w:sz="0" w:space="0" w:color="auto"/>
            <w:bottom w:val="none" w:sz="0" w:space="0" w:color="auto"/>
            <w:right w:val="none" w:sz="0" w:space="0" w:color="auto"/>
          </w:divBdr>
        </w:div>
        <w:div w:id="1108695115">
          <w:marLeft w:val="547"/>
          <w:marRight w:val="0"/>
          <w:marTop w:val="82"/>
          <w:marBottom w:val="0"/>
          <w:divBdr>
            <w:top w:val="none" w:sz="0" w:space="0" w:color="auto"/>
            <w:left w:val="none" w:sz="0" w:space="0" w:color="auto"/>
            <w:bottom w:val="none" w:sz="0" w:space="0" w:color="auto"/>
            <w:right w:val="none" w:sz="0" w:space="0" w:color="auto"/>
          </w:divBdr>
        </w:div>
        <w:div w:id="1576282412">
          <w:marLeft w:val="547"/>
          <w:marRight w:val="0"/>
          <w:marTop w:val="82"/>
          <w:marBottom w:val="0"/>
          <w:divBdr>
            <w:top w:val="none" w:sz="0" w:space="0" w:color="auto"/>
            <w:left w:val="none" w:sz="0" w:space="0" w:color="auto"/>
            <w:bottom w:val="none" w:sz="0" w:space="0" w:color="auto"/>
            <w:right w:val="none" w:sz="0" w:space="0" w:color="auto"/>
          </w:divBdr>
        </w:div>
        <w:div w:id="2052222626">
          <w:marLeft w:val="1166"/>
          <w:marRight w:val="0"/>
          <w:marTop w:val="62"/>
          <w:marBottom w:val="0"/>
          <w:divBdr>
            <w:top w:val="none" w:sz="0" w:space="0" w:color="auto"/>
            <w:left w:val="none" w:sz="0" w:space="0" w:color="auto"/>
            <w:bottom w:val="none" w:sz="0" w:space="0" w:color="auto"/>
            <w:right w:val="none" w:sz="0" w:space="0" w:color="auto"/>
          </w:divBdr>
        </w:div>
        <w:div w:id="100926483">
          <w:marLeft w:val="1166"/>
          <w:marRight w:val="0"/>
          <w:marTop w:val="62"/>
          <w:marBottom w:val="0"/>
          <w:divBdr>
            <w:top w:val="none" w:sz="0" w:space="0" w:color="auto"/>
            <w:left w:val="none" w:sz="0" w:space="0" w:color="auto"/>
            <w:bottom w:val="none" w:sz="0" w:space="0" w:color="auto"/>
            <w:right w:val="none" w:sz="0" w:space="0" w:color="auto"/>
          </w:divBdr>
        </w:div>
        <w:div w:id="1541477514">
          <w:marLeft w:val="1166"/>
          <w:marRight w:val="0"/>
          <w:marTop w:val="62"/>
          <w:marBottom w:val="0"/>
          <w:divBdr>
            <w:top w:val="none" w:sz="0" w:space="0" w:color="auto"/>
            <w:left w:val="none" w:sz="0" w:space="0" w:color="auto"/>
            <w:bottom w:val="none" w:sz="0" w:space="0" w:color="auto"/>
            <w:right w:val="none" w:sz="0" w:space="0" w:color="auto"/>
          </w:divBdr>
        </w:div>
        <w:div w:id="432022287">
          <w:marLeft w:val="547"/>
          <w:marRight w:val="0"/>
          <w:marTop w:val="82"/>
          <w:marBottom w:val="0"/>
          <w:divBdr>
            <w:top w:val="none" w:sz="0" w:space="0" w:color="auto"/>
            <w:left w:val="none" w:sz="0" w:space="0" w:color="auto"/>
            <w:bottom w:val="none" w:sz="0" w:space="0" w:color="auto"/>
            <w:right w:val="none" w:sz="0" w:space="0" w:color="auto"/>
          </w:divBdr>
        </w:div>
        <w:div w:id="818305871">
          <w:marLeft w:val="1166"/>
          <w:marRight w:val="0"/>
          <w:marTop w:val="62"/>
          <w:marBottom w:val="0"/>
          <w:divBdr>
            <w:top w:val="none" w:sz="0" w:space="0" w:color="auto"/>
            <w:left w:val="none" w:sz="0" w:space="0" w:color="auto"/>
            <w:bottom w:val="none" w:sz="0" w:space="0" w:color="auto"/>
            <w:right w:val="none" w:sz="0" w:space="0" w:color="auto"/>
          </w:divBdr>
        </w:div>
        <w:div w:id="1862431929">
          <w:marLeft w:val="1166"/>
          <w:marRight w:val="0"/>
          <w:marTop w:val="62"/>
          <w:marBottom w:val="0"/>
          <w:divBdr>
            <w:top w:val="none" w:sz="0" w:space="0" w:color="auto"/>
            <w:left w:val="none" w:sz="0" w:space="0" w:color="auto"/>
            <w:bottom w:val="none" w:sz="0" w:space="0" w:color="auto"/>
            <w:right w:val="none" w:sz="0" w:space="0" w:color="auto"/>
          </w:divBdr>
        </w:div>
        <w:div w:id="691224818">
          <w:marLeft w:val="1166"/>
          <w:marRight w:val="0"/>
          <w:marTop w:val="62"/>
          <w:marBottom w:val="0"/>
          <w:divBdr>
            <w:top w:val="none" w:sz="0" w:space="0" w:color="auto"/>
            <w:left w:val="none" w:sz="0" w:space="0" w:color="auto"/>
            <w:bottom w:val="none" w:sz="0" w:space="0" w:color="auto"/>
            <w:right w:val="none" w:sz="0" w:space="0" w:color="auto"/>
          </w:divBdr>
        </w:div>
        <w:div w:id="1456679119">
          <w:marLeft w:val="1166"/>
          <w:marRight w:val="0"/>
          <w:marTop w:val="62"/>
          <w:marBottom w:val="0"/>
          <w:divBdr>
            <w:top w:val="none" w:sz="0" w:space="0" w:color="auto"/>
            <w:left w:val="none" w:sz="0" w:space="0" w:color="auto"/>
            <w:bottom w:val="none" w:sz="0" w:space="0" w:color="auto"/>
            <w:right w:val="none" w:sz="0" w:space="0" w:color="auto"/>
          </w:divBdr>
        </w:div>
        <w:div w:id="875115766">
          <w:marLeft w:val="547"/>
          <w:marRight w:val="0"/>
          <w:marTop w:val="82"/>
          <w:marBottom w:val="0"/>
          <w:divBdr>
            <w:top w:val="none" w:sz="0" w:space="0" w:color="auto"/>
            <w:left w:val="none" w:sz="0" w:space="0" w:color="auto"/>
            <w:bottom w:val="none" w:sz="0" w:space="0" w:color="auto"/>
            <w:right w:val="none" w:sz="0" w:space="0" w:color="auto"/>
          </w:divBdr>
        </w:div>
        <w:div w:id="842360331">
          <w:marLeft w:val="547"/>
          <w:marRight w:val="0"/>
          <w:marTop w:val="82"/>
          <w:marBottom w:val="0"/>
          <w:divBdr>
            <w:top w:val="none" w:sz="0" w:space="0" w:color="auto"/>
            <w:left w:val="none" w:sz="0" w:space="0" w:color="auto"/>
            <w:bottom w:val="none" w:sz="0" w:space="0" w:color="auto"/>
            <w:right w:val="none" w:sz="0" w:space="0" w:color="auto"/>
          </w:divBdr>
        </w:div>
      </w:divsChild>
    </w:div>
    <w:div w:id="1834906052">
      <w:bodyDiv w:val="1"/>
      <w:marLeft w:val="0"/>
      <w:marRight w:val="0"/>
      <w:marTop w:val="0"/>
      <w:marBottom w:val="0"/>
      <w:divBdr>
        <w:top w:val="none" w:sz="0" w:space="0" w:color="auto"/>
        <w:left w:val="none" w:sz="0" w:space="0" w:color="auto"/>
        <w:bottom w:val="none" w:sz="0" w:space="0" w:color="auto"/>
        <w:right w:val="none" w:sz="0" w:space="0" w:color="auto"/>
      </w:divBdr>
    </w:div>
    <w:div w:id="2113895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eader" Target="header1.xml"/><Relationship Id="rId26" Type="http://schemas.openxmlformats.org/officeDocument/2006/relationships/hyperlink" Target="https://www.cbd.int/doc/decisions/cop-14/cop-14-dec-20-es.pdf"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www.cbd.int/doc/decisions/cop-14/cop-14-dec-29-es.pdf" TargetMode="Externa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hyperlink" Target="https://www.cbd.int/conferences/post2020" TargetMode="External"/><Relationship Id="rId25" Type="http://schemas.openxmlformats.org/officeDocument/2006/relationships/hyperlink" Target="https://www.cbd.int/doc/decisions/cop-14/cop-14-dec-35-es.pdf" TargetMode="External"/><Relationship Id="rId33" Type="http://schemas.openxmlformats.org/officeDocument/2006/relationships/hyperlink" Target="https://www.cbd.int/doc/decisions/cop-14/cop-14-dec-29-es.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oc/decisions/np-mop-03/np-mop-03-dec-05-es.pdf" TargetMode="External"/><Relationship Id="rId20" Type="http://schemas.openxmlformats.org/officeDocument/2006/relationships/footer" Target="footer1.xml"/><Relationship Id="rId29" Type="http://schemas.openxmlformats.org/officeDocument/2006/relationships/hyperlink" Target="https://www.cbd.int/doc/decisions/cop-14/cop-14-dec-22-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24" Type="http://schemas.openxmlformats.org/officeDocument/2006/relationships/hyperlink" Target="https://www.cbd.int/doc/decisions/cp-mop-09/cp-mop-09-dec-07-es.pdf" TargetMode="External"/><Relationship Id="rId32" Type="http://schemas.openxmlformats.org/officeDocument/2006/relationships/hyperlink" Target="https://www.cbd.int/doc/decisions/cop-14/cop-14-dec-27-es.pdf"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oc/decisions/cp-mop-09/cp-mop-09-dec-07-es.pdf" TargetMode="External"/><Relationship Id="rId23" Type="http://schemas.openxmlformats.org/officeDocument/2006/relationships/footer" Target="footer3.xml"/><Relationship Id="rId28" Type="http://schemas.openxmlformats.org/officeDocument/2006/relationships/hyperlink" Target="https://www.cbd.int/doc/decisions/cop-14/cop-14-dec-35-es.pdf"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cbd.int/doc/decisions/cop-14/cop-14-dec-25-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34-es.pdf" TargetMode="External"/><Relationship Id="rId22" Type="http://schemas.openxmlformats.org/officeDocument/2006/relationships/header" Target="header3.xml"/><Relationship Id="rId27" Type="http://schemas.openxmlformats.org/officeDocument/2006/relationships/hyperlink" Target="https://www.cbd.int/doc/decisions/np-mop-03/np-mop-03-dec-15-es.pdf" TargetMode="External"/><Relationship Id="rId30" Type="http://schemas.openxmlformats.org/officeDocument/2006/relationships/hyperlink" Target="https://www.cbd.int/doc/decisions/cop-14/cop-14-dec-03-es.pdf" TargetMode="External"/><Relationship Id="rId35" Type="http://schemas.openxmlformats.org/officeDocument/2006/relationships/hyperlink" Target="https://www.cbd.int/doc/decisions/cop-14/cop-14-dec-29-e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26C0E10A71F4EFDB18FEF1D2C7A7ABF"/>
        <w:category>
          <w:name w:val="General"/>
          <w:gallery w:val="placeholder"/>
        </w:category>
        <w:types>
          <w:type w:val="bbPlcHdr"/>
        </w:types>
        <w:behaviors>
          <w:behavior w:val="content"/>
        </w:behaviors>
        <w:guid w:val="{A2182327-EA3C-4375-8E82-83438B32D90C}"/>
      </w:docPartPr>
      <w:docPartBody>
        <w:p w:rsidR="007E501A" w:rsidRDefault="004A69EC" w:rsidP="004A69EC">
          <w:pPr>
            <w:pStyle w:val="126C0E10A71F4EFDB18FEF1D2C7A7ABF"/>
          </w:pPr>
          <w:r w:rsidRPr="00B903A7">
            <w:rPr>
              <w:rStyle w:val="Textodelmarcadordeposicin"/>
            </w:rPr>
            <w:t>[Subject]</w:t>
          </w:r>
        </w:p>
      </w:docPartBody>
    </w:docPart>
    <w:docPart>
      <w:docPartPr>
        <w:name w:val="DefaultPlaceholder_1082065158"/>
        <w:category>
          <w:name w:val="General"/>
          <w:gallery w:val="placeholder"/>
        </w:category>
        <w:types>
          <w:type w:val="bbPlcHdr"/>
        </w:types>
        <w:behaviors>
          <w:behavior w:val="content"/>
        </w:behaviors>
        <w:guid w:val="{B3C7E780-0CB4-4E4C-8A86-B91D13ADBF45}"/>
      </w:docPartPr>
      <w:docPartBody>
        <w:p w:rsidR="00D5481D" w:rsidRDefault="00015BC6">
          <w:r w:rsidRPr="00AB60F6">
            <w:rPr>
              <w:rStyle w:val="Textodelmarcadordeposicin"/>
            </w:rPr>
            <w:t>Click here to enter text.</w:t>
          </w:r>
        </w:p>
      </w:docPartBody>
    </w:docPart>
    <w:docPart>
      <w:docPartPr>
        <w:name w:val="5B6B971DB27343279FDA99BE14B766AD"/>
        <w:category>
          <w:name w:val="General"/>
          <w:gallery w:val="placeholder"/>
        </w:category>
        <w:types>
          <w:type w:val="bbPlcHdr"/>
        </w:types>
        <w:behaviors>
          <w:behavior w:val="content"/>
        </w:behaviors>
        <w:guid w:val="{D03089B4-0324-4FFD-BB4E-6F955CD167B3}"/>
      </w:docPartPr>
      <w:docPartBody>
        <w:p w:rsidR="00465E77" w:rsidRDefault="00465E77">
          <w:r w:rsidRPr="009310E0">
            <w:rPr>
              <w:rStyle w:val="Textodelmarcadordeposicin"/>
            </w:rPr>
            <w:t>[Title]</w:t>
          </w:r>
        </w:p>
      </w:docPartBody>
    </w:docPart>
    <w:docPart>
      <w:docPartPr>
        <w:name w:val="DA2D3E7AACEF4F7FBB68B18ABACCDB95"/>
        <w:category>
          <w:name w:val="General"/>
          <w:gallery w:val="placeholder"/>
        </w:category>
        <w:types>
          <w:type w:val="bbPlcHdr"/>
        </w:types>
        <w:behaviors>
          <w:behavior w:val="content"/>
        </w:behaviors>
        <w:guid w:val="{8C3D7F90-B0D1-49F4-BD8A-6F6C511141D7}"/>
      </w:docPartPr>
      <w:docPartBody>
        <w:p w:rsidR="00476905" w:rsidRDefault="00FF7E70" w:rsidP="00FF7E70">
          <w:pPr>
            <w:pStyle w:val="DA2D3E7AACEF4F7FBB68B18ABACCDB95"/>
          </w:pPr>
          <w:r w:rsidRPr="00B903A7">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9AF"/>
    <w:rsid w:val="00015BC6"/>
    <w:rsid w:val="0003424A"/>
    <w:rsid w:val="001B29AF"/>
    <w:rsid w:val="00272203"/>
    <w:rsid w:val="002E2480"/>
    <w:rsid w:val="0033079A"/>
    <w:rsid w:val="0033246E"/>
    <w:rsid w:val="0037757D"/>
    <w:rsid w:val="003E75D7"/>
    <w:rsid w:val="0040648F"/>
    <w:rsid w:val="00465E77"/>
    <w:rsid w:val="00476905"/>
    <w:rsid w:val="004A69EC"/>
    <w:rsid w:val="004B5E1A"/>
    <w:rsid w:val="004C5B3D"/>
    <w:rsid w:val="004C5F72"/>
    <w:rsid w:val="005809B1"/>
    <w:rsid w:val="005A660E"/>
    <w:rsid w:val="005C6A1A"/>
    <w:rsid w:val="00655A58"/>
    <w:rsid w:val="006B0386"/>
    <w:rsid w:val="00760936"/>
    <w:rsid w:val="00772712"/>
    <w:rsid w:val="00791264"/>
    <w:rsid w:val="007C472E"/>
    <w:rsid w:val="007E501A"/>
    <w:rsid w:val="0083264A"/>
    <w:rsid w:val="008A11DC"/>
    <w:rsid w:val="008A6231"/>
    <w:rsid w:val="008D7F3E"/>
    <w:rsid w:val="008F456A"/>
    <w:rsid w:val="00946718"/>
    <w:rsid w:val="009A1E5E"/>
    <w:rsid w:val="009B5CA1"/>
    <w:rsid w:val="00A27574"/>
    <w:rsid w:val="00A27DC9"/>
    <w:rsid w:val="00A725C6"/>
    <w:rsid w:val="00AA6306"/>
    <w:rsid w:val="00B05699"/>
    <w:rsid w:val="00B214A9"/>
    <w:rsid w:val="00B36C7B"/>
    <w:rsid w:val="00BB2CFE"/>
    <w:rsid w:val="00BE0EEB"/>
    <w:rsid w:val="00C05522"/>
    <w:rsid w:val="00C57879"/>
    <w:rsid w:val="00CB61E8"/>
    <w:rsid w:val="00D1182F"/>
    <w:rsid w:val="00D5481D"/>
    <w:rsid w:val="00D647CA"/>
    <w:rsid w:val="00D66A0A"/>
    <w:rsid w:val="00E37968"/>
    <w:rsid w:val="00EC17B5"/>
    <w:rsid w:val="00F54CC4"/>
    <w:rsid w:val="00F8371C"/>
    <w:rsid w:val="00FF7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67"/>
    <w:rsid w:val="00FF7E70"/>
    <w:rPr>
      <w:color w:val="808080"/>
    </w:rPr>
  </w:style>
  <w:style w:type="paragraph" w:customStyle="1" w:styleId="126C0E10A71F4EFDB18FEF1D2C7A7ABF">
    <w:name w:val="126C0E10A71F4EFDB18FEF1D2C7A7ABF"/>
    <w:rsid w:val="004A69EC"/>
    <w:rPr>
      <w:lang w:val="en-CA" w:eastAsia="en-CA"/>
    </w:rPr>
  </w:style>
  <w:style w:type="paragraph" w:customStyle="1" w:styleId="5A9C21BBCAA647059709D265EABAD2F3">
    <w:name w:val="5A9C21BBCAA647059709D265EABAD2F3"/>
    <w:rsid w:val="004A69EC"/>
    <w:rPr>
      <w:lang w:val="en-CA" w:eastAsia="en-CA"/>
    </w:rPr>
  </w:style>
  <w:style w:type="paragraph" w:customStyle="1" w:styleId="CC5BD4D38B3C48169B69B8D86F60A326">
    <w:name w:val="CC5BD4D38B3C48169B69B8D86F60A326"/>
    <w:rsid w:val="008F456A"/>
    <w:pPr>
      <w:spacing w:after="160" w:line="259" w:lineRule="auto"/>
    </w:pPr>
    <w:rPr>
      <w:lang w:val="en-CA" w:eastAsia="en-CA"/>
    </w:rPr>
  </w:style>
  <w:style w:type="paragraph" w:customStyle="1" w:styleId="72D6DF77689140A7A879688DD3FBE7A1">
    <w:name w:val="72D6DF77689140A7A879688DD3FBE7A1"/>
    <w:rsid w:val="008F456A"/>
    <w:pPr>
      <w:spacing w:after="160" w:line="259" w:lineRule="auto"/>
    </w:pPr>
    <w:rPr>
      <w:lang w:val="en-CA" w:eastAsia="en-CA"/>
    </w:rPr>
  </w:style>
  <w:style w:type="paragraph" w:customStyle="1" w:styleId="B8D887AD6CE646B486FAC4B73D94AF3E">
    <w:name w:val="B8D887AD6CE646B486FAC4B73D94AF3E"/>
    <w:rsid w:val="008F456A"/>
    <w:pPr>
      <w:spacing w:after="160" w:line="259" w:lineRule="auto"/>
    </w:pPr>
    <w:rPr>
      <w:lang w:val="en-CA" w:eastAsia="en-CA"/>
    </w:rPr>
  </w:style>
  <w:style w:type="paragraph" w:customStyle="1" w:styleId="460A0B85630F484F8802ACEB86B10468">
    <w:name w:val="460A0B85630F484F8802ACEB86B10468"/>
    <w:rsid w:val="008F456A"/>
    <w:pPr>
      <w:spacing w:after="160" w:line="259" w:lineRule="auto"/>
    </w:pPr>
    <w:rPr>
      <w:lang w:val="en-CA" w:eastAsia="en-CA"/>
    </w:rPr>
  </w:style>
  <w:style w:type="paragraph" w:customStyle="1" w:styleId="A65CCCBEDB4F490C973224B4FCAB19C0">
    <w:name w:val="A65CCCBEDB4F490C973224B4FCAB19C0"/>
    <w:rsid w:val="008F456A"/>
    <w:pPr>
      <w:spacing w:after="160" w:line="259" w:lineRule="auto"/>
    </w:pPr>
    <w:rPr>
      <w:lang w:val="en-CA" w:eastAsia="en-CA"/>
    </w:rPr>
  </w:style>
  <w:style w:type="paragraph" w:customStyle="1" w:styleId="4BEA0013504D4F82B9B833C6D24C16D8">
    <w:name w:val="4BEA0013504D4F82B9B833C6D24C16D8"/>
    <w:rsid w:val="00B214A9"/>
    <w:pPr>
      <w:spacing w:after="160" w:line="259" w:lineRule="auto"/>
    </w:pPr>
    <w:rPr>
      <w:lang w:val="en-CA" w:eastAsia="en-CA"/>
    </w:rPr>
  </w:style>
  <w:style w:type="paragraph" w:customStyle="1" w:styleId="DA2D3E7AACEF4F7FBB68B18ABACCDB95">
    <w:name w:val="DA2D3E7AACEF4F7FBB68B18ABACCDB95"/>
    <w:rsid w:val="00FF7E70"/>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1" ma:contentTypeDescription="Create a new document." ma:contentTypeScope="" ma:versionID="e8f0d6682e211d1545a187fe248da6dd">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d10a597f5170058c6678b36c3d4b6e45"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243C7-BC8C-4C50-BCC3-62B703438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BFD6DF-53D3-487D-ADB6-B0B8E78B2531}">
  <ds:schemaRefs>
    <ds:schemaRef ds:uri="http://schemas.microsoft.com/sharepoint/v3/contenttype/forms"/>
  </ds:schemaRefs>
</ds:datastoreItem>
</file>

<file path=customXml/itemProps3.xml><?xml version="1.0" encoding="utf-8"?>
<ds:datastoreItem xmlns:ds="http://schemas.openxmlformats.org/officeDocument/2006/customXml" ds:itemID="{6838EC98-8108-4BB4-A211-1A96FA8BB7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1A8CCA-A38B-4703-9597-5DEFC6C91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18</Pages>
  <Words>4994</Words>
  <Characters>27473</Characters>
  <Application>Microsoft Office Word</Application>
  <DocSecurity>0</DocSecurity>
  <Lines>228</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1/1.	Preparation of the post-2020 global biodiversity framework:  conclusions of the Working Group at its first meeting</vt:lpstr>
      <vt:lpstr>1/1.	Preparation of the post-2020 global biodiversity framework:  conclusions of the Working Group at its first meeting</vt:lpstr>
    </vt:vector>
  </TitlesOfParts>
  <Manager/>
  <Company>United Nations</Company>
  <LinksUpToDate>false</LinksUpToDate>
  <CharactersWithSpaces>32403</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Preparación del marco mundial de la diversidad biológica posterior a 2020:  conclusiones del grupo de trabajo en su primera reunión</dc:title>
  <dc:subject>CBD/WG2020/REC/1/1</dc:subject>
  <dc:creator>SCBD</dc:creator>
  <cp:keywords>Open-ended Working Group on the Post-2020 Global Biodiversity Framework, first meeting, Nairobi, Kenya, 27-30 August 2019, Convention on Biological Diversity</cp:keywords>
  <cp:lastModifiedBy>Maria Troitino</cp:lastModifiedBy>
  <cp:revision>5</cp:revision>
  <cp:lastPrinted>2019-09-06T14:33:00Z</cp:lastPrinted>
  <dcterms:created xsi:type="dcterms:W3CDTF">2020-05-05T13:10:00Z</dcterms:created>
  <dcterms:modified xsi:type="dcterms:W3CDTF">2020-05-05T19:21:00Z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GRUPO DE TRABAJO DE COMPOSICIÓN ABIERTA SOBRE EL MARCO MUNDIAL DE LA DIVERSIDAD BIOLÓGICA POSTERIOR A 2020</vt:lpwstr>
  </property>
  <property fmtid="{D5CDD505-2E9C-101B-9397-08002B2CF9AE}" pid="4" name="ContentTypeId">
    <vt:lpwstr>0x01010069BFACF6D92CD24AA50050CE23F68F74</vt:lpwstr>
  </property>
</Properties>
</file>