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Ind w:w="-108"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F07B19" w:rsidRPr="00FE1F72" w14:paraId="5C068EE6" w14:textId="77777777" w:rsidTr="00F07B19">
        <w:trPr>
          <w:gridBefore w:val="1"/>
          <w:wBefore w:w="17" w:type="dxa"/>
          <w:trHeight w:val="1196"/>
        </w:trPr>
        <w:tc>
          <w:tcPr>
            <w:tcW w:w="1350" w:type="dxa"/>
            <w:tcBorders>
              <w:bottom w:val="single" w:sz="12" w:space="0" w:color="000000"/>
            </w:tcBorders>
          </w:tcPr>
          <w:p w14:paraId="4214DF20" w14:textId="10EEE162" w:rsidR="00F07B19" w:rsidRPr="00FE1F72" w:rsidRDefault="00F07B19" w:rsidP="00F07B19">
            <w:pPr>
              <w:pStyle w:val="Header"/>
              <w:tabs>
                <w:tab w:val="clear" w:pos="4320"/>
                <w:tab w:val="clear" w:pos="8640"/>
              </w:tabs>
              <w:rPr>
                <w:noProof/>
                <w:lang w:val="fr-FR"/>
              </w:rPr>
            </w:pPr>
            <w:r w:rsidRPr="00FE1F72">
              <w:rPr>
                <w:noProof/>
                <w:lang w:val="fr-FR"/>
              </w:rPr>
              <w:drawing>
                <wp:anchor distT="0" distB="0" distL="114300" distR="114300" simplePos="0" relativeHeight="251660288" behindDoc="0" locked="1" layoutInCell="1" allowOverlap="0" wp14:anchorId="4180FB2C" wp14:editId="40A83B11">
                  <wp:simplePos x="0" y="0"/>
                  <wp:positionH relativeFrom="column">
                    <wp:posOffset>78105</wp:posOffset>
                  </wp:positionH>
                  <wp:positionV relativeFrom="page">
                    <wp:posOffset>69215</wp:posOffset>
                  </wp:positionV>
                  <wp:extent cx="495300" cy="5810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14:paraId="35C09D00" w14:textId="38A5407E" w:rsidR="00F07B19" w:rsidRPr="00FE1F72" w:rsidRDefault="00F07B19" w:rsidP="00F07B19">
            <w:pPr>
              <w:rPr>
                <w:noProof/>
                <w:lang w:val="fr-FR"/>
              </w:rPr>
            </w:pPr>
            <w:r w:rsidRPr="00FE1F72">
              <w:rPr>
                <w:noProof/>
                <w:sz w:val="20"/>
                <w:lang w:val="fr-FR"/>
              </w:rPr>
              <w:drawing>
                <wp:anchor distT="0" distB="0" distL="114300" distR="114300" simplePos="0" relativeHeight="251659264" behindDoc="0" locked="1" layoutInCell="1" allowOverlap="0" wp14:anchorId="0C30AACB" wp14:editId="24DC75F0">
                  <wp:simplePos x="0" y="0"/>
                  <wp:positionH relativeFrom="column">
                    <wp:posOffset>-26035</wp:posOffset>
                  </wp:positionH>
                  <wp:positionV relativeFrom="page">
                    <wp:posOffset>635</wp:posOffset>
                  </wp:positionV>
                  <wp:extent cx="720090" cy="509905"/>
                  <wp:effectExtent l="0" t="0" r="381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4492" r="4492"/>
                          <a:stretch>
                            <a:fillRect/>
                          </a:stretch>
                        </pic:blipFill>
                        <pic:spPr bwMode="auto">
                          <a:xfrm>
                            <a:off x="0" y="0"/>
                            <a:ext cx="720090" cy="509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14:paraId="3953E2B1" w14:textId="77777777" w:rsidR="00F07B19" w:rsidRPr="00FE1F72" w:rsidRDefault="00F07B19" w:rsidP="00F07B19">
            <w:pPr>
              <w:jc w:val="right"/>
              <w:rPr>
                <w:rFonts w:ascii="Univers" w:hAnsi="Univers"/>
                <w:b/>
                <w:noProof/>
                <w:sz w:val="32"/>
                <w:lang w:val="fr-FR"/>
              </w:rPr>
            </w:pPr>
            <w:r>
              <w:rPr>
                <w:rFonts w:ascii="Univers" w:hAnsi="Univers"/>
                <w:b/>
                <w:noProof/>
                <w:sz w:val="32"/>
                <w:lang w:val="fr-FR"/>
              </w:rPr>
              <w:t>CBD</w:t>
            </w:r>
          </w:p>
          <w:p w14:paraId="622C6409" w14:textId="77777777" w:rsidR="00F07B19" w:rsidRPr="00FE1F72" w:rsidRDefault="00F07B19" w:rsidP="00F07B19">
            <w:pPr>
              <w:jc w:val="left"/>
              <w:rPr>
                <w:rFonts w:ascii="Univers" w:hAnsi="Univers"/>
                <w:b/>
                <w:noProof/>
                <w:sz w:val="32"/>
                <w:lang w:val="fr-FR"/>
              </w:rPr>
            </w:pPr>
          </w:p>
        </w:tc>
      </w:tr>
      <w:tr w:rsidR="00F07B19" w:rsidRPr="007C63DB" w14:paraId="76D83EB7" w14:textId="77777777" w:rsidTr="00F07B19">
        <w:trPr>
          <w:trHeight w:val="1693"/>
        </w:trPr>
        <w:tc>
          <w:tcPr>
            <w:tcW w:w="5238" w:type="dxa"/>
            <w:gridSpan w:val="4"/>
          </w:tcPr>
          <w:p w14:paraId="3B787326" w14:textId="106C7C65" w:rsidR="00F07B19" w:rsidRPr="00FE1F72" w:rsidRDefault="00F07B19" w:rsidP="00F07B19">
            <w:pPr>
              <w:jc w:val="left"/>
              <w:rPr>
                <w:noProof/>
                <w:lang w:val="fr-FR"/>
              </w:rPr>
            </w:pPr>
            <w:bookmarkStart w:id="0" w:name="Meeting"/>
            <w:r w:rsidRPr="004217E5">
              <w:rPr>
                <w:bCs/>
                <w:noProof/>
                <w:szCs w:val="22"/>
                <w:lang w:val="fr-FR"/>
              </w:rPr>
              <w:drawing>
                <wp:inline distT="0" distB="0" distL="0" distR="0" wp14:anchorId="3A8C8288" wp14:editId="446FCF32">
                  <wp:extent cx="2849880" cy="1082040"/>
                  <wp:effectExtent l="0" t="0" r="7620" b="3810"/>
                  <wp:docPr id="10" name="Picture 10"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9880" cy="1082040"/>
                          </a:xfrm>
                          <a:prstGeom prst="rect">
                            <a:avLst/>
                          </a:prstGeom>
                          <a:noFill/>
                          <a:ln>
                            <a:noFill/>
                          </a:ln>
                        </pic:spPr>
                      </pic:pic>
                    </a:graphicData>
                  </a:graphic>
                </wp:inline>
              </w:drawing>
            </w:r>
          </w:p>
        </w:tc>
        <w:tc>
          <w:tcPr>
            <w:tcW w:w="1710" w:type="dxa"/>
          </w:tcPr>
          <w:p w14:paraId="16E6472F" w14:textId="77777777" w:rsidR="00F07B19" w:rsidRPr="00FE1F72" w:rsidRDefault="00F07B19" w:rsidP="00F07B19">
            <w:pPr>
              <w:rPr>
                <w:noProof/>
                <w:lang w:val="fr-FR"/>
              </w:rPr>
            </w:pPr>
          </w:p>
        </w:tc>
        <w:tc>
          <w:tcPr>
            <w:tcW w:w="2941" w:type="dxa"/>
          </w:tcPr>
          <w:p w14:paraId="1B458967" w14:textId="77777777" w:rsidR="00F07B19" w:rsidRPr="00FE1F72" w:rsidRDefault="00F07B19" w:rsidP="00F07B19">
            <w:pPr>
              <w:ind w:left="37"/>
              <w:rPr>
                <w:noProof/>
                <w:lang w:val="fr-FR"/>
              </w:rPr>
            </w:pPr>
            <w:r w:rsidRPr="00FE1F72">
              <w:rPr>
                <w:noProof/>
                <w:lang w:val="fr-FR"/>
              </w:rPr>
              <w:t>Distr.</w:t>
            </w:r>
          </w:p>
          <w:p w14:paraId="55B4F827" w14:textId="0DAFE440" w:rsidR="00F07B19" w:rsidRPr="00FE1F72" w:rsidRDefault="00F07B19" w:rsidP="00F07B19">
            <w:pPr>
              <w:ind w:left="37"/>
              <w:rPr>
                <w:noProof/>
                <w:lang w:val="fr-FR"/>
              </w:rPr>
            </w:pPr>
            <w:r w:rsidRPr="00FE1F72">
              <w:rPr>
                <w:noProof/>
                <w:lang w:val="fr-FR"/>
              </w:rPr>
              <w:t>GÉNÉRAL</w:t>
            </w:r>
            <w:r w:rsidR="007C63DB">
              <w:rPr>
                <w:noProof/>
                <w:lang w:val="fr-FR"/>
              </w:rPr>
              <w:t>E</w:t>
            </w:r>
            <w:r>
              <w:rPr>
                <w:noProof/>
                <w:lang w:val="fr-FR"/>
              </w:rPr>
              <w:t xml:space="preserve"> </w:t>
            </w:r>
          </w:p>
          <w:p w14:paraId="1AA0D1CD" w14:textId="77777777" w:rsidR="00F07B19" w:rsidRPr="00FE1F72" w:rsidRDefault="00F07B19" w:rsidP="00F07B19">
            <w:pPr>
              <w:ind w:left="37"/>
              <w:rPr>
                <w:noProof/>
                <w:lang w:val="fr-FR"/>
              </w:rPr>
            </w:pPr>
          </w:p>
          <w:sdt>
            <w:sdtPr>
              <w:rPr>
                <w:kern w:val="22"/>
                <w:szCs w:val="22"/>
                <w:lang w:val="fr-FR"/>
              </w:rPr>
              <w:alias w:val="Subject"/>
              <w:tag w:val=""/>
              <w:id w:val="-344942035"/>
              <w:placeholder>
                <w:docPart w:val="9F2B6D62FCC841BBBF3A60AA0A58BE93"/>
              </w:placeholder>
              <w:dataBinding w:prefixMappings="xmlns:ns0='http://purl.org/dc/elements/1.1/' xmlns:ns1='http://schemas.openxmlformats.org/package/2006/metadata/core-properties' " w:xpath="/ns1:coreProperties[1]/ns0:subject[1]" w:storeItemID="{6C3C8BC8-F283-45AE-878A-BAB7291924A1}"/>
              <w:text/>
            </w:sdtPr>
            <w:sdtEndPr/>
            <w:sdtContent>
              <w:p w14:paraId="18E6B16B" w14:textId="01D189B7" w:rsidR="00CD47FE" w:rsidRPr="00DB2657" w:rsidRDefault="00CD47FE" w:rsidP="00CD47FE">
                <w:pPr>
                  <w:ind w:left="62"/>
                  <w:jc w:val="left"/>
                  <w:rPr>
                    <w:snapToGrid w:val="0"/>
                    <w:kern w:val="22"/>
                    <w:szCs w:val="22"/>
                    <w:lang w:val="fr-FR"/>
                  </w:rPr>
                </w:pPr>
                <w:r w:rsidRPr="00DB2657">
                  <w:rPr>
                    <w:kern w:val="22"/>
                    <w:szCs w:val="22"/>
                    <w:lang w:val="fr-FR"/>
                  </w:rPr>
                  <w:t>CBD/WG2020/</w:t>
                </w:r>
                <w:r w:rsidR="00A365D7">
                  <w:rPr>
                    <w:kern w:val="22"/>
                    <w:szCs w:val="22"/>
                    <w:lang w:val="fr-FR"/>
                  </w:rPr>
                  <w:t>REC/</w:t>
                </w:r>
                <w:r w:rsidRPr="00DB2657">
                  <w:rPr>
                    <w:kern w:val="22"/>
                    <w:szCs w:val="22"/>
                    <w:lang w:val="fr-FR"/>
                  </w:rPr>
                  <w:t>1/</w:t>
                </w:r>
                <w:r w:rsidR="00A365D7">
                  <w:rPr>
                    <w:kern w:val="22"/>
                    <w:szCs w:val="22"/>
                    <w:lang w:val="fr-FR"/>
                  </w:rPr>
                  <w:t>1</w:t>
                </w:r>
              </w:p>
            </w:sdtContent>
          </w:sdt>
          <w:p w14:paraId="014FA714" w14:textId="06E25EE7" w:rsidR="00F07B19" w:rsidRPr="00FE1F72" w:rsidRDefault="00AC721C" w:rsidP="00F07B19">
            <w:pPr>
              <w:ind w:left="37"/>
              <w:rPr>
                <w:noProof/>
                <w:lang w:val="fr-FR"/>
              </w:rPr>
            </w:pPr>
            <w:r>
              <w:rPr>
                <w:noProof/>
                <w:lang w:val="fr-FR"/>
              </w:rPr>
              <w:t>30 août</w:t>
            </w:r>
            <w:r w:rsidR="00F07B19" w:rsidRPr="00FE1F72">
              <w:rPr>
                <w:noProof/>
                <w:lang w:val="fr-FR"/>
              </w:rPr>
              <w:t xml:space="preserve"> 20</w:t>
            </w:r>
            <w:r>
              <w:rPr>
                <w:noProof/>
                <w:lang w:val="fr-FR"/>
              </w:rPr>
              <w:t>1</w:t>
            </w:r>
            <w:r w:rsidR="00F07B19" w:rsidRPr="00FE1F72">
              <w:rPr>
                <w:noProof/>
                <w:lang w:val="fr-FR"/>
              </w:rPr>
              <w:t>9</w:t>
            </w:r>
          </w:p>
          <w:p w14:paraId="67C952BA" w14:textId="77777777" w:rsidR="00F07B19" w:rsidRPr="00FE1F72" w:rsidRDefault="00F07B19" w:rsidP="00F07B19">
            <w:pPr>
              <w:ind w:left="37"/>
              <w:rPr>
                <w:noProof/>
                <w:lang w:val="fr-FR"/>
              </w:rPr>
            </w:pPr>
          </w:p>
          <w:p w14:paraId="317786B5" w14:textId="77777777" w:rsidR="00F07B19" w:rsidRPr="00FE1F72" w:rsidRDefault="00F07B19" w:rsidP="00F07B19">
            <w:pPr>
              <w:ind w:left="37"/>
              <w:rPr>
                <w:noProof/>
                <w:lang w:val="fr-FR"/>
              </w:rPr>
            </w:pPr>
            <w:r w:rsidRPr="00FE1F72">
              <w:rPr>
                <w:noProof/>
                <w:lang w:val="fr-FR"/>
              </w:rPr>
              <w:t>FRANÇAIS</w:t>
            </w:r>
          </w:p>
          <w:p w14:paraId="5177AA97" w14:textId="77777777" w:rsidR="00F07B19" w:rsidRPr="00FE1F72" w:rsidRDefault="00F07B19" w:rsidP="00F07B19">
            <w:pPr>
              <w:ind w:left="37"/>
              <w:rPr>
                <w:rFonts w:ascii="Courier New" w:hAnsi="Courier New"/>
                <w:noProof/>
                <w:lang w:val="fr-FR"/>
              </w:rPr>
            </w:pPr>
            <w:r w:rsidRPr="00FE1F72">
              <w:rPr>
                <w:noProof/>
                <w:lang w:val="fr-FR"/>
              </w:rPr>
              <w:t>ORIGINAL</w:t>
            </w:r>
            <w:r>
              <w:rPr>
                <w:noProof/>
                <w:lang w:val="fr-FR"/>
              </w:rPr>
              <w:t xml:space="preserve"> </w:t>
            </w:r>
            <w:r w:rsidRPr="00FE1F72">
              <w:rPr>
                <w:noProof/>
                <w:lang w:val="fr-FR"/>
              </w:rPr>
              <w:t>:  ANGLAIS</w:t>
            </w:r>
          </w:p>
        </w:tc>
      </w:tr>
    </w:tbl>
    <w:p w14:paraId="59B38DEC" w14:textId="79596808" w:rsidR="00CA6B87" w:rsidRPr="00DB2657" w:rsidRDefault="00957249" w:rsidP="00AC721C">
      <w:pPr>
        <w:pStyle w:val="meetingname"/>
        <w:ind w:right="5391"/>
        <w:jc w:val="left"/>
        <w:rPr>
          <w:kern w:val="22"/>
          <w:lang w:val="fr-FR"/>
        </w:rPr>
      </w:pPr>
      <w:sdt>
        <w:sdtPr>
          <w:rPr>
            <w:lang w:val="fr-FR"/>
          </w:rPr>
          <w:alias w:val="Meeting"/>
          <w:tag w:val="Meeting"/>
          <w:id w:val="1412045910"/>
          <w:placeholder>
            <w:docPart w:val="DefaultPlaceholder_1082065158"/>
          </w:placeholder>
          <w:text/>
        </w:sdtPr>
        <w:sdtEndPr/>
        <w:sdtContent>
          <w:r w:rsidR="005423C4" w:rsidRPr="00DB2657">
            <w:rPr>
              <w:lang w:val="fr-FR"/>
            </w:rPr>
            <w:t>groupe de travail À composition non limitÉe sur le cadre mondial de la biodiversitÉ pour l’ap</w:t>
          </w:r>
          <w:r w:rsidR="0067627A" w:rsidRPr="00DB2657">
            <w:rPr>
              <w:lang w:val="fr-FR"/>
            </w:rPr>
            <w:t>r</w:t>
          </w:r>
          <w:r w:rsidR="00EE062C">
            <w:rPr>
              <w:lang w:val="fr-FR"/>
            </w:rPr>
            <w:t>È</w:t>
          </w:r>
          <w:r w:rsidR="0067627A" w:rsidRPr="00DB2657">
            <w:rPr>
              <w:lang w:val="fr-FR"/>
            </w:rPr>
            <w:t>s</w:t>
          </w:r>
          <w:r w:rsidR="00AC721C" w:rsidRPr="00DB2657">
            <w:rPr>
              <w:lang w:val="fr-FR"/>
            </w:rPr>
            <w:t>-2020</w:t>
          </w:r>
        </w:sdtContent>
      </w:sdt>
      <w:bookmarkEnd w:id="0"/>
    </w:p>
    <w:p w14:paraId="585881F5" w14:textId="4328C861" w:rsidR="00D51069" w:rsidRPr="00AC721C" w:rsidRDefault="00AC721C" w:rsidP="00DA5D37">
      <w:pPr>
        <w:rPr>
          <w:snapToGrid w:val="0"/>
          <w:kern w:val="22"/>
          <w:szCs w:val="22"/>
          <w:lang w:val="fr-FR" w:eastAsia="nb-NO"/>
        </w:rPr>
      </w:pPr>
      <w:r w:rsidRPr="00AC721C">
        <w:rPr>
          <w:snapToGrid w:val="0"/>
          <w:kern w:val="22"/>
          <w:szCs w:val="22"/>
          <w:lang w:val="fr-FR" w:eastAsia="nb-NO"/>
        </w:rPr>
        <w:t>Première réunion</w:t>
      </w:r>
    </w:p>
    <w:p w14:paraId="567E6B12" w14:textId="3D1C76D4" w:rsidR="00CA6B87" w:rsidRPr="00AC721C" w:rsidRDefault="00143C15" w:rsidP="00DA5D37">
      <w:pPr>
        <w:rPr>
          <w:snapToGrid w:val="0"/>
          <w:kern w:val="22"/>
          <w:szCs w:val="22"/>
          <w:lang w:val="fr-FR" w:eastAsia="nb-NO"/>
        </w:rPr>
      </w:pPr>
      <w:r w:rsidRPr="00AC721C">
        <w:rPr>
          <w:snapToGrid w:val="0"/>
          <w:kern w:val="22"/>
          <w:szCs w:val="22"/>
          <w:lang w:val="fr-FR" w:eastAsia="nb-NO"/>
        </w:rPr>
        <w:t>Nairobi</w:t>
      </w:r>
      <w:r w:rsidR="00CA6B87" w:rsidRPr="00AC721C">
        <w:rPr>
          <w:snapToGrid w:val="0"/>
          <w:kern w:val="22"/>
          <w:szCs w:val="22"/>
          <w:lang w:val="fr-FR" w:eastAsia="nb-NO"/>
        </w:rPr>
        <w:t xml:space="preserve">, </w:t>
      </w:r>
      <w:r w:rsidR="00B6487F" w:rsidRPr="00AC721C">
        <w:rPr>
          <w:snapToGrid w:val="0"/>
          <w:kern w:val="22"/>
          <w:szCs w:val="22"/>
          <w:lang w:val="fr-FR" w:eastAsia="nb-NO"/>
        </w:rPr>
        <w:t>27</w:t>
      </w:r>
      <w:r w:rsidR="002E0627" w:rsidRPr="00AC721C">
        <w:rPr>
          <w:snapToGrid w:val="0"/>
          <w:kern w:val="22"/>
          <w:szCs w:val="22"/>
          <w:lang w:val="fr-FR" w:eastAsia="nb-NO"/>
        </w:rPr>
        <w:t>-</w:t>
      </w:r>
      <w:r w:rsidR="00B6487F" w:rsidRPr="00AC721C">
        <w:rPr>
          <w:snapToGrid w:val="0"/>
          <w:kern w:val="22"/>
          <w:szCs w:val="22"/>
          <w:lang w:val="fr-FR" w:eastAsia="nb-NO"/>
        </w:rPr>
        <w:t>30</w:t>
      </w:r>
      <w:r w:rsidR="00D15589" w:rsidRPr="00AC721C">
        <w:rPr>
          <w:snapToGrid w:val="0"/>
          <w:kern w:val="22"/>
          <w:szCs w:val="22"/>
          <w:lang w:val="fr-FR" w:eastAsia="nb-NO"/>
        </w:rPr>
        <w:t xml:space="preserve"> </w:t>
      </w:r>
      <w:r w:rsidR="00AC721C" w:rsidRPr="00AC721C">
        <w:rPr>
          <w:snapToGrid w:val="0"/>
          <w:kern w:val="22"/>
          <w:szCs w:val="22"/>
          <w:lang w:val="fr-FR" w:eastAsia="nb-NO"/>
        </w:rPr>
        <w:t>août</w:t>
      </w:r>
      <w:r w:rsidR="00B6487F" w:rsidRPr="00AC721C">
        <w:rPr>
          <w:snapToGrid w:val="0"/>
          <w:kern w:val="22"/>
          <w:szCs w:val="22"/>
          <w:lang w:val="fr-FR" w:eastAsia="nb-NO"/>
        </w:rPr>
        <w:t xml:space="preserve"> 2019</w:t>
      </w:r>
    </w:p>
    <w:sdt>
      <w:sdtPr>
        <w:rPr>
          <w:rFonts w:eastAsia="Times New Roman"/>
          <w:snapToGrid w:val="0"/>
          <w:kern w:val="22"/>
          <w:szCs w:val="22"/>
          <w:lang w:val="fr-FR"/>
        </w:rPr>
        <w:alias w:val="Title"/>
        <w:tag w:val=""/>
        <w:id w:val="1532753429"/>
        <w:placeholder>
          <w:docPart w:val="5B6B971DB27343279FDA99BE14B766AD"/>
        </w:placeholder>
        <w:dataBinding w:prefixMappings="xmlns:ns0='http://purl.org/dc/elements/1.1/' xmlns:ns1='http://schemas.openxmlformats.org/package/2006/metadata/core-properties' " w:xpath="/ns1:coreProperties[1]/ns0:title[1]" w:storeItemID="{6C3C8BC8-F283-45AE-878A-BAB7291924A1}"/>
        <w:text/>
      </w:sdtPr>
      <w:sdtEndPr/>
      <w:sdtContent>
        <w:p w14:paraId="4ADE6DED" w14:textId="73D02135" w:rsidR="007A3F5E" w:rsidRPr="004E385C" w:rsidRDefault="00634202" w:rsidP="005004E4">
          <w:pPr>
            <w:pStyle w:val="Heading1"/>
            <w:rPr>
              <w:snapToGrid w:val="0"/>
              <w:lang w:val="fr-FR"/>
            </w:rPr>
          </w:pPr>
          <w:r w:rsidRPr="00634202">
            <w:rPr>
              <w:rFonts w:eastAsia="Times New Roman"/>
              <w:snapToGrid w:val="0"/>
              <w:kern w:val="22"/>
              <w:szCs w:val="22"/>
              <w:lang w:val="fr-FR"/>
            </w:rPr>
            <w:t>1/1.</w:t>
          </w:r>
          <w:r w:rsidRPr="00634202">
            <w:rPr>
              <w:rFonts w:eastAsia="Times New Roman"/>
              <w:snapToGrid w:val="0"/>
              <w:kern w:val="22"/>
              <w:szCs w:val="22"/>
              <w:lang w:val="fr-FR"/>
            </w:rPr>
            <w:tab/>
            <w:t>É</w:t>
          </w:r>
          <w:r w:rsidRPr="00634202">
            <w:rPr>
              <w:rFonts w:eastAsia="Times New Roman"/>
              <w:caps w:val="0"/>
              <w:snapToGrid w:val="0"/>
              <w:kern w:val="22"/>
              <w:szCs w:val="22"/>
              <w:lang w:val="fr-FR"/>
            </w:rPr>
            <w:t>laboration du cadre mondial de la biodiversité pour l'après-2020</w:t>
          </w:r>
          <w:r w:rsidRPr="00634202">
            <w:rPr>
              <w:rFonts w:eastAsia="Times New Roman"/>
              <w:snapToGrid w:val="0"/>
              <w:kern w:val="22"/>
              <w:szCs w:val="22"/>
              <w:lang w:val="fr-FR"/>
            </w:rPr>
            <w:t xml:space="preserve">: </w:t>
          </w:r>
          <w:r w:rsidRPr="00634202">
            <w:rPr>
              <w:rFonts w:eastAsia="Times New Roman"/>
              <w:caps w:val="0"/>
              <w:snapToGrid w:val="0"/>
              <w:kern w:val="22"/>
              <w:szCs w:val="22"/>
              <w:lang w:val="fr-FR"/>
            </w:rPr>
            <w:t xml:space="preserve">conclusions du </w:t>
          </w:r>
          <w:r w:rsidRPr="00634202">
            <w:rPr>
              <w:rFonts w:eastAsia="Times New Roman"/>
              <w:snapToGrid w:val="0"/>
              <w:kern w:val="22"/>
              <w:szCs w:val="22"/>
              <w:lang w:val="fr-FR"/>
            </w:rPr>
            <w:t>G</w:t>
          </w:r>
          <w:r w:rsidRPr="00634202">
            <w:rPr>
              <w:rFonts w:eastAsia="Times New Roman"/>
              <w:caps w:val="0"/>
              <w:snapToGrid w:val="0"/>
              <w:kern w:val="22"/>
              <w:szCs w:val="22"/>
              <w:lang w:val="fr-FR"/>
            </w:rPr>
            <w:t>roupe de travail à sa première réunion</w:t>
          </w:r>
        </w:p>
      </w:sdtContent>
    </w:sdt>
    <w:p w14:paraId="6CF9A36F" w14:textId="4825B4B1" w:rsidR="007411C9" w:rsidRPr="00663464" w:rsidRDefault="007411C9" w:rsidP="007411C9">
      <w:pPr>
        <w:pStyle w:val="ListParagraph"/>
        <w:suppressLineNumbers/>
        <w:tabs>
          <w:tab w:val="left" w:pos="709"/>
        </w:tabs>
        <w:suppressAutoHyphens/>
        <w:spacing w:before="120" w:after="120"/>
        <w:ind w:left="0" w:firstLine="709"/>
        <w:rPr>
          <w:rFonts w:eastAsia="Malgun Gothic"/>
          <w:i/>
          <w:snapToGrid w:val="0"/>
          <w:kern w:val="22"/>
          <w:szCs w:val="22"/>
          <w:lang w:val="fr-FR"/>
        </w:rPr>
      </w:pPr>
      <w:r w:rsidRPr="00663464">
        <w:rPr>
          <w:rFonts w:eastAsia="Malgun Gothic"/>
          <w:i/>
          <w:snapToGrid w:val="0"/>
          <w:kern w:val="22"/>
          <w:szCs w:val="22"/>
          <w:lang w:val="fr-FR"/>
        </w:rPr>
        <w:t xml:space="preserve">Le </w:t>
      </w:r>
      <w:r w:rsidR="000C63A6">
        <w:rPr>
          <w:rFonts w:eastAsia="Malgun Gothic"/>
          <w:i/>
          <w:snapToGrid w:val="0"/>
          <w:kern w:val="22"/>
          <w:szCs w:val="22"/>
          <w:lang w:val="fr-FR"/>
        </w:rPr>
        <w:t>G</w:t>
      </w:r>
      <w:r w:rsidRPr="00663464">
        <w:rPr>
          <w:rFonts w:eastAsia="Malgun Gothic"/>
          <w:i/>
          <w:snapToGrid w:val="0"/>
          <w:kern w:val="22"/>
          <w:szCs w:val="22"/>
          <w:lang w:val="fr-FR"/>
        </w:rPr>
        <w:t xml:space="preserve">roupe de travail à composition non limitée </w:t>
      </w:r>
      <w:r w:rsidR="000C63A6">
        <w:rPr>
          <w:rFonts w:eastAsia="Malgun Gothic"/>
          <w:i/>
          <w:snapToGrid w:val="0"/>
          <w:kern w:val="22"/>
          <w:szCs w:val="22"/>
          <w:lang w:val="fr-FR"/>
        </w:rPr>
        <w:t>sur le</w:t>
      </w:r>
      <w:r w:rsidRPr="00663464">
        <w:rPr>
          <w:rFonts w:eastAsia="Malgun Gothic"/>
          <w:i/>
          <w:snapToGrid w:val="0"/>
          <w:kern w:val="22"/>
          <w:szCs w:val="22"/>
          <w:lang w:val="fr-FR"/>
        </w:rPr>
        <w:t xml:space="preserve"> </w:t>
      </w:r>
      <w:r w:rsidR="00B42C73" w:rsidRPr="00663464">
        <w:rPr>
          <w:rFonts w:eastAsia="Malgun Gothic"/>
          <w:i/>
          <w:snapToGrid w:val="0"/>
          <w:kern w:val="22"/>
          <w:szCs w:val="22"/>
          <w:lang w:val="fr-FR"/>
        </w:rPr>
        <w:t>c</w:t>
      </w:r>
      <w:r w:rsidRPr="00663464">
        <w:rPr>
          <w:rFonts w:eastAsia="Malgun Gothic"/>
          <w:i/>
          <w:snapToGrid w:val="0"/>
          <w:kern w:val="22"/>
          <w:szCs w:val="22"/>
          <w:lang w:val="fr-FR"/>
        </w:rPr>
        <w:t>adre mondial de la biodiversité pour l’après</w:t>
      </w:r>
      <w:r w:rsidRPr="00663464">
        <w:rPr>
          <w:rFonts w:eastAsia="Malgun Gothic"/>
          <w:i/>
          <w:snapToGrid w:val="0"/>
          <w:kern w:val="22"/>
          <w:szCs w:val="22"/>
          <w:lang w:val="fr-FR"/>
        </w:rPr>
        <w:noBreakHyphen/>
        <w:t>2020,</w:t>
      </w:r>
    </w:p>
    <w:p w14:paraId="45EB4E1B" w14:textId="37526AAD" w:rsidR="00283F5D" w:rsidRPr="00663464" w:rsidRDefault="007411C9" w:rsidP="00283F5D">
      <w:pPr>
        <w:pStyle w:val="Para10"/>
        <w:numPr>
          <w:ilvl w:val="0"/>
          <w:numId w:val="0"/>
        </w:numPr>
        <w:suppressLineNumbers/>
        <w:tabs>
          <w:tab w:val="left" w:pos="720"/>
        </w:tabs>
        <w:suppressAutoHyphens/>
        <w:ind w:firstLine="720"/>
        <w:rPr>
          <w:kern w:val="22"/>
          <w:szCs w:val="22"/>
          <w:lang w:val="fr-FR"/>
        </w:rPr>
      </w:pPr>
      <w:r w:rsidRPr="00663464">
        <w:rPr>
          <w:rFonts w:eastAsia="Malgun Gothic"/>
          <w:i/>
          <w:kern w:val="22"/>
          <w:szCs w:val="22"/>
          <w:lang w:val="fr-FR"/>
        </w:rPr>
        <w:t xml:space="preserve">Se félicitant </w:t>
      </w:r>
      <w:r w:rsidRPr="00663464">
        <w:rPr>
          <w:rFonts w:eastAsia="Malgun Gothic"/>
          <w:iCs/>
          <w:kern w:val="22"/>
          <w:szCs w:val="22"/>
          <w:lang w:val="fr-FR"/>
        </w:rPr>
        <w:t>des progrès réalisés dans la mise en œuvre de la décision</w:t>
      </w:r>
      <w:r w:rsidRPr="00663464">
        <w:rPr>
          <w:lang w:val="fr-FR"/>
        </w:rPr>
        <w:t xml:space="preserve"> </w:t>
      </w:r>
      <w:hyperlink r:id="rId14" w:history="1">
        <w:r w:rsidR="001E2016" w:rsidRPr="00663464">
          <w:rPr>
            <w:rStyle w:val="Hyperlink"/>
            <w:kern w:val="22"/>
            <w:sz w:val="22"/>
            <w:szCs w:val="22"/>
            <w:lang w:val="fr-FR"/>
          </w:rPr>
          <w:t>14</w:t>
        </w:r>
        <w:r w:rsidR="00DB2657" w:rsidRPr="00663464">
          <w:rPr>
            <w:rStyle w:val="Hyperlink"/>
            <w:kern w:val="22"/>
            <w:sz w:val="22"/>
            <w:szCs w:val="22"/>
            <w:lang w:val="fr-FR"/>
          </w:rPr>
          <w:t>/</w:t>
        </w:r>
        <w:r w:rsidR="001E2016" w:rsidRPr="00663464">
          <w:rPr>
            <w:rStyle w:val="Hyperlink"/>
            <w:kern w:val="22"/>
            <w:sz w:val="22"/>
            <w:szCs w:val="22"/>
            <w:lang w:val="fr-FR"/>
          </w:rPr>
          <w:t>34</w:t>
        </w:r>
      </w:hyperlink>
      <w:r w:rsidR="00283F5D" w:rsidRPr="00663464">
        <w:rPr>
          <w:iCs/>
          <w:kern w:val="22"/>
          <w:szCs w:val="22"/>
          <w:lang w:val="fr-FR"/>
        </w:rPr>
        <w:t xml:space="preserve"> sur le processus préparatoire d’élaboration du </w:t>
      </w:r>
      <w:r w:rsidR="00B42C73" w:rsidRPr="00663464">
        <w:rPr>
          <w:iCs/>
          <w:kern w:val="22"/>
          <w:szCs w:val="22"/>
          <w:lang w:val="fr-FR"/>
        </w:rPr>
        <w:t>c</w:t>
      </w:r>
      <w:r w:rsidR="00283F5D" w:rsidRPr="00663464">
        <w:rPr>
          <w:iCs/>
          <w:kern w:val="22"/>
          <w:szCs w:val="22"/>
          <w:lang w:val="fr-FR"/>
        </w:rPr>
        <w:t>adre mondial de la biodiversité pour l’après</w:t>
      </w:r>
      <w:r w:rsidR="00283F5D" w:rsidRPr="00663464">
        <w:rPr>
          <w:iCs/>
          <w:kern w:val="22"/>
          <w:szCs w:val="22"/>
          <w:lang w:val="fr-FR"/>
        </w:rPr>
        <w:noBreakHyphen/>
        <w:t>2020 et d’autres décisions pertinentes et travaux futurs sur diverses questions pertinentes qui seront examinées lors de réunions intersessions à venir au titre de la Convention et de ses Protocoles,</w:t>
      </w:r>
    </w:p>
    <w:p w14:paraId="6F204623" w14:textId="38A2299C" w:rsidR="00283F5D" w:rsidRPr="00663464" w:rsidRDefault="00283F5D" w:rsidP="00283F5D">
      <w:pPr>
        <w:pStyle w:val="Para10"/>
        <w:numPr>
          <w:ilvl w:val="0"/>
          <w:numId w:val="0"/>
        </w:numPr>
        <w:suppressLineNumbers/>
        <w:tabs>
          <w:tab w:val="left" w:pos="720"/>
        </w:tabs>
        <w:suppressAutoHyphens/>
        <w:ind w:firstLine="720"/>
        <w:rPr>
          <w:kern w:val="22"/>
          <w:szCs w:val="22"/>
          <w:lang w:val="fr-FR"/>
        </w:rPr>
      </w:pPr>
      <w:r w:rsidRPr="00663464">
        <w:rPr>
          <w:i/>
          <w:kern w:val="22"/>
          <w:szCs w:val="22"/>
          <w:lang w:val="fr-FR"/>
        </w:rPr>
        <w:t>Rappelant</w:t>
      </w:r>
      <w:r w:rsidRPr="00663464">
        <w:rPr>
          <w:iCs/>
          <w:kern w:val="22"/>
          <w:szCs w:val="22"/>
          <w:lang w:val="fr-FR"/>
        </w:rPr>
        <w:t xml:space="preserve"> que le processus d’élaboration du </w:t>
      </w:r>
      <w:r w:rsidR="00B42C73" w:rsidRPr="00663464">
        <w:rPr>
          <w:iCs/>
          <w:kern w:val="22"/>
          <w:szCs w:val="22"/>
          <w:lang w:val="fr-FR"/>
        </w:rPr>
        <w:t>c</w:t>
      </w:r>
      <w:r w:rsidRPr="00663464">
        <w:rPr>
          <w:iCs/>
          <w:kern w:val="22"/>
          <w:szCs w:val="22"/>
          <w:lang w:val="fr-FR"/>
        </w:rPr>
        <w:t>adre mondial de la biodiversité pour l’après</w:t>
      </w:r>
      <w:r w:rsidRPr="00663464">
        <w:rPr>
          <w:iCs/>
          <w:kern w:val="22"/>
          <w:szCs w:val="22"/>
          <w:lang w:val="fr-FR"/>
        </w:rPr>
        <w:noBreakHyphen/>
        <w:t xml:space="preserve">2020 continue à être mené par les Parties et guidé par les principes énoncés au paragraphe 2 de la </w:t>
      </w:r>
      <w:r w:rsidR="001A671C">
        <w:rPr>
          <w:iCs/>
          <w:kern w:val="22"/>
          <w:szCs w:val="22"/>
          <w:lang w:val="fr-FR"/>
        </w:rPr>
        <w:t>partie</w:t>
      </w:r>
      <w:r w:rsidRPr="00663464">
        <w:rPr>
          <w:iCs/>
          <w:kern w:val="22"/>
          <w:szCs w:val="22"/>
          <w:lang w:val="fr-FR"/>
        </w:rPr>
        <w:t xml:space="preserve"> A de l’annexe </w:t>
      </w:r>
      <w:r w:rsidR="001A671C">
        <w:rPr>
          <w:iCs/>
          <w:kern w:val="22"/>
          <w:szCs w:val="22"/>
          <w:lang w:val="fr-FR"/>
        </w:rPr>
        <w:t>de</w:t>
      </w:r>
      <w:r w:rsidRPr="00663464">
        <w:rPr>
          <w:iCs/>
          <w:kern w:val="22"/>
          <w:szCs w:val="22"/>
          <w:lang w:val="fr-FR"/>
        </w:rPr>
        <w:t xml:space="preserve"> la décision 14/34, et qu’il est participatif, inclusif, sensible </w:t>
      </w:r>
      <w:r w:rsidR="001A671C">
        <w:rPr>
          <w:iCs/>
          <w:kern w:val="22"/>
          <w:szCs w:val="22"/>
          <w:lang w:val="fr-FR"/>
        </w:rPr>
        <w:t>à la problématique femmes-hommes</w:t>
      </w:r>
      <w:r w:rsidRPr="00663464">
        <w:rPr>
          <w:iCs/>
          <w:kern w:val="22"/>
          <w:szCs w:val="22"/>
          <w:lang w:val="fr-FR"/>
        </w:rPr>
        <w:t xml:space="preserve">, transformateur, exhaustif, catalyseur, transparent et </w:t>
      </w:r>
      <w:r w:rsidR="001A671C">
        <w:rPr>
          <w:iCs/>
          <w:kern w:val="22"/>
          <w:szCs w:val="22"/>
          <w:lang w:val="fr-FR"/>
        </w:rPr>
        <w:t>souple</w:t>
      </w:r>
      <w:r w:rsidRPr="00663464">
        <w:rPr>
          <w:iCs/>
          <w:kern w:val="22"/>
          <w:szCs w:val="22"/>
          <w:lang w:val="fr-FR"/>
        </w:rPr>
        <w:t>, et qu’il tient dûment compte d’une participation équilibrée des diverses parties prenantes</w:t>
      </w:r>
      <w:r w:rsidRPr="00663464">
        <w:rPr>
          <w:kern w:val="22"/>
          <w:szCs w:val="22"/>
          <w:lang w:val="fr-FR"/>
        </w:rPr>
        <w:t>,</w:t>
      </w:r>
    </w:p>
    <w:p w14:paraId="442F9A56" w14:textId="0FE7C277" w:rsidR="00283F5D" w:rsidRPr="00663464" w:rsidRDefault="00283F5D" w:rsidP="00283F5D">
      <w:pPr>
        <w:pStyle w:val="Para10"/>
        <w:numPr>
          <w:ilvl w:val="0"/>
          <w:numId w:val="0"/>
        </w:numPr>
        <w:suppressLineNumbers/>
        <w:tabs>
          <w:tab w:val="left" w:pos="720"/>
        </w:tabs>
        <w:suppressAutoHyphens/>
        <w:ind w:firstLine="720"/>
        <w:rPr>
          <w:rFonts w:eastAsia="Malgun Gothic"/>
          <w:kern w:val="22"/>
          <w:szCs w:val="22"/>
          <w:lang w:val="fr-FR"/>
        </w:rPr>
      </w:pPr>
      <w:r w:rsidRPr="00663464">
        <w:rPr>
          <w:rFonts w:eastAsia="Malgun Gothic"/>
          <w:i/>
          <w:kern w:val="22"/>
          <w:szCs w:val="22"/>
          <w:lang w:val="fr-FR"/>
        </w:rPr>
        <w:t>Réaffirmant,</w:t>
      </w:r>
      <w:r w:rsidRPr="00663464">
        <w:rPr>
          <w:rFonts w:eastAsia="Malgun Gothic"/>
          <w:iCs/>
          <w:kern w:val="22"/>
          <w:szCs w:val="22"/>
          <w:lang w:val="fr-FR"/>
        </w:rPr>
        <w:t xml:space="preserve"> conformément aux paragraphes 6 et 7 de la décision 14/34, la nécessité d’une participation active continue des peuples autochtones et des communautés locales, d’organisations et programmes des Nations Unies, d’autres </w:t>
      </w:r>
      <w:r w:rsidRPr="00663464">
        <w:rPr>
          <w:rStyle w:val="preferred"/>
          <w:lang w:val="fr-FR"/>
        </w:rPr>
        <w:t xml:space="preserve">accords multilatéraux </w:t>
      </w:r>
      <w:r w:rsidR="001A671C">
        <w:rPr>
          <w:rStyle w:val="preferred"/>
          <w:lang w:val="fr-FR"/>
        </w:rPr>
        <w:t>sur</w:t>
      </w:r>
      <w:r w:rsidRPr="00663464">
        <w:rPr>
          <w:rStyle w:val="preferred"/>
          <w:lang w:val="fr-FR"/>
        </w:rPr>
        <w:t xml:space="preserve"> l’environnement, de gouvernements infranationaux, de </w:t>
      </w:r>
      <w:r w:rsidR="001A671C">
        <w:rPr>
          <w:rStyle w:val="preferred"/>
          <w:lang w:val="fr-FR"/>
        </w:rPr>
        <w:t>municipalités</w:t>
      </w:r>
      <w:r w:rsidRPr="00663464">
        <w:rPr>
          <w:rStyle w:val="preferred"/>
          <w:lang w:val="fr-FR"/>
        </w:rPr>
        <w:t xml:space="preserve"> et autres autorités locales, d’organisations intergouvernementales, d’organisations non gouvernementales, de groupes de femmes, de groupes de jeunes,</w:t>
      </w:r>
      <w:r w:rsidRPr="00663464">
        <w:rPr>
          <w:rFonts w:eastAsia="Malgun Gothic"/>
          <w:iCs/>
          <w:kern w:val="22"/>
          <w:szCs w:val="22"/>
          <w:lang w:val="fr-FR"/>
        </w:rPr>
        <w:t xml:space="preserve"> des milieux des affaires et de la finance, de la communauté scientifique, du milieu universitaire, d’organisations confessionnelles, de citoyens et d’autres parties prenantes, et de leur contribution au processus d’élaboration d’un </w:t>
      </w:r>
      <w:r w:rsidR="00B42C73" w:rsidRPr="00663464">
        <w:rPr>
          <w:rFonts w:eastAsia="Malgun Gothic"/>
          <w:iCs/>
          <w:kern w:val="22"/>
          <w:szCs w:val="22"/>
          <w:lang w:val="fr-FR"/>
        </w:rPr>
        <w:t>c</w:t>
      </w:r>
      <w:r w:rsidRPr="00663464">
        <w:rPr>
          <w:rFonts w:eastAsia="Malgun Gothic"/>
          <w:iCs/>
          <w:kern w:val="22"/>
          <w:szCs w:val="22"/>
          <w:lang w:val="fr-FR"/>
        </w:rPr>
        <w:t>adre mondial de la biodiversité pour l’après</w:t>
      </w:r>
      <w:r w:rsidRPr="00663464">
        <w:rPr>
          <w:rFonts w:eastAsia="Malgun Gothic"/>
          <w:iCs/>
          <w:kern w:val="22"/>
          <w:szCs w:val="22"/>
          <w:lang w:val="fr-FR"/>
        </w:rPr>
        <w:noBreakHyphen/>
        <w:t>2020 robuste</w:t>
      </w:r>
      <w:r w:rsidR="001A671C">
        <w:rPr>
          <w:rFonts w:eastAsia="Malgun Gothic"/>
          <w:kern w:val="22"/>
          <w:szCs w:val="22"/>
          <w:lang w:val="fr-FR"/>
        </w:rPr>
        <w:t>,</w:t>
      </w:r>
    </w:p>
    <w:p w14:paraId="7140A530" w14:textId="477E53C9" w:rsidR="00283F5D" w:rsidRPr="00663464" w:rsidRDefault="00283F5D" w:rsidP="00283F5D">
      <w:pPr>
        <w:spacing w:before="120" w:after="120"/>
        <w:ind w:firstLine="720"/>
        <w:rPr>
          <w:szCs w:val="22"/>
          <w:lang w:val="fr-FR" w:eastAsia="en-CA"/>
        </w:rPr>
      </w:pPr>
      <w:r w:rsidRPr="00663464">
        <w:rPr>
          <w:kern w:val="22"/>
          <w:szCs w:val="22"/>
          <w:lang w:val="fr-FR"/>
        </w:rPr>
        <w:t>1.</w:t>
      </w:r>
      <w:r w:rsidRPr="00663464">
        <w:rPr>
          <w:kern w:val="22"/>
          <w:szCs w:val="22"/>
          <w:lang w:val="fr-FR"/>
        </w:rPr>
        <w:tab/>
      </w:r>
      <w:r w:rsidRPr="00663464">
        <w:rPr>
          <w:i/>
          <w:iCs/>
          <w:kern w:val="22"/>
          <w:szCs w:val="22"/>
          <w:lang w:val="fr-FR"/>
        </w:rPr>
        <w:t xml:space="preserve">Se félicite </w:t>
      </w:r>
      <w:r w:rsidRPr="00663464">
        <w:rPr>
          <w:kern w:val="22"/>
          <w:szCs w:val="22"/>
          <w:lang w:val="fr-FR"/>
        </w:rPr>
        <w:t>de</w:t>
      </w:r>
      <w:r w:rsidRPr="00663464">
        <w:rPr>
          <w:i/>
          <w:iCs/>
          <w:kern w:val="22"/>
          <w:szCs w:val="22"/>
          <w:lang w:val="fr-FR"/>
        </w:rPr>
        <w:t xml:space="preserve"> </w:t>
      </w:r>
      <w:r w:rsidRPr="00663464">
        <w:rPr>
          <w:kern w:val="22"/>
          <w:szCs w:val="22"/>
          <w:lang w:val="fr-FR"/>
        </w:rPr>
        <w:t xml:space="preserve">l’offre généreuse de la Chine d’accueillir une réunion additionnelle du Groupe de travail </w:t>
      </w:r>
      <w:r w:rsidR="00B84267" w:rsidRPr="00663464">
        <w:rPr>
          <w:kern w:val="22"/>
          <w:szCs w:val="22"/>
          <w:lang w:val="fr-FR"/>
        </w:rPr>
        <w:t>sur le cadre mondial de la biodiversité pour l’après-2020</w:t>
      </w:r>
      <w:r w:rsidRPr="00663464">
        <w:rPr>
          <w:kern w:val="22"/>
          <w:szCs w:val="22"/>
          <w:lang w:val="fr-FR"/>
        </w:rPr>
        <w:t>, à Kunming (province de Yunnan), du 24 au 28 février 2020</w:t>
      </w:r>
      <w:r w:rsidR="001A671C">
        <w:rPr>
          <w:kern w:val="22"/>
          <w:szCs w:val="22"/>
          <w:lang w:val="fr-FR"/>
        </w:rPr>
        <w:t> </w:t>
      </w:r>
      <w:r w:rsidR="001A671C">
        <w:rPr>
          <w:szCs w:val="22"/>
          <w:lang w:val="fr-FR" w:eastAsia="en-CA"/>
        </w:rPr>
        <w:t>;</w:t>
      </w:r>
    </w:p>
    <w:p w14:paraId="580E1B5F" w14:textId="2042FC8E" w:rsidR="00283F5D" w:rsidRPr="00663464" w:rsidRDefault="00283F5D" w:rsidP="00283F5D">
      <w:pPr>
        <w:spacing w:before="120" w:after="120"/>
        <w:ind w:firstLine="720"/>
        <w:rPr>
          <w:szCs w:val="22"/>
          <w:lang w:val="fr-FR" w:eastAsia="en-CA"/>
        </w:rPr>
      </w:pPr>
      <w:r w:rsidRPr="00663464">
        <w:rPr>
          <w:szCs w:val="22"/>
          <w:lang w:val="fr-FR" w:eastAsia="en-CA"/>
        </w:rPr>
        <w:t>2.</w:t>
      </w:r>
      <w:r w:rsidRPr="00663464">
        <w:rPr>
          <w:szCs w:val="22"/>
          <w:lang w:val="fr-FR" w:eastAsia="en-CA"/>
        </w:rPr>
        <w:tab/>
      </w:r>
      <w:r w:rsidRPr="00663464">
        <w:rPr>
          <w:i/>
          <w:iCs/>
          <w:szCs w:val="22"/>
          <w:lang w:val="fr-FR" w:eastAsia="en-CA"/>
        </w:rPr>
        <w:t xml:space="preserve">Se félicite également </w:t>
      </w:r>
      <w:r w:rsidRPr="00663464">
        <w:rPr>
          <w:szCs w:val="22"/>
          <w:lang w:val="fr-FR" w:eastAsia="en-CA"/>
        </w:rPr>
        <w:t>de l’offre de la Colombie d’accueillir la troisième réunion du Groupe de travail, à Cali, du 27 au 31 juillet 2020, et reconnaît le soutien de la Norvège pour l’organisation de cette réunion</w:t>
      </w:r>
      <w:r w:rsidR="001A671C">
        <w:rPr>
          <w:szCs w:val="22"/>
          <w:lang w:val="fr-FR" w:eastAsia="en-CA"/>
        </w:rPr>
        <w:t> ;</w:t>
      </w:r>
    </w:p>
    <w:p w14:paraId="303CEBF2" w14:textId="0A158319" w:rsidR="00283F5D" w:rsidRPr="00663464" w:rsidRDefault="00283F5D" w:rsidP="00283F5D">
      <w:pPr>
        <w:spacing w:before="120" w:after="120"/>
        <w:ind w:firstLine="720"/>
        <w:rPr>
          <w:rFonts w:eastAsia="Malgun Gothic"/>
          <w:kern w:val="22"/>
          <w:szCs w:val="22"/>
          <w:lang w:val="fr-FR"/>
        </w:rPr>
      </w:pPr>
      <w:r w:rsidRPr="00663464">
        <w:rPr>
          <w:rFonts w:eastAsia="Malgun Gothic"/>
          <w:kern w:val="22"/>
          <w:szCs w:val="22"/>
          <w:lang w:val="fr-FR"/>
        </w:rPr>
        <w:t>3.</w:t>
      </w:r>
      <w:r w:rsidRPr="00663464">
        <w:rPr>
          <w:rFonts w:eastAsia="Malgun Gothic"/>
          <w:snapToGrid w:val="0"/>
          <w:kern w:val="22"/>
          <w:szCs w:val="22"/>
          <w:lang w:val="fr-FR"/>
        </w:rPr>
        <w:tab/>
      </w:r>
      <w:r w:rsidRPr="00663464">
        <w:rPr>
          <w:rFonts w:eastAsia="Malgun Gothic"/>
          <w:i/>
          <w:iCs/>
          <w:snapToGrid w:val="0"/>
          <w:kern w:val="22"/>
          <w:szCs w:val="22"/>
          <w:lang w:val="fr-FR"/>
        </w:rPr>
        <w:t xml:space="preserve">Invite </w:t>
      </w:r>
      <w:r w:rsidRPr="00663464">
        <w:rPr>
          <w:rFonts w:eastAsia="Malgun Gothic"/>
          <w:snapToGrid w:val="0"/>
          <w:kern w:val="22"/>
          <w:szCs w:val="22"/>
          <w:lang w:val="fr-FR"/>
        </w:rPr>
        <w:t xml:space="preserve">les Parties, les autres gouvernements, les organisations concernées et les parties prenantes à soumettre à la Secrétaire exécutive des propositions sur la structure du </w:t>
      </w:r>
      <w:r w:rsidR="00B42C73" w:rsidRPr="00663464">
        <w:rPr>
          <w:rFonts w:eastAsia="Malgun Gothic"/>
          <w:snapToGrid w:val="0"/>
          <w:kern w:val="22"/>
          <w:szCs w:val="22"/>
          <w:lang w:val="fr-FR"/>
        </w:rPr>
        <w:t>c</w:t>
      </w:r>
      <w:r w:rsidRPr="00663464">
        <w:rPr>
          <w:rFonts w:eastAsia="Malgun Gothic"/>
          <w:snapToGrid w:val="0"/>
          <w:kern w:val="22"/>
          <w:szCs w:val="22"/>
          <w:lang w:val="fr-FR"/>
        </w:rPr>
        <w:t>adre mondial de la biodiversité pour l’après</w:t>
      </w:r>
      <w:r w:rsidRPr="00663464">
        <w:rPr>
          <w:rFonts w:eastAsia="Malgun Gothic"/>
          <w:snapToGrid w:val="0"/>
          <w:kern w:val="22"/>
          <w:szCs w:val="22"/>
          <w:lang w:val="fr-FR"/>
        </w:rPr>
        <w:noBreakHyphen/>
        <w:t>2020 d’ici au 15 septembre 2019</w:t>
      </w:r>
      <w:r w:rsidR="001A671C">
        <w:rPr>
          <w:rFonts w:eastAsia="Malgun Gothic"/>
          <w:snapToGrid w:val="0"/>
          <w:kern w:val="22"/>
          <w:szCs w:val="22"/>
          <w:lang w:val="fr-FR"/>
        </w:rPr>
        <w:t> ;</w:t>
      </w:r>
    </w:p>
    <w:p w14:paraId="79A01225" w14:textId="7E81E46B" w:rsidR="00283F5D" w:rsidRPr="00663464" w:rsidRDefault="00283F5D" w:rsidP="00283F5D">
      <w:pPr>
        <w:spacing w:before="120" w:after="120"/>
        <w:ind w:firstLine="720"/>
        <w:rPr>
          <w:rFonts w:eastAsia="Malgun Gothic"/>
          <w:kern w:val="22"/>
          <w:szCs w:val="22"/>
          <w:lang w:val="fr-FR"/>
        </w:rPr>
      </w:pPr>
      <w:r w:rsidRPr="00663464">
        <w:rPr>
          <w:rFonts w:eastAsia="Malgun Gothic"/>
          <w:kern w:val="22"/>
          <w:szCs w:val="22"/>
          <w:lang w:val="fr-FR"/>
        </w:rPr>
        <w:lastRenderedPageBreak/>
        <w:t>4.</w:t>
      </w:r>
      <w:r w:rsidRPr="00663464">
        <w:rPr>
          <w:rFonts w:eastAsia="Malgun Gothic"/>
          <w:i/>
          <w:kern w:val="22"/>
          <w:szCs w:val="22"/>
          <w:lang w:val="fr-FR"/>
        </w:rPr>
        <w:tab/>
        <w:t xml:space="preserve">Prie </w:t>
      </w:r>
      <w:r w:rsidRPr="00663464">
        <w:rPr>
          <w:rFonts w:eastAsia="Malgun Gothic"/>
          <w:iCs/>
          <w:kern w:val="22"/>
          <w:szCs w:val="22"/>
          <w:lang w:val="fr-FR"/>
        </w:rPr>
        <w:t xml:space="preserve">les coprésidents et la Secrétaire exécutive, sous la supervision du Bureau, de </w:t>
      </w:r>
      <w:r w:rsidRPr="00663464">
        <w:rPr>
          <w:rFonts w:eastAsia="Malgun Gothic"/>
          <w:iCs/>
          <w:noProof/>
          <w:kern w:val="22"/>
          <w:szCs w:val="22"/>
          <w:lang w:val="fr-FR"/>
        </w:rPr>
        <w:t xml:space="preserve">poursuivre le processus préparatoire conformément aux </w:t>
      </w:r>
      <w:r w:rsidRPr="00663464">
        <w:rPr>
          <w:iCs/>
          <w:noProof/>
          <w:kern w:val="22"/>
          <w:szCs w:val="22"/>
          <w:lang w:val="fr-FR"/>
        </w:rPr>
        <w:t>décisions 14/34</w:t>
      </w:r>
      <w:r w:rsidR="001E2016" w:rsidRPr="00663464">
        <w:rPr>
          <w:rFonts w:eastAsia="Malgun Gothic"/>
          <w:kern w:val="22"/>
          <w:szCs w:val="22"/>
          <w:lang w:val="fr-FR" w:eastAsia="x-none"/>
        </w:rPr>
        <w:t xml:space="preserve">, </w:t>
      </w:r>
      <w:hyperlink r:id="rId15" w:history="1">
        <w:r w:rsidR="001E2016" w:rsidRPr="00663464">
          <w:rPr>
            <w:rStyle w:val="Hyperlink"/>
            <w:rFonts w:eastAsia="Malgun Gothic"/>
            <w:kern w:val="22"/>
            <w:sz w:val="22"/>
            <w:szCs w:val="22"/>
            <w:lang w:val="fr-FR" w:eastAsia="x-none"/>
          </w:rPr>
          <w:t>CP-9/7</w:t>
        </w:r>
      </w:hyperlink>
      <w:r w:rsidR="001E2016" w:rsidRPr="00663464">
        <w:rPr>
          <w:rFonts w:eastAsia="Malgun Gothic"/>
          <w:kern w:val="22"/>
          <w:szCs w:val="22"/>
          <w:lang w:val="fr-FR" w:eastAsia="x-none"/>
        </w:rPr>
        <w:t xml:space="preserve"> </w:t>
      </w:r>
      <w:r w:rsidRPr="00663464">
        <w:rPr>
          <w:rFonts w:eastAsia="Malgun Gothic"/>
          <w:kern w:val="22"/>
          <w:szCs w:val="22"/>
          <w:lang w:val="fr-FR" w:eastAsia="x-none"/>
        </w:rPr>
        <w:t>et</w:t>
      </w:r>
      <w:r w:rsidR="001E2016" w:rsidRPr="00663464">
        <w:rPr>
          <w:rFonts w:eastAsia="Malgun Gothic"/>
          <w:kern w:val="22"/>
          <w:szCs w:val="22"/>
          <w:lang w:val="fr-FR" w:eastAsia="x-none"/>
        </w:rPr>
        <w:t xml:space="preserve"> </w:t>
      </w:r>
      <w:hyperlink r:id="rId16" w:history="1">
        <w:r w:rsidR="001E2016" w:rsidRPr="00663464">
          <w:rPr>
            <w:rStyle w:val="Hyperlink"/>
            <w:rFonts w:eastAsia="Malgun Gothic"/>
            <w:kern w:val="22"/>
            <w:sz w:val="22"/>
            <w:szCs w:val="22"/>
            <w:lang w:val="fr-FR" w:eastAsia="x-none"/>
          </w:rPr>
          <w:t>NP-3/15</w:t>
        </w:r>
      </w:hyperlink>
      <w:r w:rsidR="001E2016" w:rsidRPr="00663464">
        <w:rPr>
          <w:rFonts w:eastAsia="Malgun Gothic"/>
          <w:kern w:val="22"/>
          <w:szCs w:val="22"/>
          <w:lang w:val="fr-FR" w:eastAsia="x-none"/>
        </w:rPr>
        <w:t>,</w:t>
      </w:r>
      <w:r w:rsidRPr="00663464">
        <w:rPr>
          <w:iCs/>
          <w:noProof/>
          <w:kern w:val="22"/>
          <w:szCs w:val="22"/>
          <w:lang w:val="fr-FR"/>
        </w:rPr>
        <w:t xml:space="preserve"> et d</w:t>
      </w:r>
      <w:r w:rsidR="001A671C">
        <w:rPr>
          <w:iCs/>
          <w:noProof/>
          <w:kern w:val="22"/>
          <w:szCs w:val="22"/>
          <w:lang w:val="fr-FR"/>
        </w:rPr>
        <w:t>’élaborer</w:t>
      </w:r>
      <w:r w:rsidRPr="00663464">
        <w:rPr>
          <w:iCs/>
          <w:noProof/>
          <w:kern w:val="22"/>
          <w:szCs w:val="22"/>
          <w:lang w:val="fr-FR"/>
        </w:rPr>
        <w:t xml:space="preserve"> la documentation, y compris un avant</w:t>
      </w:r>
      <w:r w:rsidRPr="00663464">
        <w:rPr>
          <w:iCs/>
          <w:noProof/>
          <w:kern w:val="22"/>
          <w:szCs w:val="22"/>
          <w:lang w:val="fr-FR"/>
        </w:rPr>
        <w:noBreakHyphen/>
        <w:t xml:space="preserve">projet de texte du </w:t>
      </w:r>
      <w:r w:rsidR="00B42C73" w:rsidRPr="00663464">
        <w:rPr>
          <w:iCs/>
          <w:noProof/>
          <w:kern w:val="22"/>
          <w:szCs w:val="22"/>
          <w:lang w:val="fr-FR"/>
        </w:rPr>
        <w:t>c</w:t>
      </w:r>
      <w:r w:rsidRPr="00663464">
        <w:rPr>
          <w:iCs/>
          <w:noProof/>
          <w:kern w:val="22"/>
          <w:szCs w:val="22"/>
          <w:lang w:val="fr-FR"/>
        </w:rPr>
        <w:t>adre mondial de la biodiversité pour l’après</w:t>
      </w:r>
      <w:r w:rsidRPr="00663464">
        <w:rPr>
          <w:iCs/>
          <w:noProof/>
          <w:kern w:val="22"/>
          <w:szCs w:val="22"/>
          <w:lang w:val="fr-FR"/>
        </w:rPr>
        <w:noBreakHyphen/>
        <w:t>2020, six semaines avant la tenue de la deuxième réunion du Groupe de travail, en s’inspirant des débats de la présente première réunion, y compris des points de vue préliminaires tels qu</w:t>
      </w:r>
      <w:r w:rsidR="001A671C">
        <w:rPr>
          <w:iCs/>
          <w:noProof/>
          <w:kern w:val="22"/>
          <w:szCs w:val="22"/>
          <w:lang w:val="fr-FR"/>
        </w:rPr>
        <w:t>’ils figurent</w:t>
      </w:r>
      <w:r w:rsidRPr="00663464">
        <w:rPr>
          <w:iCs/>
          <w:noProof/>
          <w:kern w:val="22"/>
          <w:szCs w:val="22"/>
          <w:lang w:val="fr-FR"/>
        </w:rPr>
        <w:t xml:space="preserve"> à l’annexe I, ainsi que des résultats de la onzième réunion du Groupe de travail spécial intersessions à composition non limitée sur l’article 8 j) et les dispositions connexes et de la vingt</w:t>
      </w:r>
      <w:r w:rsidRPr="00663464">
        <w:rPr>
          <w:iCs/>
          <w:noProof/>
          <w:kern w:val="22"/>
          <w:szCs w:val="22"/>
          <w:lang w:val="fr-FR"/>
        </w:rPr>
        <w:noBreakHyphen/>
        <w:t>troisième réunion de l’Organe subsidiaire chargé de donner des avis scientifiques, techniques et technologiques</w:t>
      </w:r>
      <w:r w:rsidRPr="00663464">
        <w:rPr>
          <w:iCs/>
          <w:kern w:val="22"/>
          <w:szCs w:val="22"/>
          <w:lang w:val="fr-FR"/>
        </w:rPr>
        <w:t>, et des résultats d’autres réunions, consultations et ateliers pertinents,</w:t>
      </w:r>
      <w:r w:rsidRPr="00663464">
        <w:rPr>
          <w:rFonts w:eastAsia="Malgun Gothic"/>
          <w:iCs/>
          <w:kern w:val="22"/>
          <w:szCs w:val="22"/>
          <w:lang w:val="fr-FR"/>
        </w:rPr>
        <w:t xml:space="preserve"> et des nouvelles </w:t>
      </w:r>
      <w:r w:rsidR="00B25CDE">
        <w:rPr>
          <w:rFonts w:eastAsia="Malgun Gothic"/>
          <w:iCs/>
          <w:kern w:val="22"/>
          <w:szCs w:val="22"/>
          <w:lang w:val="fr-FR"/>
        </w:rPr>
        <w:t>observations</w:t>
      </w:r>
      <w:r w:rsidRPr="00663464">
        <w:rPr>
          <w:rFonts w:eastAsia="Malgun Gothic"/>
          <w:iCs/>
          <w:kern w:val="22"/>
          <w:szCs w:val="22"/>
          <w:lang w:val="fr-FR"/>
        </w:rPr>
        <w:t xml:space="preserve"> émanant des Parties et observateurs, afin de faciliter les travaux du Groupe de travail à sa deuxième réunion, et de présenter un aperçu préliminaire de </w:t>
      </w:r>
      <w:r w:rsidRPr="00663464">
        <w:rPr>
          <w:rFonts w:eastAsia="Malgun Gothic"/>
          <w:iCs/>
          <w:noProof/>
          <w:kern w:val="22"/>
          <w:szCs w:val="22"/>
          <w:lang w:val="fr-FR"/>
        </w:rPr>
        <w:t>l’avant</w:t>
      </w:r>
      <w:r w:rsidRPr="00663464">
        <w:rPr>
          <w:rFonts w:eastAsia="Malgun Gothic"/>
          <w:iCs/>
          <w:noProof/>
          <w:kern w:val="22"/>
          <w:szCs w:val="22"/>
          <w:lang w:val="fr-FR"/>
        </w:rPr>
        <w:noBreakHyphen/>
        <w:t xml:space="preserve">projet à la </w:t>
      </w:r>
      <w:r w:rsidRPr="00663464">
        <w:rPr>
          <w:rFonts w:eastAsia="Malgun Gothic"/>
          <w:iCs/>
          <w:kern w:val="22"/>
          <w:szCs w:val="22"/>
          <w:lang w:val="fr-FR"/>
        </w:rPr>
        <w:t>séance informelle le 24 novembre 2019</w:t>
      </w:r>
      <w:r w:rsidR="001A671C">
        <w:rPr>
          <w:rFonts w:eastAsia="Malgun Gothic"/>
          <w:iCs/>
          <w:kern w:val="22"/>
          <w:szCs w:val="22"/>
          <w:lang w:val="fr-FR"/>
        </w:rPr>
        <w:t> ;</w:t>
      </w:r>
    </w:p>
    <w:p w14:paraId="0CE50A68" w14:textId="7244E3F2" w:rsidR="00283F5D" w:rsidRPr="00663464" w:rsidRDefault="00283F5D" w:rsidP="00283F5D">
      <w:pPr>
        <w:pStyle w:val="Para10"/>
        <w:numPr>
          <w:ilvl w:val="0"/>
          <w:numId w:val="0"/>
        </w:numPr>
        <w:suppressLineNumbers/>
        <w:tabs>
          <w:tab w:val="left" w:pos="720"/>
        </w:tabs>
        <w:suppressAutoHyphens/>
        <w:ind w:firstLine="720"/>
        <w:rPr>
          <w:kern w:val="22"/>
          <w:szCs w:val="22"/>
          <w:lang w:val="fr-FR"/>
        </w:rPr>
      </w:pPr>
      <w:r w:rsidRPr="00663464">
        <w:rPr>
          <w:kern w:val="22"/>
          <w:szCs w:val="22"/>
          <w:lang w:val="fr-FR"/>
        </w:rPr>
        <w:t>5.</w:t>
      </w:r>
      <w:r w:rsidRPr="00663464">
        <w:rPr>
          <w:kern w:val="22"/>
          <w:szCs w:val="22"/>
          <w:lang w:val="fr-FR"/>
        </w:rPr>
        <w:tab/>
      </w:r>
      <w:r w:rsidRPr="00663464">
        <w:rPr>
          <w:i/>
          <w:iCs/>
          <w:kern w:val="22"/>
          <w:szCs w:val="22"/>
          <w:lang w:val="fr-FR"/>
        </w:rPr>
        <w:t xml:space="preserve">Prend note </w:t>
      </w:r>
      <w:r w:rsidRPr="00663464">
        <w:rPr>
          <w:kern w:val="22"/>
          <w:szCs w:val="22"/>
          <w:lang w:val="fr-FR"/>
        </w:rPr>
        <w:t xml:space="preserve">de la liste préliminaire des réunions, consultations et ateliers pour l’élaboration du </w:t>
      </w:r>
      <w:r w:rsidR="00B42C73" w:rsidRPr="00663464">
        <w:rPr>
          <w:kern w:val="22"/>
          <w:szCs w:val="22"/>
          <w:lang w:val="fr-FR"/>
        </w:rPr>
        <w:t>c</w:t>
      </w:r>
      <w:r w:rsidRPr="00663464">
        <w:rPr>
          <w:kern w:val="22"/>
          <w:szCs w:val="22"/>
          <w:lang w:val="fr-FR"/>
        </w:rPr>
        <w:t>adre mondial de la biodiversité pour l’après</w:t>
      </w:r>
      <w:r w:rsidRPr="00663464">
        <w:rPr>
          <w:kern w:val="22"/>
          <w:szCs w:val="22"/>
          <w:lang w:val="fr-FR"/>
        </w:rPr>
        <w:noBreakHyphen/>
        <w:t>2020 figurant à l’annexe II, constituée de trois tableaux qui comprennent, respectivement, les réunions mandatées par la Conférence des Parties, d’autres consultations et ateliers proposés par les coprésidents et la Secrétaire exécutive, et les réunions convoquées par des partenaires</w:t>
      </w:r>
      <w:r w:rsidR="001A671C">
        <w:rPr>
          <w:kern w:val="22"/>
          <w:szCs w:val="22"/>
          <w:lang w:val="fr-FR"/>
        </w:rPr>
        <w:t> ;</w:t>
      </w:r>
    </w:p>
    <w:p w14:paraId="49CD0016" w14:textId="12C1F753" w:rsidR="00283F5D" w:rsidRPr="00663464" w:rsidRDefault="00283F5D" w:rsidP="00B25CDE">
      <w:pPr>
        <w:pStyle w:val="Para10"/>
        <w:numPr>
          <w:ilvl w:val="0"/>
          <w:numId w:val="0"/>
        </w:numPr>
        <w:suppressLineNumbers/>
        <w:tabs>
          <w:tab w:val="left" w:pos="720"/>
        </w:tabs>
        <w:suppressAutoHyphens/>
        <w:ind w:firstLine="720"/>
        <w:rPr>
          <w:kern w:val="22"/>
          <w:szCs w:val="22"/>
          <w:lang w:val="fr-FR"/>
        </w:rPr>
      </w:pPr>
      <w:r w:rsidRPr="00663464">
        <w:rPr>
          <w:kern w:val="22"/>
          <w:szCs w:val="22"/>
          <w:lang w:val="fr-FR"/>
        </w:rPr>
        <w:t>6.</w:t>
      </w:r>
      <w:r w:rsidRPr="00663464">
        <w:rPr>
          <w:kern w:val="22"/>
          <w:szCs w:val="22"/>
          <w:lang w:val="fr-FR"/>
        </w:rPr>
        <w:tab/>
      </w:r>
      <w:r w:rsidRPr="00663464">
        <w:rPr>
          <w:i/>
          <w:iCs/>
          <w:kern w:val="22"/>
          <w:szCs w:val="22"/>
          <w:lang w:val="fr-FR"/>
        </w:rPr>
        <w:t xml:space="preserve">Prie </w:t>
      </w:r>
      <w:r w:rsidRPr="00663464">
        <w:rPr>
          <w:kern w:val="22"/>
          <w:szCs w:val="22"/>
          <w:lang w:val="fr-FR"/>
        </w:rPr>
        <w:t xml:space="preserve">les coprésidents et la Secrétaire exécutive, en consultation avec les présidents de l’Organe subsidiaire chargé de donner des avis scientifiques, techniques et technologiques et de l’Organe subsidiaire chargé de l’application, sous la supervision du Bureau de la </w:t>
      </w:r>
      <w:r w:rsidRPr="00663464">
        <w:rPr>
          <w:noProof/>
          <w:kern w:val="22"/>
          <w:szCs w:val="22"/>
          <w:lang w:val="fr-FR"/>
        </w:rPr>
        <w:t>C</w:t>
      </w:r>
      <w:r w:rsidR="00B84267" w:rsidRPr="00663464">
        <w:rPr>
          <w:noProof/>
          <w:kern w:val="22"/>
          <w:szCs w:val="22"/>
          <w:lang w:val="fr-FR"/>
        </w:rPr>
        <w:t>onférence des Parties</w:t>
      </w:r>
      <w:r w:rsidRPr="00663464">
        <w:rPr>
          <w:noProof/>
          <w:kern w:val="22"/>
          <w:szCs w:val="22"/>
          <w:lang w:val="fr-FR"/>
        </w:rPr>
        <w:t>, en</w:t>
      </w:r>
      <w:r w:rsidRPr="00663464">
        <w:rPr>
          <w:kern w:val="22"/>
          <w:szCs w:val="22"/>
          <w:lang w:val="fr-FR"/>
        </w:rPr>
        <w:t xml:space="preserve"> tenant compte des discussions de la première réunion du Groupe de travail, y compris l’annexe I, le deuxième tableau de l’annexe II (réunions officieuses), et ayant recours aux notes de synthèse révisées, d’élaborer un plan de travail détaillé, d’une manière qui équilibre les trois objectifs de la Convention, et conformément aux principes énoncés dans la décision 14/34, qui définit un concept stratégique pour les consultations et les ateliers, et d’autres moyens de consultation, et le mandat et les modalités régissant la manière dont les Parties et autres intéressés peuvent participer </w:t>
      </w:r>
      <w:r w:rsidR="00B25CDE">
        <w:rPr>
          <w:kern w:val="22"/>
          <w:szCs w:val="22"/>
          <w:lang w:val="fr-FR"/>
        </w:rPr>
        <w:t xml:space="preserve">à </w:t>
      </w:r>
      <w:r w:rsidRPr="00663464">
        <w:rPr>
          <w:kern w:val="22"/>
          <w:szCs w:val="22"/>
          <w:lang w:val="fr-FR"/>
        </w:rPr>
        <w:t xml:space="preserve">chaque réunion ou consultation, reconnaissant que l’annexe sera un document évolutif et précisant comment chaque apport sera considéré dans l’élaboration du </w:t>
      </w:r>
      <w:r w:rsidR="00B42C73" w:rsidRPr="00663464">
        <w:rPr>
          <w:kern w:val="22"/>
          <w:szCs w:val="22"/>
          <w:lang w:val="fr-FR"/>
        </w:rPr>
        <w:t>c</w:t>
      </w:r>
      <w:r w:rsidRPr="00663464">
        <w:rPr>
          <w:kern w:val="22"/>
          <w:szCs w:val="22"/>
          <w:lang w:val="fr-FR"/>
        </w:rPr>
        <w:t>adre mondial de la biodiversité pour l’après</w:t>
      </w:r>
      <w:r w:rsidRPr="00663464">
        <w:rPr>
          <w:kern w:val="22"/>
          <w:szCs w:val="22"/>
          <w:lang w:val="fr-FR"/>
        </w:rPr>
        <w:noBreakHyphen/>
        <w:t xml:space="preserve">2020, et de le présenter à la séance </w:t>
      </w:r>
      <w:r w:rsidR="007266FB">
        <w:rPr>
          <w:kern w:val="22"/>
          <w:szCs w:val="22"/>
          <w:lang w:val="fr-FR"/>
        </w:rPr>
        <w:t>informelle</w:t>
      </w:r>
      <w:r w:rsidRPr="00663464">
        <w:rPr>
          <w:kern w:val="22"/>
          <w:szCs w:val="22"/>
          <w:lang w:val="fr-FR"/>
        </w:rPr>
        <w:t xml:space="preserve"> le 24 novembre 2019;</w:t>
      </w:r>
    </w:p>
    <w:p w14:paraId="588930B2" w14:textId="6A79AD32" w:rsidR="00283F5D" w:rsidRPr="00663464" w:rsidRDefault="00283F5D" w:rsidP="00283F5D">
      <w:pPr>
        <w:pStyle w:val="Para10"/>
        <w:numPr>
          <w:ilvl w:val="0"/>
          <w:numId w:val="0"/>
        </w:numPr>
        <w:suppressLineNumbers/>
        <w:tabs>
          <w:tab w:val="left" w:pos="720"/>
        </w:tabs>
        <w:suppressAutoHyphens/>
        <w:spacing w:before="0" w:after="0"/>
        <w:ind w:firstLine="720"/>
        <w:rPr>
          <w:rFonts w:eastAsia="Malgun Gothic"/>
          <w:noProof/>
          <w:kern w:val="22"/>
          <w:szCs w:val="22"/>
          <w:lang w:val="fr-FR"/>
        </w:rPr>
      </w:pPr>
      <w:r w:rsidRPr="00663464">
        <w:rPr>
          <w:rFonts w:eastAsia="Malgun Gothic"/>
          <w:kern w:val="22"/>
          <w:szCs w:val="22"/>
          <w:lang w:val="fr-FR"/>
        </w:rPr>
        <w:t>7.</w:t>
      </w:r>
      <w:r w:rsidRPr="00663464">
        <w:rPr>
          <w:rFonts w:eastAsia="Malgun Gothic"/>
          <w:kern w:val="22"/>
          <w:szCs w:val="22"/>
          <w:lang w:val="fr-FR"/>
        </w:rPr>
        <w:tab/>
      </w:r>
      <w:r w:rsidRPr="00663464">
        <w:rPr>
          <w:rFonts w:eastAsia="Malgun Gothic"/>
          <w:i/>
          <w:iCs/>
          <w:kern w:val="22"/>
          <w:szCs w:val="22"/>
          <w:lang w:val="fr-FR"/>
        </w:rPr>
        <w:t xml:space="preserve">Invite </w:t>
      </w:r>
      <w:r w:rsidRPr="00663464">
        <w:rPr>
          <w:rFonts w:eastAsia="Malgun Gothic"/>
          <w:kern w:val="22"/>
          <w:szCs w:val="22"/>
          <w:lang w:val="fr-FR"/>
        </w:rPr>
        <w:t xml:space="preserve">l’Organe subsidiaire chargé de donner des avis scientifiques, techniques et technologiques, l’Organe subsidiaire chargé de l’application, et le Groupe de travail spécial intersessions à composition non limitée sur l’article 8 j) et les dispositions connexes à entreprendre les tâches convenues, y compris celles indiquées dans l’annexe II, et de porter à l’attention du Groupe de travail toute recommandation additionnelle pertinente pour le </w:t>
      </w:r>
      <w:r w:rsidR="00B42C73" w:rsidRPr="00663464">
        <w:rPr>
          <w:rFonts w:eastAsia="Malgun Gothic"/>
          <w:kern w:val="22"/>
          <w:szCs w:val="22"/>
          <w:lang w:val="fr-FR"/>
        </w:rPr>
        <w:t>c</w:t>
      </w:r>
      <w:r w:rsidRPr="00663464">
        <w:rPr>
          <w:rFonts w:eastAsia="Malgun Gothic"/>
          <w:kern w:val="22"/>
          <w:szCs w:val="22"/>
          <w:lang w:val="fr-FR"/>
        </w:rPr>
        <w:t>adre mondial de la biodiversité pour l’après</w:t>
      </w:r>
      <w:r w:rsidRPr="00663464">
        <w:rPr>
          <w:rFonts w:eastAsia="Malgun Gothic"/>
          <w:kern w:val="22"/>
          <w:szCs w:val="22"/>
          <w:lang w:val="fr-FR"/>
        </w:rPr>
        <w:noBreakHyphen/>
        <w:t xml:space="preserve">2020 issue de leurs délibérations avant la quinzième réunion de la Conférence des Parties, et en particulier, et en référence aux conclusions </w:t>
      </w:r>
      <w:r w:rsidR="0073414E">
        <w:rPr>
          <w:rFonts w:eastAsia="Malgun Gothic"/>
          <w:kern w:val="22"/>
          <w:szCs w:val="22"/>
          <w:lang w:val="fr-FR"/>
        </w:rPr>
        <w:t>du rapport sur</w:t>
      </w:r>
      <w:r w:rsidRPr="00663464">
        <w:rPr>
          <w:rFonts w:eastAsia="Malgun Gothic"/>
          <w:kern w:val="22"/>
          <w:szCs w:val="22"/>
          <w:lang w:val="fr-FR"/>
        </w:rPr>
        <w:t xml:space="preserve"> </w:t>
      </w:r>
      <w:r w:rsidR="00E93414" w:rsidRPr="00663464">
        <w:rPr>
          <w:rFonts w:eastAsia="Malgun Gothic"/>
          <w:kern w:val="22"/>
          <w:szCs w:val="22"/>
          <w:lang w:val="fr-FR"/>
        </w:rPr>
        <w:t>l’</w:t>
      </w:r>
      <w:r w:rsidR="0073414E">
        <w:rPr>
          <w:rFonts w:eastAsia="Malgun Gothic"/>
          <w:kern w:val="22"/>
          <w:szCs w:val="22"/>
          <w:lang w:val="fr-FR"/>
        </w:rPr>
        <w:t>É</w:t>
      </w:r>
      <w:r w:rsidR="00E93414" w:rsidRPr="00663464">
        <w:rPr>
          <w:rFonts w:eastAsia="Malgun Gothic"/>
          <w:kern w:val="22"/>
          <w:szCs w:val="22"/>
          <w:lang w:val="fr-FR"/>
        </w:rPr>
        <w:t>valuation mondiale de la biodiversité et des services écosystémique</w:t>
      </w:r>
      <w:r w:rsidR="0073414E">
        <w:rPr>
          <w:rFonts w:eastAsia="Malgun Gothic"/>
          <w:kern w:val="22"/>
          <w:szCs w:val="22"/>
          <w:lang w:val="fr-FR"/>
        </w:rPr>
        <w:t>s</w:t>
      </w:r>
      <w:r w:rsidR="00E93414" w:rsidRPr="00663464">
        <w:rPr>
          <w:rFonts w:eastAsia="Malgun Gothic"/>
          <w:kern w:val="22"/>
          <w:szCs w:val="22"/>
          <w:lang w:val="fr-FR"/>
        </w:rPr>
        <w:t xml:space="preserve"> réalisée par la P</w:t>
      </w:r>
      <w:r w:rsidRPr="00663464">
        <w:rPr>
          <w:rFonts w:eastAsia="Malgun Gothic"/>
          <w:kern w:val="22"/>
          <w:szCs w:val="22"/>
          <w:lang w:val="fr-FR"/>
        </w:rPr>
        <w:t xml:space="preserve">lateforme intergouvernementale scientifique et politique sur la biodiversité et les </w:t>
      </w:r>
      <w:r w:rsidRPr="00663464">
        <w:rPr>
          <w:rFonts w:eastAsia="Malgun Gothic"/>
          <w:noProof/>
          <w:kern w:val="22"/>
          <w:szCs w:val="22"/>
          <w:lang w:val="fr-FR"/>
        </w:rPr>
        <w:t>services écosystémiques :</w:t>
      </w:r>
    </w:p>
    <w:p w14:paraId="221DFB4D" w14:textId="4ED9139E" w:rsidR="00283F5D" w:rsidRPr="00663464" w:rsidRDefault="00283F5D" w:rsidP="00283F5D">
      <w:pPr>
        <w:pStyle w:val="Para10"/>
        <w:numPr>
          <w:ilvl w:val="0"/>
          <w:numId w:val="0"/>
        </w:numPr>
        <w:suppressLineNumbers/>
        <w:tabs>
          <w:tab w:val="left" w:pos="720"/>
        </w:tabs>
        <w:suppressAutoHyphens/>
        <w:ind w:firstLine="720"/>
        <w:rPr>
          <w:rFonts w:eastAsia="Malgun Gothic"/>
          <w:kern w:val="22"/>
          <w:szCs w:val="22"/>
          <w:lang w:val="fr-FR"/>
        </w:rPr>
      </w:pPr>
      <w:r w:rsidRPr="00663464">
        <w:rPr>
          <w:rFonts w:eastAsia="Malgun Gothic"/>
          <w:noProof/>
          <w:kern w:val="22"/>
          <w:szCs w:val="22"/>
          <w:lang w:val="fr-FR"/>
        </w:rPr>
        <w:t xml:space="preserve">a) </w:t>
      </w:r>
      <w:r w:rsidRPr="00663464">
        <w:rPr>
          <w:rFonts w:eastAsia="Malgun Gothic"/>
          <w:noProof/>
          <w:kern w:val="22"/>
          <w:szCs w:val="22"/>
          <w:lang w:val="fr-FR"/>
        </w:rPr>
        <w:tab/>
      </w:r>
      <w:r w:rsidRPr="00663464">
        <w:rPr>
          <w:rFonts w:eastAsia="Malgun Gothic"/>
          <w:i/>
          <w:iCs/>
          <w:noProof/>
          <w:kern w:val="22"/>
          <w:szCs w:val="22"/>
          <w:lang w:val="fr-FR"/>
        </w:rPr>
        <w:t xml:space="preserve">Invite </w:t>
      </w:r>
      <w:r w:rsidRPr="00663464">
        <w:rPr>
          <w:rFonts w:eastAsia="Malgun Gothic"/>
          <w:noProof/>
          <w:kern w:val="22"/>
          <w:szCs w:val="22"/>
          <w:lang w:val="fr-FR"/>
        </w:rPr>
        <w:t>l’Organe subsidiaire chargé de donner d</w:t>
      </w:r>
      <w:r w:rsidRPr="00663464">
        <w:rPr>
          <w:rFonts w:eastAsia="Malgun Gothic"/>
          <w:kern w:val="22"/>
          <w:szCs w:val="22"/>
          <w:lang w:val="fr-FR"/>
        </w:rPr>
        <w:t>es avis scientifiques, techniques et technologiques à fournir des éléments concernant des orientations sur des objectifs spécifiques, des cibles</w:t>
      </w:r>
      <w:r w:rsidR="00E93414" w:rsidRPr="00663464">
        <w:rPr>
          <w:rFonts w:eastAsia="Malgun Gothic"/>
          <w:kern w:val="22"/>
          <w:szCs w:val="22"/>
          <w:lang w:val="fr-FR"/>
        </w:rPr>
        <w:t xml:space="preserve"> spécifiques, mesurables, réalisables, axées sur les résultats et limitées dans le temps (</w:t>
      </w:r>
      <w:r w:rsidRPr="00663464">
        <w:rPr>
          <w:rFonts w:eastAsia="Malgun Gothic"/>
          <w:kern w:val="22"/>
          <w:szCs w:val="22"/>
          <w:lang w:val="fr-FR"/>
        </w:rPr>
        <w:t>SMART</w:t>
      </w:r>
      <w:r w:rsidR="00E93414" w:rsidRPr="00663464">
        <w:rPr>
          <w:rFonts w:eastAsia="Malgun Gothic"/>
          <w:kern w:val="22"/>
          <w:szCs w:val="22"/>
          <w:lang w:val="fr-FR"/>
        </w:rPr>
        <w:t>)</w:t>
      </w:r>
      <w:r w:rsidRPr="00663464">
        <w:rPr>
          <w:rFonts w:eastAsia="Malgun Gothic"/>
          <w:kern w:val="22"/>
          <w:szCs w:val="22"/>
          <w:lang w:val="fr-FR"/>
        </w:rPr>
        <w:t>, des indicateurs, des données de référence et des cadres de suivi, relatifs aux moteurs de la perte de biodiversité, afin de réaliser un changement transformateur, dans le cadre du champ d’application des trois objectifs de la Convention</w:t>
      </w:r>
      <w:r w:rsidR="0073414E">
        <w:rPr>
          <w:rFonts w:eastAsia="Malgun Gothic"/>
          <w:kern w:val="22"/>
          <w:szCs w:val="22"/>
          <w:lang w:val="fr-FR"/>
        </w:rPr>
        <w:t> ;</w:t>
      </w:r>
    </w:p>
    <w:p w14:paraId="733E7C41" w14:textId="0AD8F0BC" w:rsidR="00283F5D" w:rsidRPr="00663464" w:rsidRDefault="00283F5D" w:rsidP="00283F5D">
      <w:pPr>
        <w:pStyle w:val="Para10"/>
        <w:numPr>
          <w:ilvl w:val="0"/>
          <w:numId w:val="0"/>
        </w:numPr>
        <w:suppressLineNumbers/>
        <w:tabs>
          <w:tab w:val="left" w:pos="720"/>
        </w:tabs>
        <w:suppressAutoHyphens/>
        <w:ind w:firstLine="720"/>
        <w:rPr>
          <w:rFonts w:eastAsia="Malgun Gothic"/>
          <w:kern w:val="22"/>
          <w:szCs w:val="22"/>
          <w:lang w:val="fr-FR"/>
        </w:rPr>
      </w:pPr>
      <w:r w:rsidRPr="00663464">
        <w:rPr>
          <w:rFonts w:eastAsia="Malgun Gothic"/>
          <w:kern w:val="22"/>
          <w:szCs w:val="22"/>
          <w:lang w:val="fr-FR"/>
        </w:rPr>
        <w:t xml:space="preserve">b) </w:t>
      </w:r>
      <w:r w:rsidRPr="00663464">
        <w:rPr>
          <w:rFonts w:eastAsia="Malgun Gothic"/>
          <w:kern w:val="22"/>
          <w:szCs w:val="22"/>
          <w:lang w:val="fr-FR"/>
        </w:rPr>
        <w:tab/>
      </w:r>
      <w:r w:rsidRPr="00663464">
        <w:rPr>
          <w:rFonts w:eastAsia="Malgun Gothic"/>
          <w:i/>
          <w:iCs/>
          <w:kern w:val="22"/>
          <w:szCs w:val="22"/>
          <w:lang w:val="fr-FR"/>
        </w:rPr>
        <w:t xml:space="preserve">Invite </w:t>
      </w:r>
      <w:r w:rsidRPr="00663464">
        <w:rPr>
          <w:rFonts w:eastAsia="Malgun Gothic"/>
          <w:kern w:val="22"/>
          <w:szCs w:val="22"/>
          <w:lang w:val="fr-FR"/>
        </w:rPr>
        <w:t>le Groupe de travail spécial à composition non limitée sur l’article 8 j) et les dispositions connexes à prendre en considération des aspects pertinents lors de l’élaboration de son futur programme de travail</w:t>
      </w:r>
      <w:r w:rsidR="0073414E">
        <w:rPr>
          <w:rFonts w:eastAsia="Malgun Gothic"/>
          <w:kern w:val="22"/>
          <w:szCs w:val="22"/>
          <w:lang w:val="fr-FR"/>
        </w:rPr>
        <w:t> ;</w:t>
      </w:r>
    </w:p>
    <w:p w14:paraId="3F31CE29" w14:textId="409BF000" w:rsidR="00283F5D" w:rsidRPr="00663464" w:rsidRDefault="00283F5D" w:rsidP="00283F5D">
      <w:pPr>
        <w:pStyle w:val="Para10"/>
        <w:numPr>
          <w:ilvl w:val="0"/>
          <w:numId w:val="0"/>
        </w:numPr>
        <w:suppressLineNumbers/>
        <w:tabs>
          <w:tab w:val="left" w:pos="720"/>
        </w:tabs>
        <w:suppressAutoHyphens/>
        <w:ind w:firstLine="720"/>
        <w:rPr>
          <w:rFonts w:eastAsia="Malgun Gothic"/>
          <w:kern w:val="22"/>
          <w:szCs w:val="22"/>
          <w:lang w:val="fr-FR"/>
        </w:rPr>
      </w:pPr>
      <w:r w:rsidRPr="00663464">
        <w:rPr>
          <w:rFonts w:eastAsia="Malgun Gothic"/>
          <w:kern w:val="22"/>
          <w:szCs w:val="22"/>
          <w:lang w:val="fr-FR"/>
        </w:rPr>
        <w:t xml:space="preserve">c) </w:t>
      </w:r>
      <w:r w:rsidRPr="00663464">
        <w:rPr>
          <w:rFonts w:eastAsia="Malgun Gothic"/>
          <w:kern w:val="22"/>
          <w:szCs w:val="22"/>
          <w:lang w:val="fr-FR"/>
        </w:rPr>
        <w:tab/>
      </w:r>
      <w:r w:rsidRPr="00663464">
        <w:rPr>
          <w:rFonts w:eastAsia="Malgun Gothic"/>
          <w:i/>
          <w:iCs/>
          <w:kern w:val="22"/>
          <w:szCs w:val="22"/>
          <w:lang w:val="fr-FR"/>
        </w:rPr>
        <w:t xml:space="preserve">Invite </w:t>
      </w:r>
      <w:r w:rsidRPr="00663464">
        <w:rPr>
          <w:rFonts w:eastAsia="Malgun Gothic"/>
          <w:kern w:val="22"/>
          <w:szCs w:val="22"/>
          <w:lang w:val="fr-FR"/>
        </w:rPr>
        <w:t xml:space="preserve">le </w:t>
      </w:r>
      <w:r w:rsidRPr="00663464">
        <w:rPr>
          <w:rStyle w:val="preferred"/>
          <w:lang w:val="fr-FR"/>
        </w:rPr>
        <w:t>Groupe consultatif informel sur l’intégration à inclure dans son rapport à la troisième réunion de l’Organe subsidiaire chargé de l’application des propositions concrètes, le cas échéant</w:t>
      </w:r>
      <w:r w:rsidR="0073414E">
        <w:rPr>
          <w:rStyle w:val="preferred"/>
          <w:lang w:val="fr-FR"/>
        </w:rPr>
        <w:t> ;</w:t>
      </w:r>
    </w:p>
    <w:p w14:paraId="27169A8D" w14:textId="73CC91FD" w:rsidR="001E2016" w:rsidRPr="00663464" w:rsidRDefault="00283F5D" w:rsidP="00283F5D">
      <w:pPr>
        <w:pStyle w:val="Para10"/>
        <w:numPr>
          <w:ilvl w:val="0"/>
          <w:numId w:val="0"/>
        </w:numPr>
        <w:suppressLineNumbers/>
        <w:suppressAutoHyphens/>
        <w:ind w:firstLine="709"/>
        <w:rPr>
          <w:rFonts w:eastAsia="Malgun Gothic"/>
          <w:kern w:val="22"/>
          <w:szCs w:val="22"/>
          <w:lang w:val="fr-FR" w:eastAsia="x-none"/>
        </w:rPr>
      </w:pPr>
      <w:r w:rsidRPr="00663464">
        <w:rPr>
          <w:rFonts w:eastAsia="Malgun Gothic"/>
          <w:kern w:val="22"/>
          <w:szCs w:val="22"/>
          <w:lang w:val="fr-FR"/>
        </w:rPr>
        <w:lastRenderedPageBreak/>
        <w:t>8.</w:t>
      </w:r>
      <w:r w:rsidRPr="00663464">
        <w:rPr>
          <w:rFonts w:eastAsia="Malgun Gothic"/>
          <w:kern w:val="22"/>
          <w:szCs w:val="22"/>
          <w:lang w:val="fr-FR"/>
        </w:rPr>
        <w:tab/>
      </w:r>
      <w:r w:rsidRPr="00663464">
        <w:rPr>
          <w:rFonts w:eastAsia="Malgun Gothic"/>
          <w:i/>
          <w:iCs/>
          <w:kern w:val="22"/>
          <w:szCs w:val="22"/>
          <w:lang w:val="fr-FR"/>
        </w:rPr>
        <w:t>Se félicite</w:t>
      </w:r>
      <w:r w:rsidRPr="00663464">
        <w:rPr>
          <w:rFonts w:eastAsia="Malgun Gothic"/>
          <w:kern w:val="22"/>
          <w:szCs w:val="22"/>
          <w:lang w:val="fr-FR"/>
        </w:rPr>
        <w:t xml:space="preserve"> de l’offre du </w:t>
      </w:r>
      <w:r w:rsidR="0073414E">
        <w:rPr>
          <w:rFonts w:eastAsia="Malgun Gothic"/>
          <w:kern w:val="22"/>
          <w:szCs w:val="22"/>
          <w:lang w:val="fr-FR"/>
        </w:rPr>
        <w:t>G</w:t>
      </w:r>
      <w:r w:rsidRPr="00663464">
        <w:rPr>
          <w:rFonts w:eastAsia="Malgun Gothic"/>
          <w:kern w:val="22"/>
          <w:szCs w:val="22"/>
          <w:lang w:val="fr-FR"/>
        </w:rPr>
        <w:t>ouvernement de la Suisse d’accueillir un atelier de suivi de l</w:t>
      </w:r>
      <w:r w:rsidR="0073414E">
        <w:rPr>
          <w:rFonts w:eastAsia="Malgun Gothic"/>
          <w:kern w:val="22"/>
          <w:szCs w:val="22"/>
          <w:lang w:val="fr-FR"/>
        </w:rPr>
        <w:t xml:space="preserve">a consultation </w:t>
      </w:r>
      <w:r w:rsidRPr="00663464">
        <w:rPr>
          <w:rFonts w:eastAsia="Malgun Gothic"/>
          <w:kern w:val="22"/>
          <w:szCs w:val="22"/>
          <w:lang w:val="fr-FR"/>
        </w:rPr>
        <w:t xml:space="preserve">sur le </w:t>
      </w:r>
      <w:r w:rsidR="00B42C73" w:rsidRPr="00663464">
        <w:rPr>
          <w:rFonts w:eastAsia="Malgun Gothic"/>
          <w:kern w:val="22"/>
          <w:szCs w:val="22"/>
          <w:lang w:val="fr-FR"/>
        </w:rPr>
        <w:t>c</w:t>
      </w:r>
      <w:r w:rsidRPr="00663464">
        <w:rPr>
          <w:rFonts w:eastAsia="Malgun Gothic"/>
          <w:kern w:val="22"/>
          <w:szCs w:val="22"/>
          <w:lang w:val="fr-FR"/>
        </w:rPr>
        <w:t>adre mondial de la biodiversité pour l’après</w:t>
      </w:r>
      <w:r w:rsidRPr="00663464">
        <w:rPr>
          <w:rFonts w:eastAsia="Malgun Gothic"/>
          <w:kern w:val="22"/>
          <w:szCs w:val="22"/>
          <w:lang w:val="fr-FR"/>
        </w:rPr>
        <w:noBreakHyphen/>
        <w:t>2020 des conventions relatives à la biodiversité, qui s’est tenu à Berne, du 10 au 12 juin 2019</w:t>
      </w:r>
      <w:r w:rsidR="0073414E">
        <w:rPr>
          <w:rFonts w:eastAsia="Malgun Gothic"/>
          <w:kern w:val="22"/>
          <w:szCs w:val="22"/>
          <w:lang w:val="fr-FR"/>
        </w:rPr>
        <w:t> </w:t>
      </w:r>
      <w:r w:rsidR="0073414E">
        <w:rPr>
          <w:rFonts w:eastAsia="Malgun Gothic"/>
          <w:kern w:val="22"/>
          <w:szCs w:val="22"/>
          <w:lang w:val="fr-FR" w:eastAsia="x-none"/>
        </w:rPr>
        <w:t>;</w:t>
      </w:r>
    </w:p>
    <w:p w14:paraId="22B17299" w14:textId="333C1829" w:rsidR="00B84267" w:rsidRPr="00663464" w:rsidRDefault="001E2016" w:rsidP="00B84267">
      <w:pPr>
        <w:pStyle w:val="Para10"/>
        <w:numPr>
          <w:ilvl w:val="0"/>
          <w:numId w:val="0"/>
        </w:numPr>
        <w:suppressLineNumbers/>
        <w:suppressAutoHyphens/>
        <w:ind w:firstLine="720"/>
        <w:rPr>
          <w:rFonts w:eastAsia="Malgun Gothic"/>
          <w:kern w:val="22"/>
          <w:szCs w:val="22"/>
          <w:lang w:val="fr-FR"/>
        </w:rPr>
      </w:pPr>
      <w:r w:rsidRPr="00663464">
        <w:rPr>
          <w:rFonts w:eastAsia="Malgun Gothic"/>
          <w:kern w:val="22"/>
          <w:szCs w:val="22"/>
          <w:lang w:val="fr-FR" w:eastAsia="x-none"/>
        </w:rPr>
        <w:t xml:space="preserve">9. </w:t>
      </w:r>
      <w:r w:rsidRPr="00663464">
        <w:rPr>
          <w:rFonts w:eastAsia="Malgun Gothic"/>
          <w:kern w:val="22"/>
          <w:szCs w:val="22"/>
          <w:lang w:val="fr-FR" w:eastAsia="x-none"/>
        </w:rPr>
        <w:tab/>
      </w:r>
      <w:r w:rsidR="00B84267" w:rsidRPr="00663464">
        <w:rPr>
          <w:rFonts w:eastAsia="Malgun Gothic"/>
          <w:i/>
          <w:iCs/>
          <w:kern w:val="22"/>
          <w:szCs w:val="24"/>
          <w:lang w:val="fr-FR"/>
        </w:rPr>
        <w:t xml:space="preserve">Invite </w:t>
      </w:r>
      <w:r w:rsidR="00B84267" w:rsidRPr="00663464">
        <w:rPr>
          <w:rFonts w:eastAsia="Malgun Gothic"/>
          <w:kern w:val="22"/>
          <w:szCs w:val="24"/>
          <w:lang w:val="fr-FR"/>
        </w:rPr>
        <w:t>la Directrice exécutive du Programme des Nations Unies pour l’environnement, en sa qualité de présidente du</w:t>
      </w:r>
      <w:r w:rsidR="00B84267" w:rsidRPr="00663464">
        <w:rPr>
          <w:lang w:val="fr-FR"/>
        </w:rPr>
        <w:t xml:space="preserve"> </w:t>
      </w:r>
      <w:r w:rsidR="00B84267" w:rsidRPr="00663464">
        <w:rPr>
          <w:rStyle w:val="preferred"/>
          <w:lang w:val="fr-FR"/>
        </w:rPr>
        <w:t xml:space="preserve">Groupe de la gestion de l’environnement des Nations Unies, à faciliter, en collaboration avec les membres du Groupe, la contribution du système des Nations Unies à l’élaboration et à la mise en œuvre du </w:t>
      </w:r>
      <w:r w:rsidR="00B42C73" w:rsidRPr="00663464">
        <w:rPr>
          <w:rStyle w:val="preferred"/>
          <w:lang w:val="fr-FR"/>
        </w:rPr>
        <w:t>c</w:t>
      </w:r>
      <w:r w:rsidR="00B84267" w:rsidRPr="00663464">
        <w:rPr>
          <w:rStyle w:val="preferred"/>
          <w:lang w:val="fr-FR"/>
        </w:rPr>
        <w:t>adre mondial de la biodiversité pour l’après</w:t>
      </w:r>
      <w:r w:rsidR="00B84267" w:rsidRPr="00663464">
        <w:rPr>
          <w:rStyle w:val="preferred"/>
          <w:lang w:val="fr-FR"/>
        </w:rPr>
        <w:noBreakHyphen/>
        <w:t>2020</w:t>
      </w:r>
      <w:r w:rsidR="0073414E">
        <w:rPr>
          <w:rStyle w:val="preferred"/>
          <w:lang w:val="fr-FR"/>
        </w:rPr>
        <w:t> ;</w:t>
      </w:r>
    </w:p>
    <w:p w14:paraId="0C8609A3" w14:textId="055709BE" w:rsidR="00B84267" w:rsidRPr="00663464" w:rsidRDefault="00B84267" w:rsidP="00B84267">
      <w:pPr>
        <w:suppressLineNumbers/>
        <w:suppressAutoHyphens/>
        <w:spacing w:before="120" w:after="120"/>
        <w:ind w:firstLine="720"/>
        <w:rPr>
          <w:szCs w:val="22"/>
          <w:lang w:val="fr-FR" w:eastAsia="en-CA"/>
        </w:rPr>
      </w:pPr>
      <w:r w:rsidRPr="00663464">
        <w:rPr>
          <w:kern w:val="22"/>
          <w:szCs w:val="22"/>
          <w:lang w:val="fr-FR"/>
        </w:rPr>
        <w:t>10.</w:t>
      </w:r>
      <w:r w:rsidRPr="00663464">
        <w:rPr>
          <w:kern w:val="22"/>
          <w:szCs w:val="22"/>
          <w:lang w:val="fr-FR"/>
        </w:rPr>
        <w:tab/>
      </w:r>
      <w:r w:rsidRPr="00663464">
        <w:rPr>
          <w:i/>
          <w:iCs/>
          <w:kern w:val="22"/>
          <w:szCs w:val="22"/>
          <w:lang w:val="fr-FR"/>
        </w:rPr>
        <w:t xml:space="preserve">Reconnaît </w:t>
      </w:r>
      <w:r w:rsidRPr="00663464">
        <w:rPr>
          <w:kern w:val="22"/>
          <w:szCs w:val="22"/>
          <w:lang w:val="fr-FR"/>
        </w:rPr>
        <w:t xml:space="preserve">la pertinence de divers processus en cours de fournir des contributions à l’élaboration du </w:t>
      </w:r>
      <w:r w:rsidR="0073414E">
        <w:rPr>
          <w:kern w:val="22"/>
          <w:szCs w:val="22"/>
          <w:lang w:val="fr-FR"/>
        </w:rPr>
        <w:t>c</w:t>
      </w:r>
      <w:r w:rsidRPr="00663464">
        <w:rPr>
          <w:kern w:val="22"/>
          <w:szCs w:val="22"/>
          <w:lang w:val="fr-FR"/>
        </w:rPr>
        <w:t>adre mondial de la biodiversité pour l’après</w:t>
      </w:r>
      <w:r w:rsidRPr="00663464">
        <w:rPr>
          <w:kern w:val="22"/>
          <w:szCs w:val="22"/>
          <w:lang w:val="fr-FR"/>
        </w:rPr>
        <w:noBreakHyphen/>
        <w:t>2020, pour la considération du Groupe de travail, comme il convient</w:t>
      </w:r>
      <w:r w:rsidR="0073414E">
        <w:rPr>
          <w:kern w:val="22"/>
          <w:szCs w:val="22"/>
          <w:lang w:val="fr-FR"/>
        </w:rPr>
        <w:t> ;</w:t>
      </w:r>
    </w:p>
    <w:p w14:paraId="0D2C7295" w14:textId="30ECDD44" w:rsidR="00B84267" w:rsidRPr="00663464" w:rsidRDefault="00B84267" w:rsidP="00B84267">
      <w:pPr>
        <w:pStyle w:val="Para10"/>
        <w:numPr>
          <w:ilvl w:val="0"/>
          <w:numId w:val="0"/>
        </w:numPr>
        <w:suppressLineNumbers/>
        <w:suppressAutoHyphens/>
        <w:ind w:firstLine="720"/>
        <w:rPr>
          <w:szCs w:val="22"/>
          <w:lang w:val="fr-FR" w:eastAsia="en-CA"/>
        </w:rPr>
      </w:pPr>
      <w:r w:rsidRPr="00663464">
        <w:rPr>
          <w:szCs w:val="22"/>
          <w:lang w:val="fr-FR" w:eastAsia="en-CA"/>
        </w:rPr>
        <w:t>11.</w:t>
      </w:r>
      <w:r w:rsidRPr="00663464">
        <w:rPr>
          <w:szCs w:val="22"/>
          <w:lang w:val="fr-FR" w:eastAsia="en-CA"/>
        </w:rPr>
        <w:tab/>
      </w:r>
      <w:r w:rsidRPr="00663464">
        <w:rPr>
          <w:i/>
          <w:iCs/>
          <w:szCs w:val="22"/>
          <w:lang w:val="fr-FR" w:eastAsia="en-CA"/>
        </w:rPr>
        <w:t xml:space="preserve">Prie </w:t>
      </w:r>
      <w:r w:rsidRPr="00663464">
        <w:rPr>
          <w:szCs w:val="22"/>
          <w:lang w:val="fr-FR" w:eastAsia="en-CA"/>
        </w:rPr>
        <w:t xml:space="preserve">les coprésidents et la Secrétaire exécutive, en consultation avec le Bureau de </w:t>
      </w:r>
      <w:r w:rsidRPr="00663464">
        <w:rPr>
          <w:noProof/>
          <w:szCs w:val="22"/>
          <w:lang w:val="fr-FR" w:eastAsia="en-CA"/>
        </w:rPr>
        <w:t>la C</w:t>
      </w:r>
      <w:r w:rsidR="0073414E">
        <w:rPr>
          <w:noProof/>
          <w:szCs w:val="22"/>
          <w:lang w:val="fr-FR" w:eastAsia="en-CA"/>
        </w:rPr>
        <w:t>onférence des Parties</w:t>
      </w:r>
      <w:r w:rsidRPr="00663464">
        <w:rPr>
          <w:noProof/>
          <w:szCs w:val="22"/>
          <w:lang w:val="fr-FR" w:eastAsia="en-CA"/>
        </w:rPr>
        <w:t xml:space="preserve">, de mettre à jour la liste figurant à l’annexe II au besoin, et de la publier sur la page Web du </w:t>
      </w:r>
      <w:r w:rsidR="00B42C73" w:rsidRPr="00663464">
        <w:rPr>
          <w:noProof/>
          <w:szCs w:val="22"/>
          <w:lang w:val="fr-FR" w:eastAsia="en-CA"/>
        </w:rPr>
        <w:t>c</w:t>
      </w:r>
      <w:r w:rsidRPr="00663464">
        <w:rPr>
          <w:noProof/>
          <w:szCs w:val="22"/>
          <w:lang w:val="fr-FR" w:eastAsia="en-CA"/>
        </w:rPr>
        <w:t>adre</w:t>
      </w:r>
      <w:r w:rsidRPr="00663464">
        <w:rPr>
          <w:szCs w:val="22"/>
          <w:lang w:val="fr-FR" w:eastAsia="en-CA"/>
        </w:rPr>
        <w:t xml:space="preserve"> mondial de la biodiversité pour l’après</w:t>
      </w:r>
      <w:r w:rsidRPr="00663464">
        <w:rPr>
          <w:szCs w:val="22"/>
          <w:lang w:val="fr-FR" w:eastAsia="en-CA"/>
        </w:rPr>
        <w:noBreakHyphen/>
        <w:t>2020</w:t>
      </w:r>
      <w:r w:rsidR="0073414E">
        <w:rPr>
          <w:szCs w:val="22"/>
          <w:lang w:val="fr-FR" w:eastAsia="en-CA"/>
        </w:rPr>
        <w:t> ;</w:t>
      </w:r>
    </w:p>
    <w:p w14:paraId="64224C35" w14:textId="025A432B" w:rsidR="001E2016" w:rsidRPr="00A365D7" w:rsidRDefault="00B84267" w:rsidP="00C36F92">
      <w:pPr>
        <w:pStyle w:val="Para10"/>
        <w:numPr>
          <w:ilvl w:val="0"/>
          <w:numId w:val="0"/>
        </w:numPr>
        <w:suppressLineNumbers/>
        <w:suppressAutoHyphens/>
        <w:ind w:firstLine="720"/>
        <w:rPr>
          <w:kern w:val="22"/>
          <w:szCs w:val="22"/>
          <w:lang w:val="fr-FR" w:eastAsia="en-CA"/>
        </w:rPr>
      </w:pPr>
      <w:r w:rsidRPr="00663464">
        <w:rPr>
          <w:szCs w:val="22"/>
          <w:lang w:val="fr-FR" w:eastAsia="en-CA"/>
        </w:rPr>
        <w:t>12.</w:t>
      </w:r>
      <w:r w:rsidRPr="00663464">
        <w:rPr>
          <w:szCs w:val="22"/>
          <w:lang w:val="fr-FR" w:eastAsia="en-CA"/>
        </w:rPr>
        <w:tab/>
      </w:r>
      <w:r w:rsidRPr="00663464">
        <w:rPr>
          <w:i/>
          <w:iCs/>
          <w:szCs w:val="22"/>
          <w:lang w:val="fr-FR" w:eastAsia="en-CA"/>
        </w:rPr>
        <w:t xml:space="preserve">Prie </w:t>
      </w:r>
      <w:r w:rsidRPr="00663464">
        <w:rPr>
          <w:szCs w:val="22"/>
          <w:lang w:val="fr-FR" w:eastAsia="en-CA"/>
        </w:rPr>
        <w:t xml:space="preserve">les coprésidents et la Secrétaire exécutive d’informer régulièrement le Bureau de la </w:t>
      </w:r>
      <w:r w:rsidRPr="00663464">
        <w:rPr>
          <w:noProof/>
          <w:szCs w:val="22"/>
          <w:lang w:val="fr-FR" w:eastAsia="en-CA"/>
        </w:rPr>
        <w:t>C</w:t>
      </w:r>
      <w:r w:rsidR="00976B53" w:rsidRPr="00663464">
        <w:rPr>
          <w:noProof/>
          <w:szCs w:val="22"/>
          <w:lang w:val="fr-FR" w:eastAsia="en-CA"/>
        </w:rPr>
        <w:t>onférence des Parties</w:t>
      </w:r>
      <w:r w:rsidRPr="00663464">
        <w:rPr>
          <w:noProof/>
          <w:szCs w:val="22"/>
          <w:lang w:val="fr-FR" w:eastAsia="en-CA"/>
        </w:rPr>
        <w:t xml:space="preserve"> </w:t>
      </w:r>
      <w:r w:rsidRPr="00663464">
        <w:rPr>
          <w:szCs w:val="22"/>
          <w:lang w:val="fr-FR" w:eastAsia="en-CA"/>
        </w:rPr>
        <w:t xml:space="preserve">sur l’état d’avancement de l’élaboration du </w:t>
      </w:r>
      <w:r w:rsidR="00B42C73" w:rsidRPr="00663464">
        <w:rPr>
          <w:szCs w:val="22"/>
          <w:lang w:val="fr-FR" w:eastAsia="en-CA"/>
        </w:rPr>
        <w:t>c</w:t>
      </w:r>
      <w:r w:rsidRPr="00663464">
        <w:rPr>
          <w:szCs w:val="22"/>
          <w:lang w:val="fr-FR" w:eastAsia="en-CA"/>
        </w:rPr>
        <w:t>adre mondial de la biodiversité pour l’après</w:t>
      </w:r>
      <w:r w:rsidRPr="00663464">
        <w:rPr>
          <w:szCs w:val="22"/>
          <w:lang w:val="fr-FR" w:eastAsia="en-CA"/>
        </w:rPr>
        <w:noBreakHyphen/>
        <w:t>2020, y compris en ce qui concerne les besoins financiers, et de mettre à jour la page Web sur le processus de l’après</w:t>
      </w:r>
      <w:r w:rsidRPr="00663464">
        <w:rPr>
          <w:szCs w:val="22"/>
          <w:lang w:val="fr-FR" w:eastAsia="en-CA"/>
        </w:rPr>
        <w:noBreakHyphen/>
        <w:t>2020.</w:t>
      </w:r>
    </w:p>
    <w:p w14:paraId="2D6ACE26" w14:textId="47C43DF5" w:rsidR="00817C4B" w:rsidRPr="00A365D7" w:rsidRDefault="00817C4B">
      <w:pPr>
        <w:jc w:val="left"/>
        <w:rPr>
          <w:kern w:val="22"/>
          <w:szCs w:val="22"/>
          <w:lang w:val="fr-FR" w:eastAsia="en-CA"/>
        </w:rPr>
      </w:pPr>
      <w:r w:rsidRPr="00A365D7">
        <w:rPr>
          <w:kern w:val="22"/>
          <w:szCs w:val="22"/>
          <w:lang w:val="fr-FR" w:eastAsia="en-CA"/>
        </w:rPr>
        <w:br w:type="page"/>
      </w:r>
    </w:p>
    <w:p w14:paraId="522F35D3" w14:textId="55525EAB" w:rsidR="00817C4B" w:rsidRPr="00A365D7" w:rsidRDefault="00817C4B" w:rsidP="00E20ACC">
      <w:pPr>
        <w:spacing w:before="240" w:after="120"/>
        <w:jc w:val="center"/>
        <w:rPr>
          <w:i/>
          <w:caps/>
          <w:kern w:val="22"/>
          <w:szCs w:val="22"/>
          <w:lang w:val="fr-FR"/>
        </w:rPr>
      </w:pPr>
      <w:bookmarkStart w:id="1" w:name="ConclusionsAnnexI"/>
      <w:r w:rsidRPr="00A365D7">
        <w:rPr>
          <w:i/>
          <w:caps/>
          <w:kern w:val="22"/>
          <w:szCs w:val="22"/>
          <w:lang w:val="fr-FR"/>
        </w:rPr>
        <w:lastRenderedPageBreak/>
        <w:t>A</w:t>
      </w:r>
      <w:r w:rsidRPr="00A365D7">
        <w:rPr>
          <w:i/>
          <w:kern w:val="22"/>
          <w:szCs w:val="22"/>
          <w:lang w:val="fr-FR"/>
        </w:rPr>
        <w:t>nnex</w:t>
      </w:r>
      <w:r w:rsidR="00976B53" w:rsidRPr="00A365D7">
        <w:rPr>
          <w:i/>
          <w:kern w:val="22"/>
          <w:szCs w:val="22"/>
          <w:lang w:val="fr-FR"/>
        </w:rPr>
        <w:t>e</w:t>
      </w:r>
      <w:r w:rsidRPr="00A365D7">
        <w:rPr>
          <w:i/>
          <w:caps/>
          <w:kern w:val="22"/>
          <w:szCs w:val="22"/>
          <w:lang w:val="fr-FR"/>
        </w:rPr>
        <w:t xml:space="preserve"> I</w:t>
      </w:r>
    </w:p>
    <w:bookmarkEnd w:id="1"/>
    <w:p w14:paraId="0FA8C887" w14:textId="7E8ACABC" w:rsidR="00B85058" w:rsidRPr="00AF7FCF" w:rsidRDefault="00B85058" w:rsidP="00B85058">
      <w:pPr>
        <w:pStyle w:val="Heading1"/>
        <w:tabs>
          <w:tab w:val="clear" w:pos="720"/>
        </w:tabs>
        <w:rPr>
          <w:iCs/>
          <w:kern w:val="22"/>
          <w:szCs w:val="22"/>
          <w:lang w:val="fr-CA"/>
        </w:rPr>
      </w:pPr>
      <w:r>
        <w:rPr>
          <w:iCs/>
          <w:kern w:val="22"/>
          <w:szCs w:val="22"/>
          <w:lang w:val="fr-CA"/>
        </w:rPr>
        <w:t>éléments possibles d’un Cadre mondial de la biodiversité pour l’après</w:t>
      </w:r>
      <w:r>
        <w:rPr>
          <w:iCs/>
          <w:kern w:val="22"/>
          <w:szCs w:val="22"/>
          <w:lang w:val="fr-CA"/>
        </w:rPr>
        <w:noBreakHyphen/>
        <w:t>2020 pour examen plus approfondi</w:t>
      </w:r>
      <w:r w:rsidR="000C0008" w:rsidRPr="00225964">
        <w:rPr>
          <w:rStyle w:val="FootnoteReference"/>
          <w:iCs/>
          <w:kern w:val="22"/>
          <w:szCs w:val="22"/>
        </w:rPr>
        <w:footnoteReference w:id="1"/>
      </w:r>
    </w:p>
    <w:p w14:paraId="5921994A" w14:textId="77777777" w:rsidR="00B85058" w:rsidRPr="00AF7FCF" w:rsidRDefault="00B85058" w:rsidP="00B85058">
      <w:pPr>
        <w:pStyle w:val="Heading2"/>
        <w:rPr>
          <w:kern w:val="22"/>
          <w:szCs w:val="22"/>
          <w:lang w:val="fr-CA"/>
        </w:rPr>
      </w:pPr>
    </w:p>
    <w:p w14:paraId="79029933" w14:textId="77777777" w:rsidR="00B85058" w:rsidRPr="00AF7FCF" w:rsidRDefault="00B85058" w:rsidP="00F44122">
      <w:pPr>
        <w:pStyle w:val="ListParagraph"/>
        <w:numPr>
          <w:ilvl w:val="0"/>
          <w:numId w:val="6"/>
        </w:numPr>
        <w:jc w:val="center"/>
        <w:rPr>
          <w:b/>
          <w:kern w:val="22"/>
          <w:szCs w:val="22"/>
          <w:lang w:val="fr-CA"/>
        </w:rPr>
      </w:pPr>
      <w:r w:rsidRPr="00AF7FCF">
        <w:rPr>
          <w:b/>
          <w:kern w:val="22"/>
          <w:szCs w:val="22"/>
          <w:lang w:val="fr-CA"/>
        </w:rPr>
        <w:t>Introduction</w:t>
      </w:r>
    </w:p>
    <w:p w14:paraId="73BC3A40" w14:textId="6AF57A43" w:rsidR="00B85058" w:rsidRPr="00AF7FCF" w:rsidRDefault="00B85058" w:rsidP="00F44122">
      <w:pPr>
        <w:pStyle w:val="Para10"/>
        <w:numPr>
          <w:ilvl w:val="0"/>
          <w:numId w:val="5"/>
        </w:numPr>
        <w:ind w:left="0" w:firstLine="0"/>
        <w:rPr>
          <w:iCs/>
          <w:kern w:val="22"/>
          <w:szCs w:val="22"/>
          <w:lang w:val="fr-CA"/>
        </w:rPr>
      </w:pPr>
      <w:r>
        <w:rPr>
          <w:iCs/>
          <w:kern w:val="22"/>
          <w:szCs w:val="22"/>
          <w:lang w:val="fr-CA"/>
        </w:rPr>
        <w:t>La présente note a été préparée pour faciliter la poursuite des débats sur l’élaboration du Cadre mondial de la biodiversité pour l’après</w:t>
      </w:r>
      <w:r>
        <w:rPr>
          <w:iCs/>
          <w:kern w:val="22"/>
          <w:szCs w:val="22"/>
          <w:lang w:val="fr-CA"/>
        </w:rPr>
        <w:noBreakHyphen/>
        <w:t xml:space="preserve">2020. Les points de vue exprimés aux présentes devraient être pris en considération par les coprésidents du Groupe de travail à composition non limitée lors de l’élaboration des prochains documents relatifs au </w:t>
      </w:r>
      <w:r w:rsidR="00B42C73">
        <w:rPr>
          <w:iCs/>
          <w:kern w:val="22"/>
          <w:szCs w:val="22"/>
          <w:lang w:val="fr-CA"/>
        </w:rPr>
        <w:t>c</w:t>
      </w:r>
      <w:r>
        <w:rPr>
          <w:iCs/>
          <w:kern w:val="22"/>
          <w:szCs w:val="22"/>
          <w:lang w:val="fr-CA"/>
        </w:rPr>
        <w:t>adre mondial de la biodiversité pour l’après</w:t>
      </w:r>
      <w:r>
        <w:rPr>
          <w:iCs/>
          <w:kern w:val="22"/>
          <w:szCs w:val="22"/>
          <w:lang w:val="fr-CA"/>
        </w:rPr>
        <w:noBreakHyphen/>
        <w:t xml:space="preserve">2020 à l’intention du Groupe de travail à composition non limitée. Cependant, il ne faudrait pas déduire qu’un accord a été obtenu sur les questions soulevées dans la présente note. Par ailleurs, la présente note devrait être examinée parallèlement aux déclarations officielles faites par les Parties au cours de la première réunion du Groupe de travail </w:t>
      </w:r>
      <w:r w:rsidR="00B1490C">
        <w:rPr>
          <w:iCs/>
          <w:kern w:val="22"/>
          <w:szCs w:val="22"/>
          <w:lang w:val="fr-CA"/>
        </w:rPr>
        <w:t xml:space="preserve">et </w:t>
      </w:r>
      <w:r>
        <w:rPr>
          <w:iCs/>
          <w:kern w:val="22"/>
          <w:szCs w:val="22"/>
          <w:lang w:val="fr-CA"/>
        </w:rPr>
        <w:t>ne vise pas à les remplacer.</w:t>
      </w:r>
    </w:p>
    <w:p w14:paraId="1713ABDA" w14:textId="32030C32" w:rsidR="00B85058" w:rsidRPr="00AF7FCF" w:rsidRDefault="00B85058" w:rsidP="00F44122">
      <w:pPr>
        <w:pStyle w:val="Para10"/>
        <w:numPr>
          <w:ilvl w:val="0"/>
          <w:numId w:val="5"/>
        </w:numPr>
        <w:ind w:left="0" w:firstLine="0"/>
        <w:rPr>
          <w:iCs/>
          <w:kern w:val="22"/>
          <w:szCs w:val="22"/>
          <w:lang w:val="fr-CA"/>
        </w:rPr>
      </w:pPr>
      <w:r>
        <w:rPr>
          <w:iCs/>
          <w:kern w:val="22"/>
          <w:szCs w:val="22"/>
          <w:lang w:val="fr-CA"/>
        </w:rPr>
        <w:t xml:space="preserve"> Certaines questions soulevées dans les sections ci</w:t>
      </w:r>
      <w:r>
        <w:rPr>
          <w:iCs/>
          <w:kern w:val="22"/>
          <w:szCs w:val="22"/>
          <w:lang w:val="fr-CA"/>
        </w:rPr>
        <w:noBreakHyphen/>
        <w:t xml:space="preserve">après pourraient s’avérer pertinentes et/ou figurer sous des rubriques différentes selon la manière dont les débats sur le </w:t>
      </w:r>
      <w:r w:rsidR="00B42C73">
        <w:rPr>
          <w:iCs/>
          <w:kern w:val="22"/>
          <w:szCs w:val="22"/>
          <w:lang w:val="fr-CA"/>
        </w:rPr>
        <w:t>c</w:t>
      </w:r>
      <w:r>
        <w:rPr>
          <w:iCs/>
          <w:kern w:val="22"/>
          <w:szCs w:val="22"/>
          <w:lang w:val="fr-CA"/>
        </w:rPr>
        <w:t>adre mondial de la biodiversité pour l’après</w:t>
      </w:r>
      <w:r>
        <w:rPr>
          <w:iCs/>
          <w:kern w:val="22"/>
          <w:szCs w:val="22"/>
          <w:lang w:val="fr-CA"/>
        </w:rPr>
        <w:noBreakHyphen/>
        <w:t xml:space="preserve">2020 évoluent. Afin de faciliter les débats futurs sur le </w:t>
      </w:r>
      <w:r w:rsidR="00223333">
        <w:rPr>
          <w:iCs/>
          <w:kern w:val="22"/>
          <w:szCs w:val="22"/>
          <w:lang w:val="fr-CA"/>
        </w:rPr>
        <w:t>c</w:t>
      </w:r>
      <w:r>
        <w:rPr>
          <w:iCs/>
          <w:kern w:val="22"/>
          <w:szCs w:val="22"/>
          <w:lang w:val="fr-CA"/>
        </w:rPr>
        <w:t>adre, une structure organisationnelle pour les possibles éléments de ce dernier devrait être élaborée.</w:t>
      </w:r>
    </w:p>
    <w:p w14:paraId="68B494BF" w14:textId="19295043" w:rsidR="00B85058" w:rsidRPr="00AF7FCF" w:rsidRDefault="00B85058" w:rsidP="00F44122">
      <w:pPr>
        <w:pStyle w:val="ListParagraph"/>
        <w:numPr>
          <w:ilvl w:val="0"/>
          <w:numId w:val="6"/>
        </w:numPr>
        <w:jc w:val="center"/>
        <w:rPr>
          <w:b/>
          <w:kern w:val="22"/>
          <w:szCs w:val="22"/>
          <w:lang w:val="fr-CA"/>
        </w:rPr>
      </w:pPr>
      <w:r>
        <w:rPr>
          <w:b/>
          <w:kern w:val="22"/>
          <w:szCs w:val="22"/>
          <w:lang w:val="fr-CA"/>
        </w:rPr>
        <w:t xml:space="preserve">Éléments possibles d’un </w:t>
      </w:r>
      <w:r w:rsidR="00B42C73">
        <w:rPr>
          <w:b/>
          <w:kern w:val="22"/>
          <w:szCs w:val="22"/>
          <w:lang w:val="fr-CA"/>
        </w:rPr>
        <w:t>c</w:t>
      </w:r>
      <w:r>
        <w:rPr>
          <w:b/>
          <w:kern w:val="22"/>
          <w:szCs w:val="22"/>
          <w:lang w:val="fr-CA"/>
        </w:rPr>
        <w:t>adre mondial de la biodiversité pour l’après</w:t>
      </w:r>
      <w:r>
        <w:rPr>
          <w:b/>
          <w:kern w:val="22"/>
          <w:szCs w:val="22"/>
          <w:lang w:val="fr-CA"/>
        </w:rPr>
        <w:noBreakHyphen/>
        <w:t>2020 pour examen plus approfondi</w:t>
      </w:r>
    </w:p>
    <w:p w14:paraId="72BB5952" w14:textId="4BF8B6F0" w:rsidR="00B85058" w:rsidRPr="000C0008" w:rsidRDefault="00B85058" w:rsidP="00F44122">
      <w:pPr>
        <w:pStyle w:val="Heading2"/>
        <w:numPr>
          <w:ilvl w:val="0"/>
          <w:numId w:val="11"/>
        </w:numPr>
        <w:rPr>
          <w:b w:val="0"/>
          <w:iCs w:val="0"/>
          <w:kern w:val="22"/>
          <w:szCs w:val="22"/>
          <w:lang w:val="fr-FR"/>
        </w:rPr>
      </w:pPr>
      <w:r w:rsidRPr="000C0008">
        <w:rPr>
          <w:rFonts w:eastAsia="Times New Roman"/>
          <w:kern w:val="22"/>
          <w:szCs w:val="22"/>
          <w:lang w:val="fr-FR"/>
        </w:rPr>
        <w:t>Justification et champ d’application</w:t>
      </w:r>
    </w:p>
    <w:p w14:paraId="185E9B3F" w14:textId="77777777" w:rsidR="00B85058" w:rsidRPr="00AF7FCF" w:rsidRDefault="00B85058" w:rsidP="000C0008">
      <w:pPr>
        <w:pStyle w:val="Para10"/>
        <w:numPr>
          <w:ilvl w:val="0"/>
          <w:numId w:val="0"/>
        </w:numPr>
        <w:ind w:left="1080"/>
        <w:rPr>
          <w:iCs/>
          <w:kern w:val="22"/>
          <w:szCs w:val="22"/>
          <w:lang w:val="fr-CA"/>
        </w:rPr>
      </w:pPr>
      <w:r>
        <w:rPr>
          <w:iCs/>
          <w:kern w:val="22"/>
          <w:szCs w:val="22"/>
          <w:lang w:val="fr-CA"/>
        </w:rPr>
        <w:t>Éventuelles questions à inclure :</w:t>
      </w:r>
    </w:p>
    <w:p w14:paraId="00768E7E" w14:textId="77777777" w:rsidR="00B85058" w:rsidRPr="00AF7FCF" w:rsidRDefault="00B85058" w:rsidP="00F44122">
      <w:pPr>
        <w:pStyle w:val="Para10"/>
        <w:numPr>
          <w:ilvl w:val="2"/>
          <w:numId w:val="5"/>
        </w:numPr>
        <w:ind w:left="1985" w:hanging="317"/>
        <w:rPr>
          <w:iCs/>
          <w:noProof/>
          <w:kern w:val="22"/>
          <w:szCs w:val="22"/>
          <w:lang w:val="fr-CA"/>
        </w:rPr>
      </w:pPr>
      <w:r>
        <w:rPr>
          <w:iCs/>
          <w:kern w:val="22"/>
          <w:szCs w:val="22"/>
          <w:lang w:val="fr-CA"/>
        </w:rPr>
        <w:t xml:space="preserve">Importance de la biodiversité et des </w:t>
      </w:r>
      <w:r>
        <w:rPr>
          <w:iCs/>
          <w:noProof/>
          <w:kern w:val="22"/>
          <w:szCs w:val="22"/>
          <w:lang w:val="fr-CA"/>
        </w:rPr>
        <w:t>services écosystémiques</w:t>
      </w:r>
      <w:r>
        <w:rPr>
          <w:iCs/>
          <w:kern w:val="22"/>
          <w:szCs w:val="22"/>
          <w:lang w:val="fr-CA"/>
        </w:rPr>
        <w:t> </w:t>
      </w:r>
      <w:r>
        <w:rPr>
          <w:iCs/>
          <w:noProof/>
          <w:kern w:val="22"/>
          <w:szCs w:val="22"/>
          <w:lang w:val="fr-CA"/>
        </w:rPr>
        <w:t>;</w:t>
      </w:r>
    </w:p>
    <w:p w14:paraId="5F4519A4" w14:textId="77777777" w:rsidR="00B85058" w:rsidRPr="00AF7FCF" w:rsidRDefault="00B85058" w:rsidP="00F44122">
      <w:pPr>
        <w:pStyle w:val="Para10"/>
        <w:numPr>
          <w:ilvl w:val="2"/>
          <w:numId w:val="5"/>
        </w:numPr>
        <w:ind w:left="1985" w:hanging="317"/>
        <w:rPr>
          <w:iCs/>
          <w:noProof/>
          <w:kern w:val="22"/>
          <w:szCs w:val="22"/>
          <w:lang w:val="fr-CA"/>
        </w:rPr>
      </w:pPr>
      <w:r>
        <w:rPr>
          <w:iCs/>
          <w:noProof/>
          <w:kern w:val="22"/>
          <w:szCs w:val="22"/>
          <w:lang w:val="fr-CA"/>
        </w:rPr>
        <w:t>État actuel de la biodiversité et conséquences qui en résultent pour le bien</w:t>
      </w:r>
      <w:r>
        <w:rPr>
          <w:iCs/>
          <w:noProof/>
          <w:kern w:val="22"/>
          <w:szCs w:val="22"/>
          <w:lang w:val="fr-CA"/>
        </w:rPr>
        <w:noBreakHyphen/>
        <w:t>être des personnes</w:t>
      </w:r>
      <w:r>
        <w:rPr>
          <w:iCs/>
          <w:kern w:val="22"/>
          <w:szCs w:val="22"/>
          <w:lang w:val="fr-CA"/>
        </w:rPr>
        <w:t> </w:t>
      </w:r>
      <w:r>
        <w:rPr>
          <w:iCs/>
          <w:noProof/>
          <w:kern w:val="22"/>
          <w:szCs w:val="22"/>
          <w:lang w:val="fr-CA"/>
        </w:rPr>
        <w:t>;</w:t>
      </w:r>
      <w:r w:rsidRPr="00AF7FCF">
        <w:rPr>
          <w:iCs/>
          <w:noProof/>
          <w:kern w:val="22"/>
          <w:szCs w:val="22"/>
          <w:lang w:val="fr-CA"/>
        </w:rPr>
        <w:t xml:space="preserve"> </w:t>
      </w:r>
    </w:p>
    <w:p w14:paraId="78F58650" w14:textId="77777777" w:rsidR="00B85058" w:rsidRPr="00AF7FCF" w:rsidRDefault="00B85058" w:rsidP="00F44122">
      <w:pPr>
        <w:pStyle w:val="Para10"/>
        <w:numPr>
          <w:ilvl w:val="2"/>
          <w:numId w:val="5"/>
        </w:numPr>
        <w:ind w:left="1985" w:hanging="317"/>
        <w:rPr>
          <w:iCs/>
          <w:kern w:val="22"/>
          <w:szCs w:val="22"/>
          <w:lang w:val="fr-CA"/>
        </w:rPr>
      </w:pPr>
      <w:r>
        <w:rPr>
          <w:iCs/>
          <w:kern w:val="22"/>
          <w:szCs w:val="22"/>
          <w:lang w:val="fr-CA"/>
        </w:rPr>
        <w:t>Nécessité d’un plan ambitieux pour relever les défis actuels en matière de biodiversité ;</w:t>
      </w:r>
    </w:p>
    <w:p w14:paraId="7E2E9947" w14:textId="77777777" w:rsidR="00B85058" w:rsidRPr="00AF7FCF" w:rsidRDefault="00B85058" w:rsidP="00F44122">
      <w:pPr>
        <w:pStyle w:val="Para10"/>
        <w:numPr>
          <w:ilvl w:val="2"/>
          <w:numId w:val="5"/>
        </w:numPr>
        <w:ind w:left="1985" w:hanging="317"/>
        <w:rPr>
          <w:iCs/>
          <w:kern w:val="22"/>
          <w:szCs w:val="22"/>
          <w:lang w:val="fr-CA"/>
        </w:rPr>
      </w:pPr>
      <w:r>
        <w:rPr>
          <w:iCs/>
          <w:kern w:val="22"/>
          <w:szCs w:val="22"/>
          <w:lang w:val="fr-CA"/>
        </w:rPr>
        <w:t>Causes directes et indirectes de la perte de biodiversité ;</w:t>
      </w:r>
    </w:p>
    <w:p w14:paraId="5CBB407D" w14:textId="77777777" w:rsidR="00B85058" w:rsidRPr="00AF7FCF" w:rsidRDefault="00B85058" w:rsidP="00F44122">
      <w:pPr>
        <w:pStyle w:val="Para10"/>
        <w:numPr>
          <w:ilvl w:val="2"/>
          <w:numId w:val="5"/>
        </w:numPr>
        <w:ind w:left="1985" w:hanging="317"/>
        <w:rPr>
          <w:iCs/>
          <w:kern w:val="22"/>
          <w:szCs w:val="22"/>
          <w:lang w:val="fr-CA"/>
        </w:rPr>
      </w:pPr>
      <w:r>
        <w:rPr>
          <w:iCs/>
          <w:kern w:val="22"/>
          <w:szCs w:val="22"/>
          <w:lang w:val="fr-CA"/>
        </w:rPr>
        <w:t>Changement transformateur</w:t>
      </w:r>
      <w:r w:rsidRPr="00F65063">
        <w:rPr>
          <w:rStyle w:val="FootnoteReference"/>
          <w:iCs/>
          <w:kern w:val="22"/>
          <w:szCs w:val="22"/>
        </w:rPr>
        <w:footnoteReference w:id="2"/>
      </w:r>
      <w:r>
        <w:rPr>
          <w:iCs/>
          <w:kern w:val="22"/>
          <w:szCs w:val="22"/>
          <w:lang w:val="fr-CA"/>
        </w:rPr>
        <w:t> ;</w:t>
      </w:r>
    </w:p>
    <w:p w14:paraId="16A5D374" w14:textId="77777777" w:rsidR="00B85058" w:rsidRPr="00AF7FCF" w:rsidRDefault="00B85058" w:rsidP="00F44122">
      <w:pPr>
        <w:pStyle w:val="Para10"/>
        <w:numPr>
          <w:ilvl w:val="2"/>
          <w:numId w:val="5"/>
        </w:numPr>
        <w:ind w:left="1985" w:hanging="317"/>
        <w:rPr>
          <w:iCs/>
          <w:kern w:val="22"/>
          <w:szCs w:val="22"/>
          <w:lang w:val="fr-CA"/>
        </w:rPr>
      </w:pPr>
      <w:r>
        <w:rPr>
          <w:iCs/>
          <w:kern w:val="22"/>
          <w:szCs w:val="22"/>
          <w:lang w:val="fr-CA"/>
        </w:rPr>
        <w:t>Théorie du changement</w:t>
      </w:r>
      <w:r w:rsidRPr="00AF7FCF">
        <w:rPr>
          <w:rStyle w:val="FootnoteReference"/>
          <w:iCs/>
          <w:kern w:val="22"/>
          <w:szCs w:val="22"/>
          <w:lang w:val="fr-CA"/>
        </w:rPr>
        <w:footnoteReference w:id="3"/>
      </w:r>
      <w:r>
        <w:rPr>
          <w:iCs/>
          <w:kern w:val="22"/>
          <w:szCs w:val="22"/>
          <w:lang w:val="fr-CA"/>
        </w:rPr>
        <w:t> ;</w:t>
      </w:r>
    </w:p>
    <w:p w14:paraId="72ADCD06" w14:textId="77777777" w:rsidR="00B85058" w:rsidRPr="00AF7FCF" w:rsidRDefault="00B85058" w:rsidP="00F44122">
      <w:pPr>
        <w:pStyle w:val="Para10"/>
        <w:numPr>
          <w:ilvl w:val="2"/>
          <w:numId w:val="5"/>
        </w:numPr>
        <w:ind w:left="1985" w:hanging="317"/>
        <w:rPr>
          <w:iCs/>
          <w:kern w:val="22"/>
          <w:szCs w:val="22"/>
          <w:lang w:val="fr-CA"/>
        </w:rPr>
      </w:pPr>
      <w:r>
        <w:rPr>
          <w:iCs/>
          <w:kern w:val="22"/>
          <w:szCs w:val="22"/>
          <w:lang w:val="fr-CA"/>
        </w:rPr>
        <w:t>Principes</w:t>
      </w:r>
      <w:r w:rsidRPr="00AF7FCF">
        <w:rPr>
          <w:rStyle w:val="FootnoteReference"/>
          <w:iCs/>
          <w:kern w:val="22"/>
          <w:szCs w:val="22"/>
          <w:lang w:val="fr-CA"/>
        </w:rPr>
        <w:footnoteReference w:id="4"/>
      </w:r>
      <w:r>
        <w:rPr>
          <w:iCs/>
          <w:kern w:val="22"/>
          <w:szCs w:val="22"/>
          <w:lang w:val="fr-CA"/>
        </w:rPr>
        <w:t> ;</w:t>
      </w:r>
    </w:p>
    <w:p w14:paraId="109F4EC0" w14:textId="77777777" w:rsidR="00B85058" w:rsidRPr="00AF7FCF" w:rsidRDefault="00B85058" w:rsidP="00F44122">
      <w:pPr>
        <w:pStyle w:val="Para10"/>
        <w:numPr>
          <w:ilvl w:val="2"/>
          <w:numId w:val="5"/>
        </w:numPr>
        <w:ind w:left="1985" w:hanging="317"/>
        <w:rPr>
          <w:iCs/>
          <w:kern w:val="22"/>
          <w:szCs w:val="22"/>
          <w:lang w:val="fr-CA"/>
        </w:rPr>
      </w:pPr>
      <w:r>
        <w:rPr>
          <w:iCs/>
          <w:kern w:val="22"/>
          <w:szCs w:val="22"/>
          <w:lang w:val="fr-CA"/>
        </w:rPr>
        <w:t>Difficultés de mise en œuvre ;</w:t>
      </w:r>
    </w:p>
    <w:p w14:paraId="4A9CE10F" w14:textId="69A1B646" w:rsidR="00B85058" w:rsidRPr="00AF7FCF" w:rsidRDefault="00B85058" w:rsidP="00F44122">
      <w:pPr>
        <w:pStyle w:val="Para10"/>
        <w:numPr>
          <w:ilvl w:val="2"/>
          <w:numId w:val="5"/>
        </w:numPr>
        <w:ind w:left="1985" w:hanging="317"/>
        <w:rPr>
          <w:iCs/>
          <w:noProof/>
          <w:kern w:val="22"/>
          <w:szCs w:val="22"/>
          <w:lang w:val="fr-CA"/>
        </w:rPr>
      </w:pPr>
      <w:r>
        <w:rPr>
          <w:iCs/>
          <w:kern w:val="22"/>
          <w:szCs w:val="22"/>
          <w:lang w:val="fr-CA"/>
        </w:rPr>
        <w:t>Résultats d</w:t>
      </w:r>
      <w:r w:rsidR="00B1490C">
        <w:rPr>
          <w:iCs/>
          <w:kern w:val="22"/>
          <w:szCs w:val="22"/>
          <w:lang w:val="fr-CA"/>
        </w:rPr>
        <w:t>u rapport de</w:t>
      </w:r>
      <w:r>
        <w:rPr>
          <w:iCs/>
          <w:kern w:val="22"/>
          <w:szCs w:val="22"/>
          <w:lang w:val="fr-CA"/>
        </w:rPr>
        <w:t xml:space="preserve"> l’</w:t>
      </w:r>
      <w:r w:rsidR="00223333">
        <w:rPr>
          <w:iCs/>
          <w:kern w:val="22"/>
          <w:szCs w:val="22"/>
          <w:lang w:val="fr-CA"/>
        </w:rPr>
        <w:t>É</w:t>
      </w:r>
      <w:r>
        <w:rPr>
          <w:iCs/>
          <w:kern w:val="22"/>
          <w:szCs w:val="22"/>
          <w:lang w:val="fr-CA"/>
        </w:rPr>
        <w:t>valuation mondiale</w:t>
      </w:r>
      <w:r w:rsidR="00B1490C">
        <w:rPr>
          <w:iCs/>
          <w:kern w:val="22"/>
          <w:szCs w:val="22"/>
          <w:lang w:val="fr-CA"/>
        </w:rPr>
        <w:t xml:space="preserve"> </w:t>
      </w:r>
      <w:r w:rsidR="00223333">
        <w:rPr>
          <w:iCs/>
          <w:kern w:val="22"/>
          <w:szCs w:val="22"/>
          <w:lang w:val="fr-CA"/>
        </w:rPr>
        <w:t>de</w:t>
      </w:r>
      <w:r w:rsidR="00B1490C">
        <w:rPr>
          <w:iCs/>
          <w:kern w:val="22"/>
          <w:szCs w:val="22"/>
          <w:lang w:val="fr-CA"/>
        </w:rPr>
        <w:t xml:space="preserve"> la biodiversité et les services écosystémiques élaboré par la </w:t>
      </w:r>
      <w:r>
        <w:rPr>
          <w:iCs/>
          <w:kern w:val="22"/>
          <w:szCs w:val="22"/>
          <w:lang w:val="fr-CA"/>
        </w:rPr>
        <w:t xml:space="preserve">Plateforme intergouvernementale scientifique et </w:t>
      </w:r>
      <w:r>
        <w:rPr>
          <w:iCs/>
          <w:kern w:val="22"/>
          <w:szCs w:val="22"/>
          <w:lang w:val="fr-CA"/>
        </w:rPr>
        <w:lastRenderedPageBreak/>
        <w:t xml:space="preserve">politique sur la biodiversité et les services </w:t>
      </w:r>
      <w:r>
        <w:rPr>
          <w:iCs/>
          <w:noProof/>
          <w:kern w:val="22"/>
          <w:szCs w:val="22"/>
          <w:lang w:val="fr-CA"/>
        </w:rPr>
        <w:t>écosystémiques (IPBES) et d’autres évaluations pertinentes.</w:t>
      </w:r>
    </w:p>
    <w:p w14:paraId="7F72D6F6" w14:textId="77777777" w:rsidR="00B85058" w:rsidRPr="00AF7FCF" w:rsidRDefault="00B85058" w:rsidP="00F44122">
      <w:pPr>
        <w:pStyle w:val="Heading2"/>
        <w:numPr>
          <w:ilvl w:val="0"/>
          <w:numId w:val="11"/>
        </w:numPr>
        <w:rPr>
          <w:b w:val="0"/>
          <w:iCs w:val="0"/>
          <w:kern w:val="22"/>
          <w:szCs w:val="22"/>
          <w:lang w:val="fr-CA"/>
        </w:rPr>
      </w:pPr>
      <w:r w:rsidRPr="000C0008">
        <w:rPr>
          <w:rFonts w:eastAsia="Times New Roman"/>
          <w:kern w:val="22"/>
          <w:szCs w:val="22"/>
        </w:rPr>
        <w:t>Vision 2050</w:t>
      </w:r>
    </w:p>
    <w:p w14:paraId="73AD8563" w14:textId="56FDEC86" w:rsidR="00B85058" w:rsidRPr="00EB6F77" w:rsidRDefault="00EB6F77" w:rsidP="00EB6F77">
      <w:pPr>
        <w:pStyle w:val="Para10"/>
        <w:numPr>
          <w:ilvl w:val="0"/>
          <w:numId w:val="0"/>
        </w:numPr>
        <w:ind w:left="567"/>
        <w:rPr>
          <w:iCs/>
          <w:kern w:val="22"/>
          <w:szCs w:val="22"/>
          <w:lang w:val="fr-FR"/>
        </w:rPr>
      </w:pPr>
      <w:r w:rsidRPr="00EB6F77">
        <w:rPr>
          <w:rFonts w:eastAsia="Times New Roman"/>
          <w:kern w:val="22"/>
          <w:szCs w:val="22"/>
          <w:lang w:val="fr-FR"/>
        </w:rPr>
        <w:t>a)</w:t>
      </w:r>
      <w:r w:rsidRPr="00EB6F77">
        <w:rPr>
          <w:rFonts w:eastAsia="Times New Roman"/>
          <w:kern w:val="22"/>
          <w:szCs w:val="22"/>
          <w:lang w:val="fr-FR"/>
        </w:rPr>
        <w:tab/>
      </w:r>
      <w:r w:rsidR="00B85058" w:rsidRPr="00EB6F77">
        <w:rPr>
          <w:rFonts w:eastAsia="Times New Roman"/>
          <w:kern w:val="22"/>
          <w:szCs w:val="22"/>
          <w:lang w:val="fr-FR"/>
        </w:rPr>
        <w:t>Éventuelles questions à inclure</w:t>
      </w:r>
      <w:r w:rsidR="00B85058" w:rsidRPr="00EB6F77">
        <w:rPr>
          <w:iCs/>
          <w:kern w:val="22"/>
          <w:szCs w:val="22"/>
          <w:lang w:val="fr-FR"/>
        </w:rPr>
        <w:t> :</w:t>
      </w:r>
    </w:p>
    <w:p w14:paraId="62E32811" w14:textId="489FC730" w:rsidR="00B85058" w:rsidRPr="00AF7FCF" w:rsidRDefault="00B85058" w:rsidP="00F44122">
      <w:pPr>
        <w:pStyle w:val="Para10"/>
        <w:numPr>
          <w:ilvl w:val="0"/>
          <w:numId w:val="14"/>
        </w:numPr>
        <w:rPr>
          <w:iCs/>
          <w:kern w:val="22"/>
          <w:szCs w:val="22"/>
          <w:lang w:val="fr-CA"/>
        </w:rPr>
      </w:pPr>
      <w:r>
        <w:rPr>
          <w:iCs/>
          <w:kern w:val="22"/>
          <w:szCs w:val="22"/>
          <w:lang w:val="fr-CA"/>
        </w:rPr>
        <w:t xml:space="preserve">La Vision 2050 demeure pertinente et fera partie du </w:t>
      </w:r>
      <w:r w:rsidR="00B42C73">
        <w:rPr>
          <w:iCs/>
          <w:kern w:val="22"/>
          <w:szCs w:val="22"/>
          <w:lang w:val="fr-CA"/>
        </w:rPr>
        <w:t>c</w:t>
      </w:r>
      <w:r>
        <w:rPr>
          <w:iCs/>
          <w:kern w:val="22"/>
          <w:szCs w:val="22"/>
          <w:lang w:val="fr-CA"/>
        </w:rPr>
        <w:t>adre mondial de la biodiversité pour l’après</w:t>
      </w:r>
      <w:r>
        <w:rPr>
          <w:iCs/>
          <w:kern w:val="22"/>
          <w:szCs w:val="22"/>
          <w:lang w:val="fr-CA"/>
        </w:rPr>
        <w:noBreakHyphen/>
        <w:t>2020 (conformément à la décision 14/2) ;</w:t>
      </w:r>
    </w:p>
    <w:p w14:paraId="3F84ECD1" w14:textId="5D34EC6C" w:rsidR="00B85058" w:rsidRPr="00AF7FCF" w:rsidRDefault="00B85058" w:rsidP="00F44122">
      <w:pPr>
        <w:pStyle w:val="Para10"/>
        <w:numPr>
          <w:ilvl w:val="0"/>
          <w:numId w:val="14"/>
        </w:numPr>
        <w:rPr>
          <w:iCs/>
          <w:kern w:val="22"/>
          <w:szCs w:val="22"/>
          <w:lang w:val="fr-CA"/>
        </w:rPr>
      </w:pPr>
      <w:r>
        <w:rPr>
          <w:iCs/>
          <w:kern w:val="22"/>
          <w:szCs w:val="22"/>
          <w:lang w:val="fr-CA"/>
        </w:rPr>
        <w:t xml:space="preserve">Les éléments de la Vision 2050 pourraient être utilisés pour éclairer l’élaboration d’autres parties du </w:t>
      </w:r>
      <w:r w:rsidR="00B42C73">
        <w:rPr>
          <w:iCs/>
          <w:kern w:val="22"/>
          <w:szCs w:val="22"/>
          <w:lang w:val="fr-CA"/>
        </w:rPr>
        <w:t>c</w:t>
      </w:r>
      <w:r>
        <w:rPr>
          <w:iCs/>
          <w:kern w:val="22"/>
          <w:szCs w:val="22"/>
          <w:lang w:val="fr-CA"/>
        </w:rPr>
        <w:t>adre mondial de la biodiversité pour l’après</w:t>
      </w:r>
      <w:r>
        <w:rPr>
          <w:iCs/>
          <w:kern w:val="22"/>
          <w:szCs w:val="22"/>
          <w:lang w:val="fr-CA"/>
        </w:rPr>
        <w:noBreakHyphen/>
        <w:t>2020 ;</w:t>
      </w:r>
    </w:p>
    <w:p w14:paraId="697DE331" w14:textId="737DF4E3" w:rsidR="00B85058" w:rsidRPr="00AF7FCF" w:rsidRDefault="00B85058" w:rsidP="00F44122">
      <w:pPr>
        <w:pStyle w:val="Para10"/>
        <w:numPr>
          <w:ilvl w:val="0"/>
          <w:numId w:val="14"/>
        </w:numPr>
        <w:rPr>
          <w:iCs/>
          <w:kern w:val="22"/>
          <w:szCs w:val="22"/>
          <w:lang w:val="fr-CA"/>
        </w:rPr>
      </w:pPr>
      <w:r>
        <w:rPr>
          <w:iCs/>
          <w:kern w:val="22"/>
          <w:szCs w:val="22"/>
          <w:lang w:val="fr-CA"/>
        </w:rPr>
        <w:t xml:space="preserve">Lier d’autres éléments du </w:t>
      </w:r>
      <w:r w:rsidR="00223333">
        <w:rPr>
          <w:iCs/>
          <w:kern w:val="22"/>
          <w:szCs w:val="22"/>
          <w:lang w:val="fr-CA"/>
        </w:rPr>
        <w:t>c</w:t>
      </w:r>
      <w:r>
        <w:rPr>
          <w:iCs/>
          <w:kern w:val="22"/>
          <w:szCs w:val="22"/>
          <w:lang w:val="fr-CA"/>
        </w:rPr>
        <w:t>adre mondial de la biodiversité pour l’après</w:t>
      </w:r>
      <w:r>
        <w:rPr>
          <w:iCs/>
          <w:kern w:val="22"/>
          <w:szCs w:val="22"/>
          <w:lang w:val="fr-CA"/>
        </w:rPr>
        <w:noBreakHyphen/>
        <w:t xml:space="preserve">2020 à la Vision 2050 pourrait nécessiter la prise en compte de délais </w:t>
      </w:r>
      <w:r w:rsidR="00223333">
        <w:rPr>
          <w:iCs/>
          <w:kern w:val="22"/>
          <w:szCs w:val="22"/>
          <w:lang w:val="fr-CA"/>
        </w:rPr>
        <w:t>au-delà de</w:t>
      </w:r>
      <w:r>
        <w:rPr>
          <w:iCs/>
          <w:kern w:val="22"/>
          <w:szCs w:val="22"/>
          <w:lang w:val="fr-CA"/>
        </w:rPr>
        <w:t xml:space="preserve"> 2030 ;</w:t>
      </w:r>
    </w:p>
    <w:p w14:paraId="1D81C3C4" w14:textId="77777777" w:rsidR="00B85058" w:rsidRPr="00AF7FCF" w:rsidRDefault="00B85058" w:rsidP="00F44122">
      <w:pPr>
        <w:pStyle w:val="Para10"/>
        <w:numPr>
          <w:ilvl w:val="0"/>
          <w:numId w:val="14"/>
        </w:numPr>
        <w:rPr>
          <w:iCs/>
          <w:kern w:val="22"/>
          <w:szCs w:val="22"/>
          <w:lang w:val="fr-CA"/>
        </w:rPr>
      </w:pPr>
      <w:r>
        <w:rPr>
          <w:iCs/>
          <w:kern w:val="22"/>
          <w:szCs w:val="22"/>
          <w:lang w:val="fr-CA"/>
        </w:rPr>
        <w:t>Une meilleure compréhension de la Vision 2050 pour la biodiversité pourrait nécessiter un recadrage des diverses questions qu’elle aborde</w:t>
      </w:r>
      <w:r w:rsidRPr="00AF7FCF">
        <w:rPr>
          <w:rStyle w:val="FootnoteReference"/>
          <w:iCs/>
          <w:kern w:val="22"/>
          <w:szCs w:val="22"/>
          <w:lang w:val="fr-CA"/>
        </w:rPr>
        <w:footnoteReference w:id="5"/>
      </w:r>
      <w:r>
        <w:rPr>
          <w:iCs/>
          <w:kern w:val="22"/>
          <w:szCs w:val="22"/>
          <w:lang w:val="fr-CA"/>
        </w:rPr>
        <w:t>.</w:t>
      </w:r>
    </w:p>
    <w:p w14:paraId="163FFE70" w14:textId="473A20E3" w:rsidR="00B85058" w:rsidRPr="00155434" w:rsidRDefault="00B85058" w:rsidP="00F44122">
      <w:pPr>
        <w:pStyle w:val="Heading2"/>
        <w:numPr>
          <w:ilvl w:val="0"/>
          <w:numId w:val="11"/>
        </w:numPr>
        <w:rPr>
          <w:rFonts w:eastAsia="Times New Roman"/>
          <w:kern w:val="22"/>
          <w:szCs w:val="22"/>
          <w:lang w:val="fr-FR"/>
        </w:rPr>
      </w:pPr>
      <w:r w:rsidRPr="00155434">
        <w:rPr>
          <w:rFonts w:eastAsia="Times New Roman"/>
          <w:kern w:val="22"/>
          <w:szCs w:val="22"/>
          <w:lang w:val="fr-FR"/>
        </w:rPr>
        <w:t>Mission et/ou principal objectif et étapes clés</w:t>
      </w:r>
      <w:r w:rsidRPr="00155434">
        <w:rPr>
          <w:rFonts w:eastAsia="Times New Roman"/>
          <w:vertAlign w:val="superscript"/>
          <w:lang w:val="fr-FR"/>
        </w:rPr>
        <w:footnoteReference w:id="6"/>
      </w:r>
      <w:r w:rsidRPr="00155434">
        <w:rPr>
          <w:rFonts w:eastAsia="Times New Roman"/>
          <w:kern w:val="22"/>
          <w:szCs w:val="22"/>
          <w:lang w:val="fr-FR"/>
        </w:rPr>
        <w:t xml:space="preserve"> à l’horizon 2030</w:t>
      </w:r>
    </w:p>
    <w:p w14:paraId="3010C610" w14:textId="3A5ED6F8" w:rsidR="00B85058" w:rsidRPr="00AF7FCF" w:rsidRDefault="00EB6F77" w:rsidP="00EB6F77">
      <w:pPr>
        <w:pStyle w:val="Para10"/>
        <w:numPr>
          <w:ilvl w:val="0"/>
          <w:numId w:val="0"/>
        </w:numPr>
        <w:ind w:firstLine="709"/>
        <w:rPr>
          <w:iCs/>
          <w:kern w:val="22"/>
          <w:szCs w:val="22"/>
          <w:lang w:val="fr-CA"/>
        </w:rPr>
      </w:pPr>
      <w:r>
        <w:rPr>
          <w:iCs/>
          <w:kern w:val="22"/>
          <w:szCs w:val="22"/>
          <w:lang w:val="fr-CA"/>
        </w:rPr>
        <w:t>a)</w:t>
      </w:r>
      <w:r>
        <w:rPr>
          <w:iCs/>
          <w:kern w:val="22"/>
          <w:szCs w:val="22"/>
          <w:lang w:val="fr-CA"/>
        </w:rPr>
        <w:tab/>
      </w:r>
      <w:r w:rsidR="00B85058">
        <w:rPr>
          <w:iCs/>
          <w:kern w:val="22"/>
          <w:szCs w:val="22"/>
          <w:lang w:val="fr-CA"/>
        </w:rPr>
        <w:t>Éventuelles questions à inclure :</w:t>
      </w:r>
    </w:p>
    <w:p w14:paraId="0E8B1035" w14:textId="77777777" w:rsidR="00B85058" w:rsidRPr="00AF7FCF" w:rsidRDefault="00B85058" w:rsidP="00F44122">
      <w:pPr>
        <w:pStyle w:val="Para10"/>
        <w:numPr>
          <w:ilvl w:val="0"/>
          <w:numId w:val="12"/>
        </w:numPr>
        <w:rPr>
          <w:iCs/>
          <w:kern w:val="22"/>
          <w:szCs w:val="22"/>
          <w:lang w:val="fr-CA"/>
        </w:rPr>
      </w:pPr>
      <w:r>
        <w:rPr>
          <w:iCs/>
          <w:kern w:val="22"/>
          <w:szCs w:val="22"/>
          <w:lang w:val="fr-CA"/>
        </w:rPr>
        <w:t>Déclaration sur l’état</w:t>
      </w:r>
      <w:r w:rsidRPr="00AF7FCF">
        <w:rPr>
          <w:rStyle w:val="FootnoteReference"/>
          <w:iCs/>
          <w:kern w:val="22"/>
          <w:szCs w:val="22"/>
          <w:lang w:val="fr-CA"/>
        </w:rPr>
        <w:footnoteReference w:id="7"/>
      </w:r>
      <w:r>
        <w:rPr>
          <w:iCs/>
          <w:kern w:val="22"/>
          <w:szCs w:val="22"/>
          <w:lang w:val="fr-CA"/>
        </w:rPr>
        <w:t xml:space="preserve"> de la biodiversité d’ici à 2030 ;</w:t>
      </w:r>
    </w:p>
    <w:p w14:paraId="07F9842B" w14:textId="77777777" w:rsidR="00B85058" w:rsidRPr="00AF7FCF" w:rsidRDefault="00B85058" w:rsidP="00F44122">
      <w:pPr>
        <w:pStyle w:val="Para10"/>
        <w:numPr>
          <w:ilvl w:val="0"/>
          <w:numId w:val="12"/>
        </w:numPr>
        <w:rPr>
          <w:iCs/>
          <w:kern w:val="22"/>
          <w:szCs w:val="22"/>
          <w:lang w:val="fr-CA"/>
        </w:rPr>
      </w:pPr>
      <w:r>
        <w:rPr>
          <w:iCs/>
          <w:kern w:val="22"/>
          <w:szCs w:val="22"/>
          <w:lang w:val="fr-CA"/>
        </w:rPr>
        <w:t>Déclaration axée sur l’action relative à un changement souhaité ;</w:t>
      </w:r>
    </w:p>
    <w:p w14:paraId="0A5020F8" w14:textId="77777777" w:rsidR="00B85058" w:rsidRPr="00AF7FCF" w:rsidRDefault="00B85058" w:rsidP="00F44122">
      <w:pPr>
        <w:pStyle w:val="Para10"/>
        <w:numPr>
          <w:ilvl w:val="0"/>
          <w:numId w:val="12"/>
        </w:numPr>
        <w:rPr>
          <w:iCs/>
          <w:kern w:val="22"/>
          <w:szCs w:val="22"/>
          <w:lang w:val="fr-CA"/>
        </w:rPr>
      </w:pPr>
      <w:r>
        <w:rPr>
          <w:iCs/>
          <w:kern w:val="22"/>
          <w:szCs w:val="22"/>
          <w:lang w:val="fr-CA"/>
        </w:rPr>
        <w:t>Étapes clés</w:t>
      </w:r>
      <w:r w:rsidRPr="00AF7FCF">
        <w:rPr>
          <w:rStyle w:val="FootnoteReference"/>
          <w:iCs/>
          <w:kern w:val="22"/>
          <w:szCs w:val="22"/>
          <w:lang w:val="fr-CA"/>
        </w:rPr>
        <w:footnoteReference w:id="8"/>
      </w:r>
      <w:r>
        <w:rPr>
          <w:iCs/>
          <w:kern w:val="22"/>
          <w:szCs w:val="22"/>
          <w:lang w:val="fr-CA"/>
        </w:rPr>
        <w:t> ;</w:t>
      </w:r>
    </w:p>
    <w:p w14:paraId="3F0D782D" w14:textId="77777777" w:rsidR="00B85058" w:rsidRPr="00AF7FCF" w:rsidRDefault="00B85058" w:rsidP="00F44122">
      <w:pPr>
        <w:pStyle w:val="Para10"/>
        <w:numPr>
          <w:ilvl w:val="0"/>
          <w:numId w:val="12"/>
        </w:numPr>
        <w:rPr>
          <w:iCs/>
          <w:kern w:val="22"/>
          <w:szCs w:val="22"/>
          <w:lang w:val="fr-CA"/>
        </w:rPr>
      </w:pPr>
      <w:r>
        <w:rPr>
          <w:iCs/>
          <w:kern w:val="22"/>
          <w:szCs w:val="22"/>
          <w:lang w:val="fr-CA"/>
        </w:rPr>
        <w:t>Les trois objectifs de la Convention et de ses Protocoles ;</w:t>
      </w:r>
      <w:r w:rsidRPr="00AF7FCF">
        <w:rPr>
          <w:iCs/>
          <w:kern w:val="22"/>
          <w:szCs w:val="22"/>
          <w:lang w:val="fr-CA"/>
        </w:rPr>
        <w:t xml:space="preserve"> </w:t>
      </w:r>
    </w:p>
    <w:p w14:paraId="02C82507" w14:textId="09D2E19B" w:rsidR="00B85058" w:rsidRPr="00AF7FCF" w:rsidRDefault="005A72E6" w:rsidP="00F44122">
      <w:pPr>
        <w:pStyle w:val="Para10"/>
        <w:numPr>
          <w:ilvl w:val="0"/>
          <w:numId w:val="12"/>
        </w:numPr>
        <w:rPr>
          <w:iCs/>
          <w:kern w:val="22"/>
          <w:szCs w:val="22"/>
          <w:lang w:val="fr-CA"/>
        </w:rPr>
      </w:pPr>
      <w:r>
        <w:rPr>
          <w:iCs/>
          <w:kern w:val="22"/>
          <w:szCs w:val="22"/>
          <w:lang w:val="fr-CA"/>
        </w:rPr>
        <w:t xml:space="preserve">Sur la base des </w:t>
      </w:r>
      <w:r w:rsidR="00B85058">
        <w:rPr>
          <w:iCs/>
          <w:kern w:val="22"/>
          <w:szCs w:val="22"/>
          <w:lang w:val="fr-CA"/>
        </w:rPr>
        <w:t xml:space="preserve">éléments de la Vision 2050 (la biodiversité est </w:t>
      </w:r>
      <w:r w:rsidR="00FE1FFF">
        <w:rPr>
          <w:iCs/>
          <w:kern w:val="22"/>
          <w:szCs w:val="22"/>
          <w:lang w:val="fr-CA"/>
        </w:rPr>
        <w:t xml:space="preserve">appréciée, </w:t>
      </w:r>
      <w:r w:rsidR="00B85058">
        <w:rPr>
          <w:iCs/>
          <w:kern w:val="22"/>
          <w:szCs w:val="22"/>
          <w:lang w:val="fr-CA"/>
        </w:rPr>
        <w:t xml:space="preserve">conservée, utilisée avec sagesse, restaurée, et les </w:t>
      </w:r>
      <w:r w:rsidR="00B85058">
        <w:rPr>
          <w:iCs/>
          <w:noProof/>
          <w:kern w:val="22"/>
          <w:szCs w:val="22"/>
          <w:lang w:val="fr-CA"/>
        </w:rPr>
        <w:t>services écosystémiques sont</w:t>
      </w:r>
      <w:r w:rsidR="00B85058">
        <w:rPr>
          <w:iCs/>
          <w:kern w:val="22"/>
          <w:szCs w:val="22"/>
          <w:lang w:val="fr-CA"/>
        </w:rPr>
        <w:t xml:space="preserve"> maintenus)</w:t>
      </w:r>
      <w:r w:rsidR="00B85058" w:rsidRPr="00AF7FCF">
        <w:rPr>
          <w:rStyle w:val="FootnoteReference"/>
          <w:iCs/>
          <w:kern w:val="22"/>
          <w:szCs w:val="22"/>
          <w:lang w:val="fr-CA"/>
        </w:rPr>
        <w:footnoteReference w:id="9"/>
      </w:r>
      <w:r w:rsidR="00B85058">
        <w:rPr>
          <w:iCs/>
          <w:kern w:val="22"/>
          <w:szCs w:val="22"/>
          <w:lang w:val="fr-CA"/>
        </w:rPr>
        <w:t> ;</w:t>
      </w:r>
    </w:p>
    <w:p w14:paraId="53412661" w14:textId="77777777" w:rsidR="00B85058" w:rsidRPr="00AF7FCF" w:rsidRDefault="00B85058" w:rsidP="00F44122">
      <w:pPr>
        <w:pStyle w:val="Para10"/>
        <w:numPr>
          <w:ilvl w:val="0"/>
          <w:numId w:val="12"/>
        </w:numPr>
        <w:rPr>
          <w:iCs/>
          <w:kern w:val="22"/>
          <w:szCs w:val="22"/>
          <w:lang w:val="fr-CA"/>
        </w:rPr>
      </w:pPr>
      <w:r>
        <w:rPr>
          <w:iCs/>
          <w:kern w:val="22"/>
          <w:szCs w:val="22"/>
          <w:lang w:val="fr-CA"/>
        </w:rPr>
        <w:t>État souhaité de la biodiversité en 2030 ;</w:t>
      </w:r>
    </w:p>
    <w:p w14:paraId="056A30DC" w14:textId="77777777" w:rsidR="00B85058" w:rsidRPr="00AF7FCF" w:rsidRDefault="00B85058" w:rsidP="00F44122">
      <w:pPr>
        <w:pStyle w:val="Para10"/>
        <w:numPr>
          <w:ilvl w:val="0"/>
          <w:numId w:val="12"/>
        </w:numPr>
        <w:rPr>
          <w:iCs/>
          <w:kern w:val="22"/>
          <w:szCs w:val="22"/>
          <w:lang w:val="fr-CA"/>
        </w:rPr>
      </w:pPr>
      <w:r>
        <w:rPr>
          <w:iCs/>
          <w:kern w:val="22"/>
          <w:szCs w:val="22"/>
          <w:lang w:val="fr-CA"/>
        </w:rPr>
        <w:t>Utilisation durable ;</w:t>
      </w:r>
    </w:p>
    <w:p w14:paraId="55E11554" w14:textId="77777777" w:rsidR="00B85058" w:rsidRPr="00AF7FCF" w:rsidRDefault="00B85058" w:rsidP="00F44122">
      <w:pPr>
        <w:pStyle w:val="Para10"/>
        <w:numPr>
          <w:ilvl w:val="0"/>
          <w:numId w:val="12"/>
        </w:numPr>
        <w:rPr>
          <w:iCs/>
          <w:kern w:val="22"/>
          <w:szCs w:val="22"/>
          <w:lang w:val="fr-CA"/>
        </w:rPr>
      </w:pPr>
      <w:r>
        <w:rPr>
          <w:iCs/>
          <w:kern w:val="22"/>
          <w:szCs w:val="22"/>
          <w:lang w:val="fr-CA"/>
        </w:rPr>
        <w:t>Consommation et production durables</w:t>
      </w:r>
      <w:r w:rsidRPr="00AF7FCF">
        <w:rPr>
          <w:rStyle w:val="FootnoteReference"/>
          <w:iCs/>
          <w:kern w:val="22"/>
          <w:szCs w:val="22"/>
          <w:lang w:val="fr-CA"/>
        </w:rPr>
        <w:footnoteReference w:id="10"/>
      </w:r>
      <w:r>
        <w:rPr>
          <w:iCs/>
          <w:kern w:val="22"/>
          <w:szCs w:val="22"/>
          <w:lang w:val="fr-CA"/>
        </w:rPr>
        <w:t> ;</w:t>
      </w:r>
    </w:p>
    <w:p w14:paraId="36FC1434" w14:textId="7A2E88CE" w:rsidR="00B85058" w:rsidRPr="00AF7FCF" w:rsidRDefault="00B85058" w:rsidP="00F44122">
      <w:pPr>
        <w:pStyle w:val="Para10"/>
        <w:numPr>
          <w:ilvl w:val="0"/>
          <w:numId w:val="12"/>
        </w:numPr>
        <w:rPr>
          <w:iCs/>
          <w:kern w:val="22"/>
          <w:szCs w:val="22"/>
          <w:lang w:val="fr-CA"/>
        </w:rPr>
      </w:pPr>
      <w:r>
        <w:rPr>
          <w:iCs/>
          <w:kern w:val="22"/>
          <w:szCs w:val="22"/>
          <w:lang w:val="fr-CA"/>
        </w:rPr>
        <w:lastRenderedPageBreak/>
        <w:t xml:space="preserve">Les </w:t>
      </w:r>
      <w:r w:rsidR="004D2072">
        <w:rPr>
          <w:iCs/>
          <w:kern w:val="22"/>
          <w:szCs w:val="22"/>
          <w:lang w:val="fr-CA"/>
        </w:rPr>
        <w:t>O</w:t>
      </w:r>
      <w:r>
        <w:rPr>
          <w:iCs/>
          <w:kern w:val="22"/>
          <w:szCs w:val="22"/>
          <w:lang w:val="fr-CA"/>
        </w:rPr>
        <w:t>bjectifs de développement durable</w:t>
      </w:r>
      <w:r w:rsidRPr="00AF7FCF">
        <w:rPr>
          <w:rStyle w:val="FootnoteReference"/>
          <w:iCs/>
          <w:kern w:val="22"/>
          <w:szCs w:val="22"/>
          <w:lang w:val="fr-CA"/>
        </w:rPr>
        <w:footnoteReference w:id="11"/>
      </w:r>
      <w:r>
        <w:rPr>
          <w:iCs/>
          <w:kern w:val="22"/>
          <w:szCs w:val="22"/>
          <w:lang w:val="fr-CA"/>
        </w:rPr>
        <w:t xml:space="preserve"> ; </w:t>
      </w:r>
    </w:p>
    <w:p w14:paraId="7F9FDCD0" w14:textId="77777777" w:rsidR="00B85058" w:rsidRPr="00AF7FCF" w:rsidRDefault="00B85058" w:rsidP="00F44122">
      <w:pPr>
        <w:pStyle w:val="Para10"/>
        <w:numPr>
          <w:ilvl w:val="0"/>
          <w:numId w:val="12"/>
        </w:numPr>
        <w:rPr>
          <w:iCs/>
          <w:kern w:val="22"/>
          <w:szCs w:val="22"/>
          <w:lang w:val="fr-CA"/>
        </w:rPr>
      </w:pPr>
      <w:r>
        <w:rPr>
          <w:iCs/>
          <w:kern w:val="22"/>
          <w:szCs w:val="22"/>
          <w:lang w:val="fr-CA"/>
        </w:rPr>
        <w:t>S’attaquer aux causes de la perte de biodiversité ;</w:t>
      </w:r>
    </w:p>
    <w:p w14:paraId="32E7142B" w14:textId="77777777" w:rsidR="00B85058" w:rsidRPr="00AF7FCF" w:rsidRDefault="00B85058" w:rsidP="00F44122">
      <w:pPr>
        <w:pStyle w:val="Para10"/>
        <w:numPr>
          <w:ilvl w:val="0"/>
          <w:numId w:val="12"/>
        </w:numPr>
        <w:rPr>
          <w:iCs/>
          <w:kern w:val="22"/>
          <w:szCs w:val="22"/>
          <w:lang w:val="fr-CA"/>
        </w:rPr>
      </w:pPr>
      <w:r>
        <w:rPr>
          <w:iCs/>
          <w:kern w:val="22"/>
          <w:szCs w:val="22"/>
          <w:lang w:val="fr-CA"/>
        </w:rPr>
        <w:t>Adaptation efficace aux changements climatiques ;</w:t>
      </w:r>
    </w:p>
    <w:p w14:paraId="65FD9228" w14:textId="77777777" w:rsidR="00B85058" w:rsidRPr="00AF7FCF" w:rsidRDefault="00B85058" w:rsidP="00F44122">
      <w:pPr>
        <w:pStyle w:val="Para10"/>
        <w:numPr>
          <w:ilvl w:val="0"/>
          <w:numId w:val="12"/>
        </w:numPr>
        <w:rPr>
          <w:iCs/>
          <w:kern w:val="22"/>
          <w:szCs w:val="22"/>
          <w:lang w:val="fr-CA"/>
        </w:rPr>
      </w:pPr>
      <w:r>
        <w:rPr>
          <w:iCs/>
          <w:kern w:val="22"/>
          <w:szCs w:val="22"/>
          <w:lang w:val="fr-CA"/>
        </w:rPr>
        <w:t>Simple, facilement communicable, réalisable et mesurable ;</w:t>
      </w:r>
    </w:p>
    <w:p w14:paraId="4BDCEEE2" w14:textId="77777777" w:rsidR="00B85058" w:rsidRPr="00AF7FCF" w:rsidRDefault="00B85058" w:rsidP="00F44122">
      <w:pPr>
        <w:pStyle w:val="Para10"/>
        <w:numPr>
          <w:ilvl w:val="0"/>
          <w:numId w:val="12"/>
        </w:numPr>
        <w:rPr>
          <w:iCs/>
          <w:noProof/>
          <w:kern w:val="22"/>
          <w:szCs w:val="22"/>
          <w:lang w:val="fr-CA"/>
        </w:rPr>
      </w:pPr>
      <w:r>
        <w:rPr>
          <w:iCs/>
          <w:kern w:val="22"/>
          <w:szCs w:val="22"/>
          <w:lang w:val="fr-CA"/>
        </w:rPr>
        <w:t xml:space="preserve">Un modèle </w:t>
      </w:r>
      <w:r>
        <w:rPr>
          <w:iCs/>
          <w:noProof/>
          <w:kern w:val="22"/>
          <w:szCs w:val="22"/>
          <w:lang w:val="fr-CA"/>
        </w:rPr>
        <w:t>Pression</w:t>
      </w:r>
      <w:r>
        <w:rPr>
          <w:iCs/>
          <w:noProof/>
          <w:kern w:val="22"/>
          <w:szCs w:val="22"/>
          <w:lang w:val="fr-CA"/>
        </w:rPr>
        <w:noBreakHyphen/>
        <w:t>État</w:t>
      </w:r>
      <w:r>
        <w:rPr>
          <w:iCs/>
          <w:noProof/>
          <w:kern w:val="22"/>
          <w:szCs w:val="22"/>
          <w:lang w:val="fr-CA"/>
        </w:rPr>
        <w:noBreakHyphen/>
        <w:t>Impact</w:t>
      </w:r>
      <w:r>
        <w:rPr>
          <w:iCs/>
          <w:noProof/>
          <w:kern w:val="22"/>
          <w:szCs w:val="22"/>
          <w:lang w:val="fr-CA"/>
        </w:rPr>
        <w:noBreakHyphen/>
        <w:t>Réponse.</w:t>
      </w:r>
    </w:p>
    <w:p w14:paraId="75C53295" w14:textId="77777777" w:rsidR="00B85058" w:rsidRPr="00454D15" w:rsidRDefault="00B85058" w:rsidP="00F44122">
      <w:pPr>
        <w:pStyle w:val="Heading2"/>
        <w:numPr>
          <w:ilvl w:val="0"/>
          <w:numId w:val="11"/>
        </w:numPr>
        <w:rPr>
          <w:b w:val="0"/>
          <w:iCs w:val="0"/>
          <w:kern w:val="22"/>
          <w:szCs w:val="22"/>
          <w:lang w:val="fr-FR"/>
        </w:rPr>
      </w:pPr>
      <w:r w:rsidRPr="00454D15">
        <w:rPr>
          <w:rFonts w:eastAsia="Times New Roman"/>
          <w:kern w:val="22"/>
          <w:szCs w:val="22"/>
          <w:lang w:val="fr-FR"/>
        </w:rPr>
        <w:t>Objectifs, cibles, sous</w:t>
      </w:r>
      <w:r w:rsidRPr="00454D15">
        <w:rPr>
          <w:rFonts w:eastAsia="Times New Roman"/>
          <w:kern w:val="22"/>
          <w:szCs w:val="22"/>
          <w:lang w:val="fr-FR"/>
        </w:rPr>
        <w:noBreakHyphen/>
        <w:t>cibles, et indicateurs</w:t>
      </w:r>
    </w:p>
    <w:p w14:paraId="29328035" w14:textId="2322FF55" w:rsidR="00B85058" w:rsidRPr="00AF7FCF" w:rsidRDefault="00FA4185" w:rsidP="00FA4185">
      <w:pPr>
        <w:pStyle w:val="Para10"/>
        <w:numPr>
          <w:ilvl w:val="0"/>
          <w:numId w:val="0"/>
        </w:numPr>
        <w:ind w:firstLine="709"/>
        <w:rPr>
          <w:iCs/>
          <w:kern w:val="22"/>
          <w:szCs w:val="22"/>
          <w:lang w:val="fr-CA"/>
        </w:rPr>
      </w:pPr>
      <w:r>
        <w:rPr>
          <w:iCs/>
          <w:kern w:val="22"/>
          <w:szCs w:val="22"/>
          <w:lang w:val="fr-CA"/>
        </w:rPr>
        <w:t>a)</w:t>
      </w:r>
      <w:r>
        <w:rPr>
          <w:iCs/>
          <w:kern w:val="22"/>
          <w:szCs w:val="22"/>
          <w:lang w:val="fr-CA"/>
        </w:rPr>
        <w:tab/>
      </w:r>
      <w:r w:rsidR="00B85058">
        <w:rPr>
          <w:iCs/>
          <w:kern w:val="22"/>
          <w:szCs w:val="22"/>
          <w:lang w:val="fr-CA"/>
        </w:rPr>
        <w:t>Questions éventuelles qui pourraient être reflétées dans les objectifs</w:t>
      </w:r>
      <w:r w:rsidR="00B85058" w:rsidRPr="00AF7FCF">
        <w:rPr>
          <w:rStyle w:val="FootnoteReference"/>
          <w:iCs/>
          <w:kern w:val="22"/>
          <w:szCs w:val="22"/>
          <w:lang w:val="fr-CA"/>
        </w:rPr>
        <w:footnoteReference w:id="12"/>
      </w:r>
      <w:r w:rsidR="003E2172">
        <w:rPr>
          <w:iCs/>
          <w:kern w:val="22"/>
          <w:szCs w:val="22"/>
          <w:vertAlign w:val="superscript"/>
          <w:lang w:val="fr-CA"/>
        </w:rPr>
        <w:t>,</w:t>
      </w:r>
      <w:r w:rsidR="00B85058" w:rsidRPr="00F65063">
        <w:rPr>
          <w:rStyle w:val="FootnoteReference"/>
          <w:iCs/>
          <w:kern w:val="22"/>
          <w:szCs w:val="22"/>
        </w:rPr>
        <w:footnoteReference w:id="13"/>
      </w:r>
      <w:r w:rsidR="00B85058">
        <w:rPr>
          <w:iCs/>
          <w:kern w:val="22"/>
          <w:szCs w:val="22"/>
          <w:lang w:val="fr-CA"/>
        </w:rPr>
        <w:t> :</w:t>
      </w:r>
    </w:p>
    <w:p w14:paraId="116D3152" w14:textId="77777777" w:rsidR="00B85058" w:rsidRPr="00AF7FCF" w:rsidRDefault="00B85058" w:rsidP="00F44122">
      <w:pPr>
        <w:pStyle w:val="Para10"/>
        <w:numPr>
          <w:ilvl w:val="0"/>
          <w:numId w:val="13"/>
        </w:numPr>
        <w:ind w:left="1701" w:firstLine="284"/>
        <w:rPr>
          <w:iCs/>
          <w:kern w:val="22"/>
          <w:szCs w:val="22"/>
          <w:lang w:val="fr-CA"/>
        </w:rPr>
      </w:pPr>
      <w:r>
        <w:rPr>
          <w:iCs/>
          <w:kern w:val="22"/>
          <w:szCs w:val="22"/>
          <w:lang w:val="fr-CA"/>
        </w:rPr>
        <w:t>Trois objectifs de la Convention (conservation, utilisation durable, et accès et partage des avantages) ;</w:t>
      </w:r>
    </w:p>
    <w:p w14:paraId="2509D5E1" w14:textId="77777777" w:rsidR="00B85058" w:rsidRPr="00AF7FCF" w:rsidRDefault="00B85058" w:rsidP="00F44122">
      <w:pPr>
        <w:pStyle w:val="Para10"/>
        <w:numPr>
          <w:ilvl w:val="0"/>
          <w:numId w:val="13"/>
        </w:numPr>
        <w:rPr>
          <w:iCs/>
          <w:kern w:val="22"/>
          <w:szCs w:val="22"/>
          <w:lang w:val="fr-CA"/>
        </w:rPr>
      </w:pPr>
      <w:r>
        <w:rPr>
          <w:iCs/>
          <w:kern w:val="22"/>
          <w:szCs w:val="22"/>
          <w:lang w:val="fr-CA"/>
        </w:rPr>
        <w:t>Les Protocoles ;</w:t>
      </w:r>
    </w:p>
    <w:p w14:paraId="055EF055" w14:textId="77777777" w:rsidR="00B85058" w:rsidRPr="00AF7FCF" w:rsidRDefault="00B85058" w:rsidP="00F44122">
      <w:pPr>
        <w:pStyle w:val="Para10"/>
        <w:numPr>
          <w:ilvl w:val="0"/>
          <w:numId w:val="13"/>
        </w:numPr>
        <w:ind w:left="1701" w:firstLine="284"/>
        <w:rPr>
          <w:iCs/>
          <w:noProof/>
          <w:kern w:val="22"/>
          <w:szCs w:val="22"/>
          <w:lang w:val="fr-CA"/>
        </w:rPr>
      </w:pPr>
      <w:r>
        <w:rPr>
          <w:iCs/>
          <w:kern w:val="22"/>
          <w:szCs w:val="22"/>
          <w:lang w:val="fr-CA"/>
        </w:rPr>
        <w:t xml:space="preserve">Basé sur les éléments de la Vision 2050 (la biodiversité est valorisée, conservée, restaurée, utilisée avec sagesse, et les services </w:t>
      </w:r>
      <w:r>
        <w:rPr>
          <w:iCs/>
          <w:noProof/>
          <w:kern w:val="22"/>
          <w:szCs w:val="22"/>
          <w:lang w:val="fr-CA"/>
        </w:rPr>
        <w:t>écosystémiques sont maintenus)</w:t>
      </w:r>
      <w:r>
        <w:rPr>
          <w:iCs/>
          <w:kern w:val="22"/>
          <w:szCs w:val="22"/>
          <w:lang w:val="fr-CA"/>
        </w:rPr>
        <w:t> ;</w:t>
      </w:r>
    </w:p>
    <w:p w14:paraId="2636AD52" w14:textId="6A0B40D4" w:rsidR="00B85058" w:rsidRPr="00AF7FCF" w:rsidRDefault="00B85058" w:rsidP="00F44122">
      <w:pPr>
        <w:pStyle w:val="Para10"/>
        <w:numPr>
          <w:ilvl w:val="0"/>
          <w:numId w:val="13"/>
        </w:numPr>
        <w:rPr>
          <w:iCs/>
          <w:kern w:val="22"/>
          <w:szCs w:val="22"/>
          <w:lang w:val="fr-CA"/>
        </w:rPr>
      </w:pPr>
      <w:r>
        <w:rPr>
          <w:iCs/>
          <w:noProof/>
          <w:kern w:val="22"/>
          <w:szCs w:val="22"/>
          <w:lang w:val="fr-CA"/>
        </w:rPr>
        <w:t>Cinq causes directes de la perte de biodiversité (changements dans l’utilisation</w:t>
      </w:r>
      <w:r>
        <w:rPr>
          <w:iCs/>
          <w:kern w:val="22"/>
          <w:szCs w:val="22"/>
          <w:lang w:val="fr-CA"/>
        </w:rPr>
        <w:t xml:space="preserve"> des terres et des espaces marins; exploitation directe des organismes; changements climatiques; pollution; et invasion d’espèces envahissantes) indiquées dans</w:t>
      </w:r>
      <w:r w:rsidR="000300E6">
        <w:rPr>
          <w:iCs/>
          <w:kern w:val="22"/>
          <w:szCs w:val="22"/>
          <w:lang w:val="fr-CA"/>
        </w:rPr>
        <w:t xml:space="preserve"> le rapport de</w:t>
      </w:r>
      <w:r>
        <w:rPr>
          <w:iCs/>
          <w:kern w:val="22"/>
          <w:szCs w:val="22"/>
          <w:lang w:val="fr-CA"/>
        </w:rPr>
        <w:t xml:space="preserve"> l’</w:t>
      </w:r>
      <w:r w:rsidR="003E2172">
        <w:rPr>
          <w:iCs/>
          <w:kern w:val="22"/>
          <w:szCs w:val="22"/>
          <w:lang w:val="fr-CA"/>
        </w:rPr>
        <w:t>É</w:t>
      </w:r>
      <w:r>
        <w:rPr>
          <w:iCs/>
          <w:kern w:val="22"/>
          <w:szCs w:val="22"/>
          <w:lang w:val="fr-CA"/>
        </w:rPr>
        <w:t>valuation mondiale</w:t>
      </w:r>
      <w:r w:rsidR="00237286">
        <w:rPr>
          <w:iCs/>
          <w:kern w:val="22"/>
          <w:szCs w:val="22"/>
          <w:lang w:val="fr-CA"/>
        </w:rPr>
        <w:t xml:space="preserve"> sur la biodiversité et les services écosystémiques élaboré par </w:t>
      </w:r>
      <w:r>
        <w:rPr>
          <w:iCs/>
          <w:kern w:val="22"/>
          <w:szCs w:val="22"/>
          <w:lang w:val="fr-CA"/>
        </w:rPr>
        <w:t>l’IPBES</w:t>
      </w:r>
      <w:r w:rsidRPr="00AF7FCF">
        <w:rPr>
          <w:rStyle w:val="FootnoteReference"/>
          <w:snapToGrid/>
          <w:kern w:val="22"/>
          <w:szCs w:val="22"/>
          <w:lang w:val="fr-CA"/>
        </w:rPr>
        <w:footnoteReference w:id="14"/>
      </w:r>
      <w:r>
        <w:rPr>
          <w:iCs/>
          <w:kern w:val="22"/>
          <w:szCs w:val="22"/>
          <w:lang w:val="fr-CA"/>
        </w:rPr>
        <w:t> ;</w:t>
      </w:r>
    </w:p>
    <w:p w14:paraId="1AA3DE5C" w14:textId="6EA0DE8D" w:rsidR="00B85058" w:rsidRPr="00AF7FCF" w:rsidRDefault="00B85058" w:rsidP="00F44122">
      <w:pPr>
        <w:pStyle w:val="Para10"/>
        <w:numPr>
          <w:ilvl w:val="0"/>
          <w:numId w:val="13"/>
        </w:numPr>
        <w:rPr>
          <w:iCs/>
          <w:kern w:val="22"/>
          <w:szCs w:val="22"/>
          <w:lang w:val="fr-CA"/>
        </w:rPr>
      </w:pPr>
      <w:r>
        <w:rPr>
          <w:iCs/>
          <w:kern w:val="22"/>
          <w:szCs w:val="22"/>
          <w:lang w:val="fr-CA"/>
        </w:rPr>
        <w:t xml:space="preserve">Causes indirectes de la perte de biodiversité, y compris celles indiquées </w:t>
      </w:r>
      <w:r w:rsidR="00237286">
        <w:rPr>
          <w:iCs/>
          <w:kern w:val="22"/>
          <w:szCs w:val="22"/>
          <w:lang w:val="fr-CA"/>
        </w:rPr>
        <w:t>dans le rapport de l’</w:t>
      </w:r>
      <w:r w:rsidR="003E2172">
        <w:rPr>
          <w:iCs/>
          <w:kern w:val="22"/>
          <w:szCs w:val="22"/>
          <w:lang w:val="fr-CA"/>
        </w:rPr>
        <w:t>É</w:t>
      </w:r>
      <w:r w:rsidR="00237286">
        <w:rPr>
          <w:iCs/>
          <w:kern w:val="22"/>
          <w:szCs w:val="22"/>
          <w:lang w:val="fr-CA"/>
        </w:rPr>
        <w:t>valuation mondiale sur la biodiversité et les services écosystémiques élaboré par l’IPBES</w:t>
      </w:r>
      <w:r>
        <w:rPr>
          <w:iCs/>
          <w:kern w:val="22"/>
          <w:szCs w:val="22"/>
          <w:lang w:val="fr-CA"/>
        </w:rPr>
        <w:t xml:space="preserve"> (habitudes de production et de consommation, </w:t>
      </w:r>
      <w:r w:rsidR="00237286">
        <w:rPr>
          <w:iCs/>
          <w:kern w:val="22"/>
          <w:szCs w:val="22"/>
          <w:lang w:val="fr-CA"/>
        </w:rPr>
        <w:t xml:space="preserve">dynamique de la </w:t>
      </w:r>
      <w:r>
        <w:rPr>
          <w:iCs/>
          <w:kern w:val="22"/>
          <w:szCs w:val="22"/>
          <w:lang w:val="fr-CA"/>
        </w:rPr>
        <w:t>population humaine</w:t>
      </w:r>
      <w:r w:rsidR="00237286">
        <w:rPr>
          <w:iCs/>
          <w:kern w:val="22"/>
          <w:szCs w:val="22"/>
          <w:lang w:val="fr-CA"/>
        </w:rPr>
        <w:t xml:space="preserve"> </w:t>
      </w:r>
      <w:r>
        <w:rPr>
          <w:iCs/>
          <w:kern w:val="22"/>
          <w:szCs w:val="22"/>
          <w:lang w:val="fr-CA"/>
        </w:rPr>
        <w:t>et tendances, commerce, innovations technologiques, et gouvernance de l’échelle locale à l’échelle mondiale)</w:t>
      </w:r>
      <w:r w:rsidRPr="00AF7FCF">
        <w:rPr>
          <w:rStyle w:val="FootnoteReference"/>
          <w:snapToGrid/>
          <w:kern w:val="22"/>
          <w:szCs w:val="22"/>
          <w:lang w:val="fr-CA"/>
        </w:rPr>
        <w:footnoteReference w:id="15"/>
      </w:r>
      <w:r>
        <w:rPr>
          <w:iCs/>
          <w:kern w:val="22"/>
          <w:szCs w:val="22"/>
          <w:lang w:val="fr-CA"/>
        </w:rPr>
        <w:t> ;</w:t>
      </w:r>
    </w:p>
    <w:p w14:paraId="1B963269" w14:textId="18683AFE" w:rsidR="00B85058" w:rsidRPr="00AF7FCF" w:rsidRDefault="00B85058" w:rsidP="00F44122">
      <w:pPr>
        <w:pStyle w:val="Para10"/>
        <w:numPr>
          <w:ilvl w:val="0"/>
          <w:numId w:val="13"/>
        </w:numPr>
        <w:rPr>
          <w:iCs/>
          <w:kern w:val="22"/>
          <w:szCs w:val="22"/>
          <w:lang w:val="fr-CA"/>
        </w:rPr>
      </w:pPr>
      <w:r>
        <w:rPr>
          <w:iCs/>
          <w:kern w:val="22"/>
          <w:szCs w:val="22"/>
          <w:lang w:val="fr-CA"/>
        </w:rPr>
        <w:t xml:space="preserve">Faciliter/ </w:t>
      </w:r>
      <w:r w:rsidR="00237286">
        <w:rPr>
          <w:iCs/>
          <w:kern w:val="22"/>
          <w:szCs w:val="22"/>
          <w:lang w:val="fr-CA"/>
        </w:rPr>
        <w:t>p</w:t>
      </w:r>
      <w:r>
        <w:rPr>
          <w:iCs/>
          <w:kern w:val="22"/>
          <w:szCs w:val="22"/>
          <w:lang w:val="fr-CA"/>
        </w:rPr>
        <w:t>ermettre la mise en œuvre</w:t>
      </w:r>
      <w:r w:rsidRPr="00AF7FCF">
        <w:rPr>
          <w:rStyle w:val="FootnoteReference"/>
          <w:snapToGrid/>
          <w:kern w:val="22"/>
          <w:szCs w:val="22"/>
          <w:lang w:val="fr-CA"/>
        </w:rPr>
        <w:footnoteReference w:id="16"/>
      </w:r>
      <w:r>
        <w:rPr>
          <w:iCs/>
          <w:kern w:val="22"/>
          <w:szCs w:val="22"/>
          <w:lang w:val="fr-CA"/>
        </w:rPr>
        <w:t> ;</w:t>
      </w:r>
    </w:p>
    <w:p w14:paraId="6C18A874" w14:textId="77777777" w:rsidR="00B85058" w:rsidRPr="00AF7FCF" w:rsidRDefault="00B85058" w:rsidP="00F44122">
      <w:pPr>
        <w:pStyle w:val="Para10"/>
        <w:numPr>
          <w:ilvl w:val="0"/>
          <w:numId w:val="13"/>
        </w:numPr>
        <w:rPr>
          <w:iCs/>
          <w:kern w:val="22"/>
          <w:szCs w:val="22"/>
          <w:lang w:val="fr-CA"/>
        </w:rPr>
      </w:pPr>
      <w:r>
        <w:rPr>
          <w:iCs/>
          <w:kern w:val="22"/>
          <w:szCs w:val="22"/>
          <w:lang w:val="fr-CA"/>
        </w:rPr>
        <w:t xml:space="preserve">Être informé au moyen des conclusions de la cinquième édition des </w:t>
      </w:r>
      <w:r w:rsidRPr="009929A9">
        <w:rPr>
          <w:i/>
          <w:kern w:val="22"/>
          <w:szCs w:val="22"/>
          <w:lang w:val="fr-CA"/>
        </w:rPr>
        <w:t>Perspectives mondiales de la diversité biologique</w:t>
      </w:r>
      <w:r>
        <w:rPr>
          <w:iCs/>
          <w:kern w:val="22"/>
          <w:szCs w:val="22"/>
          <w:lang w:val="fr-CA"/>
        </w:rPr>
        <w:t> ;</w:t>
      </w:r>
    </w:p>
    <w:p w14:paraId="090360D5" w14:textId="77777777" w:rsidR="00B85058" w:rsidRPr="00AF7FCF" w:rsidRDefault="00B85058" w:rsidP="00F44122">
      <w:pPr>
        <w:pStyle w:val="Para10"/>
        <w:numPr>
          <w:ilvl w:val="0"/>
          <w:numId w:val="13"/>
        </w:numPr>
        <w:rPr>
          <w:iCs/>
          <w:kern w:val="22"/>
          <w:szCs w:val="22"/>
          <w:lang w:val="fr-CA"/>
        </w:rPr>
      </w:pPr>
      <w:r>
        <w:rPr>
          <w:iCs/>
          <w:kern w:val="22"/>
          <w:szCs w:val="22"/>
          <w:lang w:val="fr-CA"/>
        </w:rPr>
        <w:t>Mise en œuvre.</w:t>
      </w:r>
    </w:p>
    <w:p w14:paraId="61A67410" w14:textId="77777777" w:rsidR="00B85058" w:rsidRPr="00AF7FCF" w:rsidRDefault="00B85058" w:rsidP="00B940C9">
      <w:pPr>
        <w:pStyle w:val="Para10"/>
        <w:numPr>
          <w:ilvl w:val="0"/>
          <w:numId w:val="0"/>
        </w:numPr>
        <w:rPr>
          <w:iCs/>
          <w:kern w:val="22"/>
          <w:szCs w:val="22"/>
          <w:lang w:val="fr-CA"/>
        </w:rPr>
      </w:pPr>
      <w:r>
        <w:rPr>
          <w:iCs/>
          <w:kern w:val="22"/>
          <w:szCs w:val="22"/>
          <w:lang w:val="fr-CA"/>
        </w:rPr>
        <w:t>Questions éventuelles qui pourraient être reflétées dans les cibles :</w:t>
      </w:r>
    </w:p>
    <w:p w14:paraId="49BF7BDA" w14:textId="77777777" w:rsidR="00B85058" w:rsidRPr="00AF7FCF" w:rsidRDefault="00B85058" w:rsidP="00F44122">
      <w:pPr>
        <w:pStyle w:val="Para10"/>
        <w:numPr>
          <w:ilvl w:val="0"/>
          <w:numId w:val="15"/>
        </w:numPr>
        <w:rPr>
          <w:iCs/>
          <w:kern w:val="22"/>
          <w:szCs w:val="22"/>
          <w:lang w:val="fr-CA"/>
        </w:rPr>
      </w:pPr>
      <w:r>
        <w:rPr>
          <w:iCs/>
          <w:kern w:val="22"/>
          <w:szCs w:val="22"/>
          <w:lang w:val="fr-CA"/>
        </w:rPr>
        <w:t>Thèmes des Objectifs d’Aichi pour la biodiversité comme point de départ, mais éventuellement simplifiés ;</w:t>
      </w:r>
    </w:p>
    <w:p w14:paraId="51FF4591" w14:textId="5A38C5C5" w:rsidR="00B85058" w:rsidRPr="00AF7FCF" w:rsidRDefault="00B85058" w:rsidP="00F44122">
      <w:pPr>
        <w:pStyle w:val="Para10"/>
        <w:numPr>
          <w:ilvl w:val="0"/>
          <w:numId w:val="15"/>
        </w:numPr>
        <w:ind w:left="1985" w:hanging="284"/>
        <w:rPr>
          <w:iCs/>
          <w:kern w:val="22"/>
          <w:szCs w:val="22"/>
          <w:lang w:val="fr-CA"/>
        </w:rPr>
      </w:pPr>
      <w:r>
        <w:rPr>
          <w:iCs/>
          <w:kern w:val="22"/>
          <w:szCs w:val="22"/>
          <w:lang w:val="fr-CA"/>
        </w:rPr>
        <w:lastRenderedPageBreak/>
        <w:t xml:space="preserve">Les cibles devraient être spécifiques, mesurables, réalisables, axées sur les résultats et </w:t>
      </w:r>
      <w:r w:rsidR="00237286">
        <w:rPr>
          <w:iCs/>
          <w:kern w:val="22"/>
          <w:szCs w:val="22"/>
          <w:lang w:val="fr-CA"/>
        </w:rPr>
        <w:t>limitées dans le temps</w:t>
      </w:r>
      <w:r>
        <w:rPr>
          <w:iCs/>
          <w:kern w:val="22"/>
          <w:szCs w:val="22"/>
          <w:lang w:val="fr-CA"/>
        </w:rPr>
        <w:t xml:space="preserve"> (SMART) ;</w:t>
      </w:r>
    </w:p>
    <w:p w14:paraId="491CB0AE" w14:textId="77777777" w:rsidR="00B85058" w:rsidRPr="00AF7FCF" w:rsidRDefault="00B85058" w:rsidP="00F44122">
      <w:pPr>
        <w:pStyle w:val="Para10"/>
        <w:numPr>
          <w:ilvl w:val="0"/>
          <w:numId w:val="15"/>
        </w:numPr>
        <w:ind w:left="1985" w:hanging="284"/>
        <w:rPr>
          <w:iCs/>
          <w:kern w:val="22"/>
          <w:szCs w:val="22"/>
          <w:lang w:val="fr-CA"/>
        </w:rPr>
      </w:pPr>
      <w:r>
        <w:rPr>
          <w:iCs/>
          <w:kern w:val="22"/>
          <w:szCs w:val="22"/>
          <w:lang w:val="fr-CA"/>
        </w:rPr>
        <w:t xml:space="preserve">Uniformes, </w:t>
      </w:r>
      <w:r w:rsidRPr="005E71A8">
        <w:rPr>
          <w:iCs/>
          <w:kern w:val="22"/>
          <w:szCs w:val="22"/>
          <w:lang w:val="fr-CA"/>
        </w:rPr>
        <w:t>cohérentes, compatibles et complémentaires par rapport à d</w:t>
      </w:r>
      <w:r>
        <w:rPr>
          <w:iCs/>
          <w:kern w:val="22"/>
          <w:szCs w:val="22"/>
          <w:lang w:val="fr-CA"/>
        </w:rPr>
        <w:t>’</w:t>
      </w:r>
      <w:r w:rsidRPr="005E71A8">
        <w:rPr>
          <w:iCs/>
          <w:kern w:val="22"/>
          <w:szCs w:val="22"/>
          <w:lang w:val="fr-CA"/>
        </w:rPr>
        <w:t xml:space="preserve">autres </w:t>
      </w:r>
      <w:r w:rsidRPr="005E71A8">
        <w:rPr>
          <w:rStyle w:val="preferred"/>
          <w:lang w:val="fr-CA"/>
        </w:rPr>
        <w:t>accords</w:t>
      </w:r>
      <w:r>
        <w:rPr>
          <w:rStyle w:val="preferred"/>
          <w:lang w:val="fr-CA"/>
        </w:rPr>
        <w:t xml:space="preserve"> et processus</w:t>
      </w:r>
      <w:r w:rsidRPr="005E71A8">
        <w:rPr>
          <w:rStyle w:val="preferred"/>
          <w:lang w:val="fr-CA"/>
        </w:rPr>
        <w:t xml:space="preserve"> multilatéraux relatifs à l</w:t>
      </w:r>
      <w:r>
        <w:rPr>
          <w:rStyle w:val="preferred"/>
          <w:lang w:val="fr-CA"/>
        </w:rPr>
        <w:t>’</w:t>
      </w:r>
      <w:r w:rsidRPr="005E71A8">
        <w:rPr>
          <w:rStyle w:val="preferred"/>
          <w:lang w:val="fr-CA"/>
        </w:rPr>
        <w:t>environnement</w:t>
      </w:r>
      <w:r>
        <w:rPr>
          <w:rStyle w:val="preferred"/>
          <w:lang w:val="fr-CA"/>
        </w:rPr>
        <w:t xml:space="preserve"> pertinents</w:t>
      </w:r>
      <w:r>
        <w:rPr>
          <w:iCs/>
          <w:kern w:val="22"/>
          <w:szCs w:val="22"/>
          <w:lang w:val="fr-CA"/>
        </w:rPr>
        <w:t> ;</w:t>
      </w:r>
    </w:p>
    <w:p w14:paraId="6CB2D75A" w14:textId="77777777" w:rsidR="00B85058" w:rsidRPr="00AF7FCF" w:rsidRDefault="00B85058" w:rsidP="00F44122">
      <w:pPr>
        <w:pStyle w:val="Para10"/>
        <w:numPr>
          <w:ilvl w:val="0"/>
          <w:numId w:val="15"/>
        </w:numPr>
        <w:ind w:left="1985" w:hanging="284"/>
        <w:rPr>
          <w:iCs/>
          <w:kern w:val="22"/>
          <w:szCs w:val="22"/>
          <w:lang w:val="fr-CA"/>
        </w:rPr>
      </w:pPr>
      <w:r>
        <w:rPr>
          <w:iCs/>
          <w:kern w:val="22"/>
          <w:szCs w:val="22"/>
          <w:lang w:val="fr-CA"/>
        </w:rPr>
        <w:t>Ne faisant pas double emploi par rapport à d’autres processus ;</w:t>
      </w:r>
    </w:p>
    <w:p w14:paraId="23FC973A" w14:textId="77777777" w:rsidR="00B85058" w:rsidRPr="00AF7FCF" w:rsidRDefault="00B85058" w:rsidP="00F44122">
      <w:pPr>
        <w:pStyle w:val="Para10"/>
        <w:numPr>
          <w:ilvl w:val="0"/>
          <w:numId w:val="15"/>
        </w:numPr>
        <w:ind w:left="1985" w:hanging="284"/>
        <w:rPr>
          <w:iCs/>
          <w:kern w:val="22"/>
          <w:szCs w:val="22"/>
          <w:lang w:val="fr-CA"/>
        </w:rPr>
      </w:pPr>
      <w:r>
        <w:rPr>
          <w:iCs/>
          <w:kern w:val="22"/>
          <w:szCs w:val="22"/>
          <w:lang w:val="fr-CA"/>
        </w:rPr>
        <w:t xml:space="preserve">Éclairées par la cinquième édition des </w:t>
      </w:r>
      <w:r w:rsidRPr="009B2468">
        <w:rPr>
          <w:i/>
          <w:kern w:val="22"/>
          <w:szCs w:val="22"/>
          <w:lang w:val="fr-CA"/>
        </w:rPr>
        <w:t xml:space="preserve">Perspectives mondiales de la diversité </w:t>
      </w:r>
      <w:r w:rsidRPr="00BB7C8B">
        <w:rPr>
          <w:i/>
          <w:kern w:val="22"/>
          <w:szCs w:val="22"/>
          <w:lang w:val="fr-CA"/>
        </w:rPr>
        <w:t>biologique</w:t>
      </w:r>
      <w:r>
        <w:rPr>
          <w:iCs/>
          <w:kern w:val="22"/>
          <w:szCs w:val="22"/>
          <w:lang w:val="fr-CA"/>
        </w:rPr>
        <w:t> ;</w:t>
      </w:r>
    </w:p>
    <w:p w14:paraId="2C42458B" w14:textId="77777777" w:rsidR="00B85058" w:rsidRPr="00617BDE" w:rsidRDefault="00B85058" w:rsidP="00B940C9">
      <w:pPr>
        <w:pStyle w:val="Para10"/>
        <w:numPr>
          <w:ilvl w:val="0"/>
          <w:numId w:val="0"/>
        </w:numPr>
        <w:rPr>
          <w:iCs/>
          <w:kern w:val="22"/>
          <w:szCs w:val="22"/>
          <w:lang w:val="fr-FR"/>
        </w:rPr>
      </w:pPr>
      <w:r w:rsidRPr="00617BDE">
        <w:rPr>
          <w:iCs/>
          <w:kern w:val="22"/>
          <w:szCs w:val="22"/>
          <w:lang w:val="fr-FR"/>
        </w:rPr>
        <w:t xml:space="preserve">Questions </w:t>
      </w:r>
      <w:r>
        <w:rPr>
          <w:iCs/>
          <w:kern w:val="22"/>
          <w:szCs w:val="22"/>
          <w:lang w:val="fr-FR"/>
        </w:rPr>
        <w:t>éventuelles</w:t>
      </w:r>
      <w:r w:rsidRPr="00617BDE">
        <w:rPr>
          <w:iCs/>
          <w:kern w:val="22"/>
          <w:szCs w:val="22"/>
          <w:lang w:val="fr-FR"/>
        </w:rPr>
        <w:t xml:space="preserve"> </w:t>
      </w:r>
      <w:r>
        <w:rPr>
          <w:iCs/>
          <w:kern w:val="22"/>
          <w:szCs w:val="22"/>
          <w:lang w:val="fr-FR"/>
        </w:rPr>
        <w:t>qui pourraient</w:t>
      </w:r>
      <w:r w:rsidRPr="00617BDE">
        <w:rPr>
          <w:iCs/>
          <w:kern w:val="22"/>
          <w:szCs w:val="22"/>
          <w:lang w:val="fr-FR"/>
        </w:rPr>
        <w:t xml:space="preserve"> être </w:t>
      </w:r>
      <w:r>
        <w:rPr>
          <w:iCs/>
          <w:kern w:val="22"/>
          <w:szCs w:val="22"/>
          <w:lang w:val="fr-FR"/>
        </w:rPr>
        <w:t>reflétées</w:t>
      </w:r>
      <w:r w:rsidRPr="00617BDE">
        <w:rPr>
          <w:iCs/>
          <w:kern w:val="22"/>
          <w:szCs w:val="22"/>
          <w:lang w:val="fr-FR"/>
        </w:rPr>
        <w:t xml:space="preserve"> dans les sous-cibles :</w:t>
      </w:r>
      <w:r>
        <w:rPr>
          <w:rStyle w:val="FootnoteReference"/>
          <w:iCs/>
          <w:kern w:val="22"/>
          <w:szCs w:val="22"/>
        </w:rPr>
        <w:footnoteReference w:id="17"/>
      </w:r>
    </w:p>
    <w:p w14:paraId="0572A530" w14:textId="77777777" w:rsidR="00B85058" w:rsidRPr="00617BDE" w:rsidRDefault="00B85058" w:rsidP="00F44122">
      <w:pPr>
        <w:pStyle w:val="Para10"/>
        <w:numPr>
          <w:ilvl w:val="0"/>
          <w:numId w:val="16"/>
        </w:numPr>
        <w:ind w:left="1985" w:hanging="284"/>
        <w:rPr>
          <w:iCs/>
          <w:kern w:val="22"/>
          <w:szCs w:val="22"/>
          <w:lang w:val="fr-FR"/>
        </w:rPr>
      </w:pPr>
      <w:r w:rsidRPr="00617BDE">
        <w:rPr>
          <w:iCs/>
          <w:kern w:val="22"/>
          <w:szCs w:val="22"/>
          <w:lang w:val="fr-FR"/>
        </w:rPr>
        <w:t>Traiter davantage d'éléments spécifiques des cibles ;</w:t>
      </w:r>
    </w:p>
    <w:p w14:paraId="1A37E50D" w14:textId="77777777" w:rsidR="00B85058" w:rsidRPr="00617BDE" w:rsidRDefault="00B85058" w:rsidP="00B940C9">
      <w:pPr>
        <w:pStyle w:val="Para10"/>
        <w:numPr>
          <w:ilvl w:val="0"/>
          <w:numId w:val="0"/>
        </w:numPr>
        <w:rPr>
          <w:iCs/>
          <w:kern w:val="22"/>
          <w:szCs w:val="22"/>
          <w:lang w:val="fr-FR"/>
        </w:rPr>
      </w:pPr>
      <w:r w:rsidRPr="00617BDE">
        <w:rPr>
          <w:iCs/>
          <w:kern w:val="22"/>
          <w:szCs w:val="22"/>
          <w:lang w:val="fr-FR"/>
        </w:rPr>
        <w:t xml:space="preserve">Questions </w:t>
      </w:r>
      <w:r>
        <w:rPr>
          <w:iCs/>
          <w:kern w:val="22"/>
          <w:szCs w:val="22"/>
          <w:lang w:val="fr-FR"/>
        </w:rPr>
        <w:t>éventuelles qui pourraient</w:t>
      </w:r>
      <w:r w:rsidRPr="00617BDE">
        <w:rPr>
          <w:iCs/>
          <w:kern w:val="22"/>
          <w:szCs w:val="22"/>
          <w:lang w:val="fr-FR"/>
        </w:rPr>
        <w:t xml:space="preserve"> </w:t>
      </w:r>
      <w:r>
        <w:rPr>
          <w:iCs/>
          <w:kern w:val="22"/>
          <w:szCs w:val="22"/>
          <w:lang w:val="fr-FR"/>
        </w:rPr>
        <w:t xml:space="preserve">être reflétées </w:t>
      </w:r>
      <w:r w:rsidRPr="00617BDE">
        <w:rPr>
          <w:iCs/>
          <w:kern w:val="22"/>
          <w:szCs w:val="22"/>
          <w:lang w:val="fr-FR"/>
        </w:rPr>
        <w:t>dans les indicateurs :</w:t>
      </w:r>
    </w:p>
    <w:p w14:paraId="6D5AE98E" w14:textId="77777777" w:rsidR="00B85058" w:rsidRPr="00617BDE" w:rsidRDefault="00B85058" w:rsidP="00F44122">
      <w:pPr>
        <w:pStyle w:val="Para10"/>
        <w:numPr>
          <w:ilvl w:val="0"/>
          <w:numId w:val="17"/>
        </w:numPr>
        <w:ind w:left="1985" w:hanging="284"/>
        <w:rPr>
          <w:iCs/>
          <w:kern w:val="22"/>
          <w:szCs w:val="22"/>
          <w:lang w:val="fr-FR"/>
        </w:rPr>
      </w:pPr>
      <w:r w:rsidRPr="00617BDE">
        <w:rPr>
          <w:rFonts w:eastAsia="Malgun Gothic"/>
          <w:kern w:val="22"/>
          <w:szCs w:val="22"/>
          <w:lang w:val="fr-FR"/>
        </w:rPr>
        <w:t>Utiliser les indicateurs existants recensés par la Conférence des Parties, les indicateurs du programme de développement durable à l'horizon 2030, les indicateurs utilisés dans les évaluations de l'IPBES, les indicateurs recensés par le Partenariat relatif aux indicateurs de biodiversité et par d'autres processus pertinents, comme point de départ du processus de suivi ;</w:t>
      </w:r>
    </w:p>
    <w:p w14:paraId="53BED183" w14:textId="1CDFEBDB" w:rsidR="00B85058" w:rsidRPr="00617BDE" w:rsidRDefault="00B85058" w:rsidP="00F44122">
      <w:pPr>
        <w:pStyle w:val="Para10"/>
        <w:numPr>
          <w:ilvl w:val="0"/>
          <w:numId w:val="17"/>
        </w:numPr>
        <w:ind w:left="1985" w:hanging="284"/>
        <w:rPr>
          <w:iCs/>
          <w:kern w:val="22"/>
          <w:szCs w:val="22"/>
          <w:lang w:val="fr-FR"/>
        </w:rPr>
      </w:pPr>
      <w:r w:rsidRPr="00617BDE">
        <w:rPr>
          <w:rFonts w:eastAsia="Malgun Gothic"/>
          <w:kern w:val="22"/>
          <w:szCs w:val="22"/>
          <w:lang w:val="fr-FR"/>
        </w:rPr>
        <w:t xml:space="preserve">Les indicateurs et bases de références doivent être identifiés en même temps que les cibles du </w:t>
      </w:r>
      <w:r w:rsidR="00B42C73">
        <w:rPr>
          <w:rFonts w:eastAsia="Malgun Gothic"/>
          <w:kern w:val="22"/>
          <w:szCs w:val="22"/>
          <w:lang w:val="fr-FR"/>
        </w:rPr>
        <w:t>c</w:t>
      </w:r>
      <w:r w:rsidRPr="00617BDE">
        <w:rPr>
          <w:rFonts w:eastAsia="Malgun Gothic"/>
          <w:kern w:val="22"/>
          <w:szCs w:val="22"/>
          <w:lang w:val="fr-FR"/>
        </w:rPr>
        <w:t>adre mondial de la biodiversité pour l'après-2020 ;</w:t>
      </w:r>
    </w:p>
    <w:p w14:paraId="5A788234" w14:textId="0FA687CC" w:rsidR="00B85058" w:rsidRPr="00617BDE" w:rsidRDefault="00B85058" w:rsidP="00F44122">
      <w:pPr>
        <w:pStyle w:val="Para10"/>
        <w:numPr>
          <w:ilvl w:val="0"/>
          <w:numId w:val="17"/>
        </w:numPr>
        <w:ind w:left="1985" w:hanging="284"/>
        <w:rPr>
          <w:iCs/>
          <w:kern w:val="22"/>
          <w:szCs w:val="22"/>
          <w:lang w:val="fr-FR"/>
        </w:rPr>
      </w:pPr>
      <w:r w:rsidRPr="00617BDE">
        <w:rPr>
          <w:rFonts w:eastAsia="Malgun Gothic"/>
          <w:kern w:val="22"/>
          <w:szCs w:val="22"/>
          <w:lang w:val="fr-FR"/>
        </w:rPr>
        <w:t xml:space="preserve">Il convient d'adopter des dispositions qui permettront d'examiner les indicateurs et bases de références après l'adoption du </w:t>
      </w:r>
      <w:r w:rsidR="00B42C73">
        <w:rPr>
          <w:rFonts w:eastAsia="Malgun Gothic"/>
          <w:kern w:val="22"/>
          <w:szCs w:val="22"/>
          <w:lang w:val="fr-FR"/>
        </w:rPr>
        <w:t>c</w:t>
      </w:r>
      <w:r w:rsidRPr="00617BDE">
        <w:rPr>
          <w:rFonts w:eastAsia="Malgun Gothic"/>
          <w:kern w:val="22"/>
          <w:szCs w:val="22"/>
          <w:lang w:val="fr-FR"/>
        </w:rPr>
        <w:t>adre mondial de la biodiversité pour l'après-2020 afin d'y intégrer les améliorations nécessaires.</w:t>
      </w:r>
    </w:p>
    <w:p w14:paraId="5C27E925" w14:textId="77777777" w:rsidR="00B85058" w:rsidRPr="00454D15" w:rsidRDefault="00B85058" w:rsidP="00F44122">
      <w:pPr>
        <w:pStyle w:val="Heading2"/>
        <w:numPr>
          <w:ilvl w:val="0"/>
          <w:numId w:val="11"/>
        </w:numPr>
        <w:rPr>
          <w:b w:val="0"/>
          <w:iCs w:val="0"/>
          <w:kern w:val="22"/>
          <w:szCs w:val="22"/>
          <w:lang w:val="fr-FR"/>
        </w:rPr>
      </w:pPr>
      <w:r w:rsidRPr="00454D15">
        <w:rPr>
          <w:rFonts w:eastAsia="Times New Roman"/>
          <w:kern w:val="22"/>
          <w:szCs w:val="22"/>
          <w:lang w:val="fr-FR"/>
        </w:rPr>
        <w:t>Instruments de mise en œuvre et conditions propices</w:t>
      </w:r>
      <w:r w:rsidRPr="00454D15">
        <w:rPr>
          <w:rFonts w:eastAsia="Times New Roman"/>
          <w:vertAlign w:val="superscript"/>
          <w:lang w:val="fr-FR"/>
        </w:rPr>
        <w:footnoteReference w:id="18"/>
      </w:r>
    </w:p>
    <w:p w14:paraId="02280BA2" w14:textId="67D5096B" w:rsidR="00B85058" w:rsidRPr="00113F39" w:rsidRDefault="00454D15" w:rsidP="00454D15">
      <w:pPr>
        <w:pStyle w:val="Para10"/>
        <w:numPr>
          <w:ilvl w:val="0"/>
          <w:numId w:val="0"/>
        </w:numPr>
        <w:ind w:left="687"/>
        <w:rPr>
          <w:iCs/>
          <w:kern w:val="22"/>
          <w:szCs w:val="22"/>
          <w:lang w:val="fr-FR"/>
        </w:rPr>
      </w:pPr>
      <w:r>
        <w:rPr>
          <w:iCs/>
          <w:kern w:val="22"/>
          <w:szCs w:val="22"/>
          <w:lang w:val="fr-FR"/>
        </w:rPr>
        <w:t>a)</w:t>
      </w:r>
      <w:r>
        <w:rPr>
          <w:iCs/>
          <w:kern w:val="22"/>
          <w:szCs w:val="22"/>
          <w:lang w:val="fr-FR"/>
        </w:rPr>
        <w:tab/>
      </w:r>
      <w:r w:rsidR="00B85058" w:rsidRPr="00113F39">
        <w:rPr>
          <w:iCs/>
          <w:kern w:val="22"/>
          <w:szCs w:val="22"/>
          <w:lang w:val="fr-FR"/>
        </w:rPr>
        <w:t>Questions éventuelles à prendre en compte :</w:t>
      </w:r>
    </w:p>
    <w:p w14:paraId="5552FB80" w14:textId="77777777" w:rsidR="00B85058" w:rsidRPr="002E4E7A" w:rsidRDefault="00B85058" w:rsidP="00F44122">
      <w:pPr>
        <w:pStyle w:val="Para10"/>
        <w:numPr>
          <w:ilvl w:val="0"/>
          <w:numId w:val="18"/>
        </w:numPr>
        <w:ind w:left="1985" w:hanging="284"/>
        <w:rPr>
          <w:iCs/>
          <w:kern w:val="22"/>
          <w:szCs w:val="22"/>
        </w:rPr>
      </w:pPr>
      <w:r>
        <w:rPr>
          <w:rFonts w:eastAsia="Malgun Gothic"/>
          <w:kern w:val="22"/>
          <w:szCs w:val="22"/>
        </w:rPr>
        <w:t xml:space="preserve">Mobilisation des </w:t>
      </w:r>
      <w:r w:rsidRPr="00417077">
        <w:rPr>
          <w:rFonts w:eastAsia="Malgun Gothic"/>
          <w:kern w:val="22"/>
          <w:szCs w:val="22"/>
          <w:lang w:val="fr-FR"/>
        </w:rPr>
        <w:t>ressources</w:t>
      </w:r>
      <w:r>
        <w:rPr>
          <w:rFonts w:eastAsia="Malgun Gothic"/>
          <w:kern w:val="22"/>
          <w:szCs w:val="22"/>
        </w:rPr>
        <w:t> ;</w:t>
      </w:r>
    </w:p>
    <w:p w14:paraId="6B873970"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Mise à disposition de ressources financières ;</w:t>
      </w:r>
    </w:p>
    <w:p w14:paraId="3DB369A9" w14:textId="77777777" w:rsidR="00B85058" w:rsidRPr="009D508A" w:rsidRDefault="00B85058" w:rsidP="00F44122">
      <w:pPr>
        <w:pStyle w:val="Para10"/>
        <w:numPr>
          <w:ilvl w:val="0"/>
          <w:numId w:val="18"/>
        </w:numPr>
        <w:ind w:left="1985" w:hanging="284"/>
        <w:rPr>
          <w:iCs/>
          <w:kern w:val="22"/>
          <w:szCs w:val="22"/>
        </w:rPr>
      </w:pPr>
      <w:r w:rsidRPr="009D508A">
        <w:rPr>
          <w:rFonts w:eastAsia="Malgun Gothic"/>
          <w:kern w:val="22"/>
          <w:szCs w:val="22"/>
          <w:lang w:val="fr-FR"/>
        </w:rPr>
        <w:t>Mécanisme</w:t>
      </w:r>
      <w:r w:rsidRPr="009D508A">
        <w:rPr>
          <w:rFonts w:eastAsia="Malgun Gothic"/>
          <w:kern w:val="22"/>
          <w:szCs w:val="22"/>
        </w:rPr>
        <w:t xml:space="preserve"> de </w:t>
      </w:r>
      <w:r w:rsidRPr="009D508A">
        <w:rPr>
          <w:rFonts w:eastAsia="Malgun Gothic"/>
          <w:kern w:val="22"/>
          <w:szCs w:val="22"/>
          <w:lang w:val="fr-FR"/>
        </w:rPr>
        <w:t>financement</w:t>
      </w:r>
      <w:r w:rsidRPr="009D508A">
        <w:rPr>
          <w:rFonts w:eastAsia="Malgun Gothic"/>
          <w:kern w:val="22"/>
          <w:szCs w:val="22"/>
        </w:rPr>
        <w:t> ;</w:t>
      </w:r>
    </w:p>
    <w:p w14:paraId="26E9487F" w14:textId="77777777" w:rsidR="00B85058" w:rsidRPr="002E4E7A" w:rsidRDefault="00B85058" w:rsidP="00F44122">
      <w:pPr>
        <w:pStyle w:val="Para10"/>
        <w:numPr>
          <w:ilvl w:val="0"/>
          <w:numId w:val="18"/>
        </w:numPr>
        <w:ind w:left="1985" w:hanging="284"/>
        <w:rPr>
          <w:iCs/>
          <w:kern w:val="22"/>
          <w:szCs w:val="22"/>
        </w:rPr>
      </w:pPr>
      <w:r w:rsidRPr="009D508A">
        <w:rPr>
          <w:rFonts w:eastAsia="Malgun Gothic"/>
          <w:kern w:val="22"/>
          <w:szCs w:val="22"/>
          <w:lang w:val="fr-FR"/>
        </w:rPr>
        <w:t>Renforcement</w:t>
      </w:r>
      <w:r>
        <w:rPr>
          <w:rFonts w:eastAsia="Malgun Gothic"/>
          <w:kern w:val="22"/>
          <w:szCs w:val="22"/>
        </w:rPr>
        <w:t xml:space="preserve"> des </w:t>
      </w:r>
      <w:r w:rsidRPr="00921B7B">
        <w:rPr>
          <w:rFonts w:eastAsia="Malgun Gothic"/>
          <w:kern w:val="22"/>
          <w:szCs w:val="22"/>
          <w:lang w:val="fr-FR"/>
        </w:rPr>
        <w:t>capacités</w:t>
      </w:r>
      <w:r>
        <w:rPr>
          <w:rFonts w:eastAsia="Malgun Gothic"/>
          <w:kern w:val="22"/>
          <w:szCs w:val="22"/>
        </w:rPr>
        <w:t> ;</w:t>
      </w:r>
    </w:p>
    <w:p w14:paraId="5E8EEA48" w14:textId="77777777" w:rsidR="00B85058" w:rsidRPr="00617BDE" w:rsidRDefault="00B85058" w:rsidP="00F44122">
      <w:pPr>
        <w:pStyle w:val="Para10"/>
        <w:numPr>
          <w:ilvl w:val="0"/>
          <w:numId w:val="18"/>
        </w:numPr>
        <w:ind w:left="1985" w:hanging="284"/>
        <w:rPr>
          <w:iCs/>
          <w:kern w:val="22"/>
          <w:szCs w:val="22"/>
          <w:lang w:val="fr-FR"/>
        </w:rPr>
      </w:pPr>
      <w:r w:rsidRPr="00617BDE">
        <w:rPr>
          <w:iCs/>
          <w:kern w:val="22"/>
          <w:szCs w:val="22"/>
          <w:lang w:val="fr-FR"/>
        </w:rPr>
        <w:t>Connaissances traditionnelles et utilisation coutumière durable ;</w:t>
      </w:r>
    </w:p>
    <w:p w14:paraId="2BBEA433" w14:textId="765D456E" w:rsidR="00B85058" w:rsidRPr="00617BDE" w:rsidRDefault="00B85058" w:rsidP="00F44122">
      <w:pPr>
        <w:pStyle w:val="Para10"/>
        <w:numPr>
          <w:ilvl w:val="0"/>
          <w:numId w:val="18"/>
        </w:numPr>
        <w:ind w:left="1985" w:hanging="284"/>
        <w:rPr>
          <w:iCs/>
          <w:kern w:val="22"/>
          <w:szCs w:val="22"/>
          <w:lang w:val="fr-FR"/>
        </w:rPr>
      </w:pPr>
      <w:r w:rsidRPr="00617BDE">
        <w:rPr>
          <w:kern w:val="22"/>
          <w:szCs w:val="22"/>
          <w:lang w:val="fr-FR"/>
        </w:rPr>
        <w:t xml:space="preserve">Science et données provenant des systèmes de connaissances de données pertinents, y compris les sciences sociales et naturelles ainsi que les enseignements tirés de la mise en œuvre jusqu'à ce jour de la Convention et de ses </w:t>
      </w:r>
      <w:r w:rsidR="00B42C73">
        <w:rPr>
          <w:kern w:val="22"/>
          <w:szCs w:val="22"/>
          <w:lang w:val="fr-FR"/>
        </w:rPr>
        <w:t>p</w:t>
      </w:r>
      <w:r w:rsidRPr="00617BDE">
        <w:rPr>
          <w:kern w:val="22"/>
          <w:szCs w:val="22"/>
          <w:lang w:val="fr-FR"/>
        </w:rPr>
        <w:t>rotocoles ;</w:t>
      </w:r>
    </w:p>
    <w:p w14:paraId="4BADFC69"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Coopération technique et scientifique et transfert de technologies ;</w:t>
      </w:r>
    </w:p>
    <w:p w14:paraId="6CB937B6"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Production, gestion des connaissances et mise en commun de l'information ;</w:t>
      </w:r>
    </w:p>
    <w:p w14:paraId="189B2CB8" w14:textId="77777777" w:rsidR="00B85058" w:rsidRPr="002E4E7A" w:rsidRDefault="00B85058" w:rsidP="00F44122">
      <w:pPr>
        <w:pStyle w:val="Para10"/>
        <w:numPr>
          <w:ilvl w:val="0"/>
          <w:numId w:val="18"/>
        </w:numPr>
        <w:ind w:left="1985" w:hanging="284"/>
        <w:rPr>
          <w:iCs/>
          <w:kern w:val="22"/>
          <w:szCs w:val="22"/>
        </w:rPr>
      </w:pPr>
      <w:r>
        <w:rPr>
          <w:rFonts w:eastAsia="Malgun Gothic"/>
          <w:kern w:val="22"/>
          <w:szCs w:val="22"/>
        </w:rPr>
        <w:t xml:space="preserve">Communication et </w:t>
      </w:r>
      <w:r w:rsidRPr="00921B7B">
        <w:rPr>
          <w:rFonts w:eastAsia="Malgun Gothic"/>
          <w:kern w:val="22"/>
          <w:szCs w:val="22"/>
          <w:lang w:val="fr-FR"/>
        </w:rPr>
        <w:t>sensibilisation</w:t>
      </w:r>
      <w:r>
        <w:rPr>
          <w:rFonts w:eastAsia="Malgun Gothic"/>
          <w:kern w:val="22"/>
          <w:szCs w:val="22"/>
        </w:rPr>
        <w:t> ;</w:t>
      </w:r>
    </w:p>
    <w:p w14:paraId="140F3C07"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 xml:space="preserve">Favoriser des synergies avec d'autres accords et processus environnementaux multilatéraux pertinents ; </w:t>
      </w:r>
    </w:p>
    <w:p w14:paraId="277EA053"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lastRenderedPageBreak/>
        <w:t>Encourager une plus grande participation des peuples autochtones et communautés locales, des femmes, de la jeunesse, de la société civile, des autorités locales et infranationales, du secteur privé, des milieux universitaires et des établissements scientifiques dans la mise en œuvre ;</w:t>
      </w:r>
    </w:p>
    <w:p w14:paraId="3FD96A71" w14:textId="77777777" w:rsidR="00B85058" w:rsidRPr="00617BDE" w:rsidRDefault="00B85058" w:rsidP="00F44122">
      <w:pPr>
        <w:pStyle w:val="Para10"/>
        <w:numPr>
          <w:ilvl w:val="0"/>
          <w:numId w:val="18"/>
        </w:numPr>
        <w:ind w:left="1985" w:hanging="284"/>
        <w:rPr>
          <w:iCs/>
          <w:kern w:val="22"/>
          <w:szCs w:val="22"/>
          <w:lang w:val="fr-FR"/>
        </w:rPr>
      </w:pPr>
      <w:r w:rsidRPr="00617BDE">
        <w:rPr>
          <w:iCs/>
          <w:kern w:val="22"/>
          <w:szCs w:val="22"/>
          <w:lang w:val="fr-FR"/>
        </w:rPr>
        <w:t>Mesures fondées sur la science et standardisées, comptabilité du capital naturel</w:t>
      </w:r>
      <w:r>
        <w:rPr>
          <w:rStyle w:val="FootnoteReference"/>
          <w:iCs/>
          <w:kern w:val="22"/>
          <w:szCs w:val="22"/>
        </w:rPr>
        <w:footnoteReference w:id="19"/>
      </w:r>
      <w:r w:rsidRPr="00617BDE">
        <w:rPr>
          <w:iCs/>
          <w:kern w:val="22"/>
          <w:szCs w:val="22"/>
          <w:lang w:val="fr-FR"/>
        </w:rPr>
        <w:t xml:space="preserve"> et approches holistiques d'évaluation ;</w:t>
      </w:r>
    </w:p>
    <w:p w14:paraId="12D5462C"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Renforcement de la gouvernance environnementale et des processus politiques</w:t>
      </w:r>
      <w:r>
        <w:rPr>
          <w:rStyle w:val="FootnoteReference"/>
          <w:rFonts w:eastAsia="Malgun Gothic"/>
          <w:kern w:val="22"/>
          <w:szCs w:val="22"/>
        </w:rPr>
        <w:footnoteReference w:id="20"/>
      </w:r>
      <w:r w:rsidRPr="00617BDE">
        <w:rPr>
          <w:rFonts w:eastAsia="Malgun Gothic"/>
          <w:kern w:val="22"/>
          <w:szCs w:val="22"/>
          <w:lang w:val="fr-FR"/>
        </w:rPr>
        <w:t> ;</w:t>
      </w:r>
    </w:p>
    <w:p w14:paraId="1AF1C6A6"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Gestion basée sur les écosystèmes ;</w:t>
      </w:r>
    </w:p>
    <w:p w14:paraId="485E9EC7"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Stratégies et plans d’action nationaux pour la diversité biologique ;</w:t>
      </w:r>
    </w:p>
    <w:p w14:paraId="70FE1547" w14:textId="77777777" w:rsidR="00B85058" w:rsidRPr="00617BDE" w:rsidRDefault="00B85058" w:rsidP="00F44122">
      <w:pPr>
        <w:pStyle w:val="Para10"/>
        <w:numPr>
          <w:ilvl w:val="0"/>
          <w:numId w:val="18"/>
        </w:numPr>
        <w:ind w:left="1985" w:hanging="284"/>
        <w:rPr>
          <w:iCs/>
          <w:kern w:val="22"/>
          <w:szCs w:val="22"/>
          <w:lang w:val="fr-FR"/>
        </w:rPr>
      </w:pPr>
      <w:r w:rsidRPr="00617BDE">
        <w:rPr>
          <w:rFonts w:eastAsia="Malgun Gothic"/>
          <w:kern w:val="22"/>
          <w:szCs w:val="22"/>
          <w:lang w:val="fr-FR"/>
        </w:rPr>
        <w:t xml:space="preserve">Leviers de changement </w:t>
      </w:r>
      <w:r>
        <w:rPr>
          <w:rFonts w:eastAsia="Malgun Gothic"/>
          <w:kern w:val="22"/>
          <w:szCs w:val="22"/>
          <w:lang w:val="fr-FR"/>
        </w:rPr>
        <w:t xml:space="preserve">transformateur </w:t>
      </w:r>
      <w:r w:rsidRPr="00617BDE">
        <w:rPr>
          <w:rFonts w:eastAsia="Malgun Gothic"/>
          <w:kern w:val="22"/>
          <w:szCs w:val="22"/>
          <w:lang w:val="fr-FR"/>
        </w:rPr>
        <w:t>dans le champ d'application de la Convention.</w:t>
      </w:r>
    </w:p>
    <w:p w14:paraId="5E832E97" w14:textId="77777777" w:rsidR="00B85058" w:rsidRPr="00617BDE" w:rsidRDefault="00B85058" w:rsidP="00B85058">
      <w:pPr>
        <w:pStyle w:val="Para10"/>
        <w:numPr>
          <w:ilvl w:val="0"/>
          <w:numId w:val="0"/>
        </w:numPr>
        <w:ind w:left="1843"/>
        <w:rPr>
          <w:iCs/>
          <w:kern w:val="22"/>
          <w:szCs w:val="22"/>
          <w:lang w:val="fr-FR"/>
        </w:rPr>
      </w:pPr>
    </w:p>
    <w:p w14:paraId="699F42FA" w14:textId="51CCB4C7" w:rsidR="00B85058" w:rsidRPr="000B221D" w:rsidRDefault="00B85058" w:rsidP="00F44122">
      <w:pPr>
        <w:pStyle w:val="Heading2"/>
        <w:numPr>
          <w:ilvl w:val="0"/>
          <w:numId w:val="11"/>
        </w:numPr>
        <w:rPr>
          <w:rFonts w:eastAsia="Times New Roman"/>
          <w:kern w:val="22"/>
          <w:szCs w:val="22"/>
          <w:lang w:val="fr-FR"/>
        </w:rPr>
      </w:pPr>
      <w:r w:rsidRPr="000B221D">
        <w:rPr>
          <w:rFonts w:eastAsia="Times New Roman"/>
          <w:kern w:val="22"/>
          <w:szCs w:val="22"/>
          <w:lang w:val="fr-FR"/>
        </w:rPr>
        <w:t>Questions et approches pluridisciplinaires</w:t>
      </w:r>
      <w:r w:rsidRPr="000B221D">
        <w:rPr>
          <w:rFonts w:eastAsia="Times New Roman"/>
          <w:vertAlign w:val="superscript"/>
          <w:lang w:val="fr-FR"/>
        </w:rPr>
        <w:footnoteReference w:id="21"/>
      </w:r>
      <w:r w:rsidR="000B221D" w:rsidRPr="000B221D">
        <w:rPr>
          <w:rFonts w:eastAsia="Times New Roman"/>
          <w:kern w:val="22"/>
          <w:szCs w:val="22"/>
          <w:vertAlign w:val="superscript"/>
          <w:lang w:val="fr-FR"/>
        </w:rPr>
        <w:t>,</w:t>
      </w:r>
      <w:r w:rsidRPr="000B221D">
        <w:rPr>
          <w:rFonts w:eastAsia="Times New Roman"/>
          <w:vertAlign w:val="superscript"/>
          <w:lang w:val="fr-FR"/>
        </w:rPr>
        <w:footnoteReference w:id="22"/>
      </w:r>
    </w:p>
    <w:p w14:paraId="1DD94EC8" w14:textId="349E56C6" w:rsidR="00B85058" w:rsidRPr="00617BDE" w:rsidRDefault="00291152" w:rsidP="00291152">
      <w:pPr>
        <w:pStyle w:val="Para10"/>
        <w:numPr>
          <w:ilvl w:val="0"/>
          <w:numId w:val="0"/>
        </w:numPr>
        <w:ind w:left="709"/>
        <w:rPr>
          <w:iCs/>
          <w:kern w:val="22"/>
          <w:szCs w:val="22"/>
          <w:lang w:val="fr-FR"/>
        </w:rPr>
      </w:pPr>
      <w:r>
        <w:rPr>
          <w:iCs/>
          <w:kern w:val="22"/>
          <w:szCs w:val="22"/>
          <w:lang w:val="fr-FR"/>
        </w:rPr>
        <w:t>a)</w:t>
      </w:r>
      <w:r>
        <w:rPr>
          <w:iCs/>
          <w:kern w:val="22"/>
          <w:szCs w:val="22"/>
          <w:lang w:val="fr-FR"/>
        </w:rPr>
        <w:tab/>
      </w:r>
      <w:r w:rsidR="00B85058" w:rsidRPr="00617BDE">
        <w:rPr>
          <w:iCs/>
          <w:kern w:val="22"/>
          <w:szCs w:val="22"/>
          <w:lang w:val="fr-FR"/>
        </w:rPr>
        <w:t xml:space="preserve">Questions </w:t>
      </w:r>
      <w:r w:rsidR="00B85058">
        <w:rPr>
          <w:iCs/>
          <w:kern w:val="22"/>
          <w:szCs w:val="22"/>
          <w:lang w:val="fr-FR"/>
        </w:rPr>
        <w:t>éventuelles</w:t>
      </w:r>
      <w:r w:rsidR="00B85058" w:rsidRPr="00617BDE">
        <w:rPr>
          <w:iCs/>
          <w:kern w:val="22"/>
          <w:szCs w:val="22"/>
          <w:lang w:val="fr-FR"/>
        </w:rPr>
        <w:t xml:space="preserve"> à prendre en compte :</w:t>
      </w:r>
    </w:p>
    <w:p w14:paraId="34B01FF4" w14:textId="77777777" w:rsidR="00B85058" w:rsidRPr="00617BDE" w:rsidRDefault="00B85058" w:rsidP="00F44122">
      <w:pPr>
        <w:pStyle w:val="Para10"/>
        <w:numPr>
          <w:ilvl w:val="0"/>
          <w:numId w:val="19"/>
        </w:numPr>
        <w:ind w:left="1985" w:hanging="284"/>
        <w:rPr>
          <w:iCs/>
          <w:kern w:val="22"/>
          <w:szCs w:val="22"/>
          <w:lang w:val="fr-FR"/>
        </w:rPr>
      </w:pPr>
      <w:r w:rsidRPr="00617BDE">
        <w:rPr>
          <w:rFonts w:eastAsia="Malgun Gothic"/>
          <w:kern w:val="22"/>
          <w:szCs w:val="22"/>
          <w:lang w:val="fr-FR"/>
        </w:rPr>
        <w:t>Intégration, en particulier pour les questions relatives à l'agriculture, la sylviculture, la pêche, l'aquaculture, le tourisme, l'énergie et le secteur minier, les infrastructures, la fabrication et autres secteurs de transformation, et pouvant traiter à la fois les pressions directes et indirectes exercées sur la biodiversité ;</w:t>
      </w:r>
    </w:p>
    <w:p w14:paraId="63C6B08D" w14:textId="77777777" w:rsidR="00B85058" w:rsidRPr="00617BDE" w:rsidRDefault="00B85058" w:rsidP="00F44122">
      <w:pPr>
        <w:pStyle w:val="Para10"/>
        <w:numPr>
          <w:ilvl w:val="0"/>
          <w:numId w:val="19"/>
        </w:numPr>
        <w:ind w:left="1985" w:hanging="284"/>
        <w:rPr>
          <w:iCs/>
          <w:kern w:val="22"/>
          <w:szCs w:val="22"/>
          <w:lang w:val="fr-FR"/>
        </w:rPr>
      </w:pPr>
      <w:r w:rsidRPr="00617BDE">
        <w:rPr>
          <w:iCs/>
          <w:kern w:val="22"/>
          <w:szCs w:val="22"/>
          <w:lang w:val="fr-FR"/>
        </w:rPr>
        <w:t>Égalité des sexes, autonomisation des femmes et approches qui favorisent l'égalité des sexes ;</w:t>
      </w:r>
    </w:p>
    <w:p w14:paraId="586FF40D" w14:textId="77777777" w:rsidR="00B85058" w:rsidRPr="00617BDE" w:rsidRDefault="00B85058" w:rsidP="00F44122">
      <w:pPr>
        <w:pStyle w:val="Para10"/>
        <w:numPr>
          <w:ilvl w:val="0"/>
          <w:numId w:val="19"/>
        </w:numPr>
        <w:ind w:left="1985" w:hanging="284"/>
        <w:rPr>
          <w:iCs/>
          <w:kern w:val="22"/>
          <w:szCs w:val="22"/>
          <w:lang w:val="fr-FR"/>
        </w:rPr>
      </w:pPr>
      <w:r w:rsidRPr="00617BDE">
        <w:rPr>
          <w:rFonts w:eastAsia="Malgun Gothic"/>
          <w:kern w:val="22"/>
          <w:szCs w:val="22"/>
          <w:lang w:val="fr-FR"/>
        </w:rPr>
        <w:t>Peuples autochtones et communautés locales ;</w:t>
      </w:r>
    </w:p>
    <w:p w14:paraId="59F286F7" w14:textId="77777777" w:rsidR="00B85058" w:rsidRPr="00617BDE" w:rsidRDefault="00B85058" w:rsidP="00F44122">
      <w:pPr>
        <w:pStyle w:val="Para10"/>
        <w:numPr>
          <w:ilvl w:val="0"/>
          <w:numId w:val="19"/>
        </w:numPr>
        <w:ind w:left="1985" w:hanging="284"/>
        <w:rPr>
          <w:iCs/>
          <w:kern w:val="22"/>
          <w:szCs w:val="22"/>
          <w:lang w:val="fr-FR"/>
        </w:rPr>
      </w:pPr>
      <w:r w:rsidRPr="00617BDE">
        <w:rPr>
          <w:rFonts w:eastAsia="Malgun Gothic"/>
          <w:kern w:val="22"/>
          <w:szCs w:val="22"/>
          <w:lang w:val="fr-FR"/>
        </w:rPr>
        <w:t>Approches fondées sur les droits ;</w:t>
      </w:r>
    </w:p>
    <w:p w14:paraId="48308F51" w14:textId="77777777" w:rsidR="00B85058" w:rsidRPr="002E4E7A" w:rsidRDefault="00B85058" w:rsidP="00F44122">
      <w:pPr>
        <w:pStyle w:val="Para10"/>
        <w:numPr>
          <w:ilvl w:val="0"/>
          <w:numId w:val="19"/>
        </w:numPr>
        <w:ind w:left="1985" w:hanging="284"/>
        <w:rPr>
          <w:iCs/>
          <w:kern w:val="22"/>
          <w:szCs w:val="22"/>
        </w:rPr>
      </w:pPr>
      <w:r w:rsidRPr="00567E48">
        <w:rPr>
          <w:rFonts w:eastAsia="Malgun Gothic"/>
          <w:kern w:val="22"/>
          <w:szCs w:val="22"/>
          <w:lang w:val="fr-FR"/>
        </w:rPr>
        <w:t>Partenariats</w:t>
      </w:r>
      <w:r>
        <w:rPr>
          <w:rFonts w:eastAsia="Malgun Gothic"/>
          <w:kern w:val="22"/>
          <w:szCs w:val="22"/>
        </w:rPr>
        <w:t> ;</w:t>
      </w:r>
    </w:p>
    <w:p w14:paraId="09F6EB40" w14:textId="77777777" w:rsidR="00B85058" w:rsidRPr="002E4E7A" w:rsidRDefault="00B85058" w:rsidP="00F44122">
      <w:pPr>
        <w:pStyle w:val="Para10"/>
        <w:numPr>
          <w:ilvl w:val="0"/>
          <w:numId w:val="19"/>
        </w:numPr>
        <w:ind w:left="1985" w:hanging="284"/>
        <w:rPr>
          <w:iCs/>
          <w:kern w:val="22"/>
          <w:szCs w:val="22"/>
        </w:rPr>
      </w:pPr>
      <w:r w:rsidRPr="00567E48">
        <w:rPr>
          <w:rFonts w:eastAsia="Malgun Gothic"/>
          <w:kern w:val="22"/>
          <w:szCs w:val="22"/>
          <w:lang w:val="fr-FR"/>
        </w:rPr>
        <w:t>Équité</w:t>
      </w:r>
      <w:r>
        <w:rPr>
          <w:rFonts w:eastAsia="Malgun Gothic"/>
          <w:kern w:val="22"/>
          <w:szCs w:val="22"/>
        </w:rPr>
        <w:t xml:space="preserve"> </w:t>
      </w:r>
      <w:r w:rsidRPr="00567E48">
        <w:rPr>
          <w:rFonts w:eastAsia="Malgun Gothic"/>
          <w:kern w:val="22"/>
          <w:szCs w:val="22"/>
          <w:lang w:val="fr-FR"/>
        </w:rPr>
        <w:t>intergénérationnelle</w:t>
      </w:r>
      <w:r>
        <w:rPr>
          <w:rFonts w:eastAsia="Malgun Gothic"/>
          <w:kern w:val="22"/>
          <w:szCs w:val="22"/>
        </w:rPr>
        <w:t> ;</w:t>
      </w:r>
    </w:p>
    <w:p w14:paraId="60AB9B0A" w14:textId="77777777" w:rsidR="00B85058" w:rsidRPr="002E4E7A" w:rsidRDefault="00B85058" w:rsidP="00F44122">
      <w:pPr>
        <w:pStyle w:val="Para10"/>
        <w:numPr>
          <w:ilvl w:val="0"/>
          <w:numId w:val="19"/>
        </w:numPr>
        <w:ind w:left="1985" w:hanging="284"/>
        <w:rPr>
          <w:iCs/>
          <w:kern w:val="22"/>
          <w:szCs w:val="22"/>
        </w:rPr>
      </w:pPr>
      <w:r w:rsidRPr="00567E48">
        <w:rPr>
          <w:rFonts w:eastAsia="Malgun Gothic"/>
          <w:kern w:val="22"/>
          <w:szCs w:val="22"/>
          <w:lang w:val="fr-FR"/>
        </w:rPr>
        <w:t>Connectivité</w:t>
      </w:r>
      <w:r>
        <w:rPr>
          <w:rFonts w:eastAsia="Malgun Gothic"/>
          <w:kern w:val="22"/>
          <w:szCs w:val="22"/>
        </w:rPr>
        <w:t>.</w:t>
      </w:r>
    </w:p>
    <w:p w14:paraId="3267AF97" w14:textId="77777777" w:rsidR="00B85058" w:rsidRPr="006920E1" w:rsidRDefault="00B85058" w:rsidP="00F44122">
      <w:pPr>
        <w:pStyle w:val="Heading2"/>
        <w:numPr>
          <w:ilvl w:val="0"/>
          <w:numId w:val="11"/>
        </w:numPr>
        <w:rPr>
          <w:rFonts w:eastAsia="Times New Roman"/>
          <w:kern w:val="22"/>
          <w:szCs w:val="22"/>
          <w:lang w:val="fr-FR"/>
        </w:rPr>
      </w:pPr>
      <w:r w:rsidRPr="006920E1">
        <w:rPr>
          <w:rFonts w:eastAsia="Times New Roman"/>
          <w:kern w:val="22"/>
          <w:szCs w:val="22"/>
          <w:lang w:val="fr-FR"/>
        </w:rPr>
        <w:t>Transparence du mécanisme de mise en œuvre, de suivi et d'établissement des rapports</w:t>
      </w:r>
      <w:r w:rsidRPr="006920E1">
        <w:rPr>
          <w:rFonts w:eastAsia="Times New Roman"/>
          <w:vertAlign w:val="superscript"/>
          <w:lang w:val="fr-FR"/>
        </w:rPr>
        <w:footnoteReference w:id="23"/>
      </w:r>
    </w:p>
    <w:p w14:paraId="4EC80F58" w14:textId="3CF53A5E" w:rsidR="00B85058" w:rsidRPr="00617BDE" w:rsidRDefault="006920E1" w:rsidP="006920E1">
      <w:pPr>
        <w:pStyle w:val="Para10"/>
        <w:numPr>
          <w:ilvl w:val="0"/>
          <w:numId w:val="0"/>
        </w:numPr>
        <w:ind w:left="709"/>
        <w:rPr>
          <w:iCs/>
          <w:kern w:val="22"/>
          <w:szCs w:val="22"/>
          <w:lang w:val="fr-FR"/>
        </w:rPr>
      </w:pPr>
      <w:r>
        <w:rPr>
          <w:iCs/>
          <w:kern w:val="22"/>
          <w:szCs w:val="22"/>
          <w:lang w:val="fr-FR"/>
        </w:rPr>
        <w:t>a)</w:t>
      </w:r>
      <w:r>
        <w:rPr>
          <w:iCs/>
          <w:kern w:val="22"/>
          <w:szCs w:val="22"/>
          <w:lang w:val="fr-FR"/>
        </w:rPr>
        <w:tab/>
      </w:r>
      <w:r w:rsidR="00B85058" w:rsidRPr="00617BDE">
        <w:rPr>
          <w:iCs/>
          <w:kern w:val="22"/>
          <w:szCs w:val="22"/>
          <w:lang w:val="fr-FR"/>
        </w:rPr>
        <w:t xml:space="preserve">Questions </w:t>
      </w:r>
      <w:r w:rsidR="00B85058">
        <w:rPr>
          <w:iCs/>
          <w:kern w:val="22"/>
          <w:szCs w:val="22"/>
          <w:lang w:val="fr-FR"/>
        </w:rPr>
        <w:t>éventuelles</w:t>
      </w:r>
      <w:r w:rsidR="00B85058" w:rsidRPr="00617BDE">
        <w:rPr>
          <w:iCs/>
          <w:kern w:val="22"/>
          <w:szCs w:val="22"/>
          <w:lang w:val="fr-FR"/>
        </w:rPr>
        <w:t xml:space="preserve"> à prendre en compte :</w:t>
      </w:r>
    </w:p>
    <w:p w14:paraId="6C01747D" w14:textId="2DCF4009" w:rsidR="00B85058" w:rsidRPr="00617BDE" w:rsidRDefault="00B85058" w:rsidP="00F44122">
      <w:pPr>
        <w:pStyle w:val="Para10"/>
        <w:numPr>
          <w:ilvl w:val="0"/>
          <w:numId w:val="20"/>
        </w:numPr>
        <w:ind w:left="1985" w:hanging="284"/>
        <w:rPr>
          <w:iCs/>
          <w:kern w:val="22"/>
          <w:szCs w:val="22"/>
          <w:lang w:val="fr-FR"/>
        </w:rPr>
      </w:pPr>
      <w:r w:rsidRPr="00617BDE">
        <w:rPr>
          <w:rFonts w:eastAsia="Malgun Gothic"/>
          <w:kern w:val="22"/>
          <w:szCs w:val="22"/>
          <w:lang w:val="fr-FR"/>
        </w:rPr>
        <w:t xml:space="preserve">Conserver et renforcer les </w:t>
      </w:r>
      <w:r w:rsidR="000936F2">
        <w:rPr>
          <w:rFonts w:eastAsia="Malgun Gothic"/>
          <w:kern w:val="22"/>
          <w:szCs w:val="22"/>
          <w:lang w:val="fr-FR"/>
        </w:rPr>
        <w:t>stratégies et plans d’action nationaux pour la diversité biologique</w:t>
      </w:r>
      <w:r w:rsidRPr="00617BDE">
        <w:rPr>
          <w:rFonts w:eastAsia="Malgun Gothic"/>
          <w:kern w:val="22"/>
          <w:szCs w:val="22"/>
          <w:lang w:val="fr-FR"/>
        </w:rPr>
        <w:t xml:space="preserve"> en tant que principal instrument de mise en œuvre de la Convention à l'échelle nationale ;</w:t>
      </w:r>
    </w:p>
    <w:p w14:paraId="0EDED13B" w14:textId="77777777" w:rsidR="00B85058" w:rsidRPr="00617BDE" w:rsidRDefault="00B85058" w:rsidP="00F44122">
      <w:pPr>
        <w:pStyle w:val="Para10"/>
        <w:numPr>
          <w:ilvl w:val="0"/>
          <w:numId w:val="20"/>
        </w:numPr>
        <w:ind w:left="1985" w:hanging="284"/>
        <w:rPr>
          <w:iCs/>
          <w:kern w:val="22"/>
          <w:szCs w:val="22"/>
          <w:lang w:val="fr-FR"/>
        </w:rPr>
      </w:pPr>
      <w:r w:rsidRPr="00617BDE">
        <w:rPr>
          <w:rFonts w:eastAsia="Malgun Gothic"/>
          <w:kern w:val="22"/>
          <w:szCs w:val="22"/>
          <w:lang w:val="fr-FR"/>
        </w:rPr>
        <w:t>Améliorer les orientations concernant les stratégies et plans d’action nationaux pour la diversité biologique ;</w:t>
      </w:r>
    </w:p>
    <w:p w14:paraId="150D749E" w14:textId="77777777" w:rsidR="00B85058" w:rsidRPr="00617BDE" w:rsidRDefault="00B85058" w:rsidP="00F44122">
      <w:pPr>
        <w:pStyle w:val="Para10"/>
        <w:numPr>
          <w:ilvl w:val="0"/>
          <w:numId w:val="20"/>
        </w:numPr>
        <w:ind w:left="1985" w:hanging="284"/>
        <w:rPr>
          <w:iCs/>
          <w:kern w:val="22"/>
          <w:szCs w:val="22"/>
          <w:lang w:val="fr-FR"/>
        </w:rPr>
      </w:pPr>
      <w:r w:rsidRPr="00617BDE">
        <w:rPr>
          <w:rFonts w:eastAsia="Malgun Gothic"/>
          <w:kern w:val="22"/>
          <w:szCs w:val="22"/>
          <w:lang w:val="fr-FR"/>
        </w:rPr>
        <w:lastRenderedPageBreak/>
        <w:t>S'appuyer sur les rapports nationaux tout en les renforçant ;</w:t>
      </w:r>
    </w:p>
    <w:p w14:paraId="403F7D02" w14:textId="77777777" w:rsidR="00B85058" w:rsidRPr="00617BDE" w:rsidRDefault="00B85058" w:rsidP="00F44122">
      <w:pPr>
        <w:pStyle w:val="Para10"/>
        <w:numPr>
          <w:ilvl w:val="0"/>
          <w:numId w:val="20"/>
        </w:numPr>
        <w:ind w:left="1985" w:hanging="284"/>
        <w:rPr>
          <w:iCs/>
          <w:kern w:val="22"/>
          <w:szCs w:val="22"/>
          <w:lang w:val="fr-FR"/>
        </w:rPr>
      </w:pPr>
      <w:r w:rsidRPr="00617BDE">
        <w:rPr>
          <w:rFonts w:eastAsia="Malgun Gothic"/>
          <w:kern w:val="22"/>
          <w:szCs w:val="22"/>
          <w:lang w:val="fr-FR"/>
        </w:rPr>
        <w:t>Améliorer la comparabilité et la qualité des rapports nationaux et des stratégies et plans d’action nationaux pour la diversité biologique ;</w:t>
      </w:r>
    </w:p>
    <w:p w14:paraId="5EAB84A0" w14:textId="1196CCA2" w:rsidR="00B85058" w:rsidRPr="00617BDE" w:rsidRDefault="00B85058" w:rsidP="00F44122">
      <w:pPr>
        <w:pStyle w:val="Para10"/>
        <w:numPr>
          <w:ilvl w:val="0"/>
          <w:numId w:val="20"/>
        </w:numPr>
        <w:ind w:left="1985" w:hanging="284"/>
        <w:rPr>
          <w:iCs/>
          <w:kern w:val="22"/>
          <w:szCs w:val="22"/>
          <w:lang w:val="fr-FR"/>
        </w:rPr>
      </w:pPr>
      <w:r w:rsidRPr="00617BDE">
        <w:rPr>
          <w:rFonts w:eastAsia="Malgun Gothic"/>
          <w:kern w:val="22"/>
          <w:szCs w:val="22"/>
          <w:lang w:val="fr-FR"/>
        </w:rPr>
        <w:t>Renforcer la cohérence</w:t>
      </w:r>
      <w:r w:rsidR="003F4F7C">
        <w:rPr>
          <w:rFonts w:eastAsia="Malgun Gothic"/>
          <w:kern w:val="22"/>
          <w:szCs w:val="22"/>
          <w:lang w:val="fr-FR"/>
        </w:rPr>
        <w:t xml:space="preserve"> et </w:t>
      </w:r>
      <w:r w:rsidRPr="00617BDE">
        <w:rPr>
          <w:rFonts w:eastAsia="Malgun Gothic"/>
          <w:kern w:val="22"/>
          <w:szCs w:val="22"/>
          <w:lang w:val="fr-FR"/>
        </w:rPr>
        <w:t>les synergies entre les processus d'établissement de rapports et en dehors de la Convention ;</w:t>
      </w:r>
    </w:p>
    <w:p w14:paraId="750BD23A" w14:textId="77777777" w:rsidR="00B85058" w:rsidRPr="00617BDE" w:rsidRDefault="00B85058" w:rsidP="00F44122">
      <w:pPr>
        <w:pStyle w:val="Para10"/>
        <w:numPr>
          <w:ilvl w:val="0"/>
          <w:numId w:val="20"/>
        </w:numPr>
        <w:ind w:left="1985" w:hanging="284"/>
        <w:rPr>
          <w:iCs/>
          <w:kern w:val="22"/>
          <w:szCs w:val="22"/>
          <w:lang w:val="fr-FR"/>
        </w:rPr>
      </w:pPr>
      <w:r w:rsidRPr="00617BDE">
        <w:rPr>
          <w:iCs/>
          <w:kern w:val="22"/>
          <w:szCs w:val="22"/>
          <w:lang w:val="fr-FR"/>
        </w:rPr>
        <w:t>Améliorer la collaboration entre les Conventions pour l'élaboration de cadres de présentation des rapports et de systèmes modulaires de présentation des rapports ;</w:t>
      </w:r>
    </w:p>
    <w:p w14:paraId="618CEEAF" w14:textId="77777777" w:rsidR="00B85058" w:rsidRPr="00617BDE" w:rsidRDefault="00B85058" w:rsidP="00F44122">
      <w:pPr>
        <w:pStyle w:val="Para10"/>
        <w:numPr>
          <w:ilvl w:val="0"/>
          <w:numId w:val="20"/>
        </w:numPr>
        <w:ind w:left="1985" w:hanging="284"/>
        <w:rPr>
          <w:iCs/>
          <w:kern w:val="22"/>
          <w:szCs w:val="22"/>
          <w:lang w:val="fr-FR"/>
        </w:rPr>
      </w:pPr>
      <w:r w:rsidRPr="00617BDE">
        <w:rPr>
          <w:iCs/>
          <w:kern w:val="22"/>
          <w:szCs w:val="22"/>
          <w:lang w:val="fr-FR"/>
        </w:rPr>
        <w:t>Enseignements tirés de la Convention et d'autres instruments environnementaux internationaux ;</w:t>
      </w:r>
    </w:p>
    <w:p w14:paraId="76AD93E6" w14:textId="77777777" w:rsidR="00B85058" w:rsidRPr="00617BDE" w:rsidRDefault="00B85058" w:rsidP="00F44122">
      <w:pPr>
        <w:pStyle w:val="Para10"/>
        <w:numPr>
          <w:ilvl w:val="0"/>
          <w:numId w:val="20"/>
        </w:numPr>
        <w:ind w:left="1985" w:hanging="284"/>
        <w:rPr>
          <w:iCs/>
          <w:kern w:val="22"/>
          <w:szCs w:val="22"/>
          <w:lang w:val="fr-FR"/>
        </w:rPr>
      </w:pPr>
      <w:r w:rsidRPr="00617BDE">
        <w:rPr>
          <w:iCs/>
          <w:kern w:val="22"/>
          <w:szCs w:val="22"/>
          <w:lang w:val="fr-FR"/>
        </w:rPr>
        <w:t xml:space="preserve">La relation entre cet élément et les autres éléments du Cadre mondial de la biodiversité pour l'après-2020 ; </w:t>
      </w:r>
    </w:p>
    <w:p w14:paraId="7C0FE712" w14:textId="77777777" w:rsidR="00B85058" w:rsidRPr="002E4E7A" w:rsidRDefault="00B85058" w:rsidP="00F44122">
      <w:pPr>
        <w:pStyle w:val="Para10"/>
        <w:numPr>
          <w:ilvl w:val="0"/>
          <w:numId w:val="20"/>
        </w:numPr>
        <w:ind w:left="1985" w:hanging="284"/>
        <w:rPr>
          <w:iCs/>
          <w:kern w:val="22"/>
          <w:szCs w:val="22"/>
        </w:rPr>
      </w:pPr>
      <w:r w:rsidRPr="00CD6391">
        <w:rPr>
          <w:iCs/>
          <w:kern w:val="22"/>
          <w:szCs w:val="22"/>
          <w:lang w:val="fr-FR"/>
        </w:rPr>
        <w:t>Suivi</w:t>
      </w:r>
      <w:r>
        <w:rPr>
          <w:iCs/>
          <w:kern w:val="22"/>
          <w:szCs w:val="22"/>
        </w:rPr>
        <w:t> ;</w:t>
      </w:r>
    </w:p>
    <w:p w14:paraId="09209BF2" w14:textId="77777777" w:rsidR="00B85058" w:rsidRPr="00945150" w:rsidRDefault="00B85058" w:rsidP="00F44122">
      <w:pPr>
        <w:pStyle w:val="Para10"/>
        <w:numPr>
          <w:ilvl w:val="0"/>
          <w:numId w:val="20"/>
        </w:numPr>
        <w:ind w:left="1985" w:hanging="284"/>
        <w:rPr>
          <w:iCs/>
          <w:kern w:val="22"/>
          <w:szCs w:val="22"/>
        </w:rPr>
      </w:pPr>
      <w:r>
        <w:rPr>
          <w:kern w:val="22"/>
          <w:szCs w:val="22"/>
        </w:rPr>
        <w:t xml:space="preserve">Engagements </w:t>
      </w:r>
      <w:r w:rsidRPr="00CD6391">
        <w:rPr>
          <w:kern w:val="22"/>
          <w:szCs w:val="22"/>
          <w:lang w:val="fr-FR"/>
        </w:rPr>
        <w:t>volontaires</w:t>
      </w:r>
      <w:r>
        <w:rPr>
          <w:rStyle w:val="FootnoteReference"/>
          <w:kern w:val="22"/>
          <w:szCs w:val="22"/>
        </w:rPr>
        <w:footnoteReference w:id="24"/>
      </w:r>
      <w:r>
        <w:rPr>
          <w:kern w:val="22"/>
          <w:szCs w:val="22"/>
        </w:rPr>
        <w:t> ;</w:t>
      </w:r>
    </w:p>
    <w:p w14:paraId="430B56E0" w14:textId="77777777" w:rsidR="00B85058" w:rsidRPr="00617BDE" w:rsidRDefault="00B85058" w:rsidP="00F44122">
      <w:pPr>
        <w:pStyle w:val="Para10"/>
        <w:numPr>
          <w:ilvl w:val="0"/>
          <w:numId w:val="20"/>
        </w:numPr>
        <w:ind w:left="1985" w:hanging="284"/>
        <w:rPr>
          <w:iCs/>
          <w:kern w:val="22"/>
          <w:szCs w:val="22"/>
          <w:lang w:val="fr-FR"/>
        </w:rPr>
      </w:pPr>
      <w:r w:rsidRPr="00617BDE">
        <w:rPr>
          <w:iCs/>
          <w:kern w:val="22"/>
          <w:szCs w:val="22"/>
          <w:lang w:val="fr-FR"/>
        </w:rPr>
        <w:t>Mécanismes de conformité et transparence</w:t>
      </w:r>
      <w:r>
        <w:rPr>
          <w:rStyle w:val="FootnoteReference"/>
          <w:iCs/>
          <w:kern w:val="22"/>
          <w:szCs w:val="22"/>
        </w:rPr>
        <w:footnoteReference w:id="25"/>
      </w:r>
      <w:r w:rsidRPr="00617BDE">
        <w:rPr>
          <w:iCs/>
          <w:kern w:val="22"/>
          <w:szCs w:val="22"/>
          <w:lang w:val="fr-FR"/>
        </w:rPr>
        <w:t> ;</w:t>
      </w:r>
    </w:p>
    <w:p w14:paraId="25109F8D" w14:textId="218B6AC0" w:rsidR="00B85058" w:rsidRPr="00617BDE" w:rsidRDefault="00B85058" w:rsidP="00F44122">
      <w:pPr>
        <w:pStyle w:val="Para10"/>
        <w:numPr>
          <w:ilvl w:val="0"/>
          <w:numId w:val="20"/>
        </w:numPr>
        <w:ind w:left="1985" w:hanging="284"/>
        <w:rPr>
          <w:iCs/>
          <w:kern w:val="22"/>
          <w:szCs w:val="22"/>
          <w:lang w:val="fr-FR"/>
        </w:rPr>
      </w:pPr>
      <w:r w:rsidRPr="00617BDE">
        <w:rPr>
          <w:iCs/>
          <w:kern w:val="22"/>
          <w:szCs w:val="22"/>
          <w:lang w:val="fr-FR"/>
        </w:rPr>
        <w:t>Système de mesure, de présentation de rapports, d'examen et de vérification, identification transparente de la biodiversité à l'échelle mondiale, processus d'examen itératif synchronisé et coordonné et mécanisme d'</w:t>
      </w:r>
      <w:r w:rsidR="005B7572">
        <w:rPr>
          <w:iCs/>
          <w:kern w:val="22"/>
          <w:szCs w:val="22"/>
          <w:lang w:val="fr-FR"/>
        </w:rPr>
        <w:t>augmentation progressive</w:t>
      </w:r>
      <w:r>
        <w:rPr>
          <w:rStyle w:val="FootnoteReference"/>
          <w:iCs/>
          <w:kern w:val="22"/>
          <w:szCs w:val="22"/>
        </w:rPr>
        <w:footnoteReference w:id="26"/>
      </w:r>
      <w:r w:rsidRPr="00617BDE">
        <w:rPr>
          <w:iCs/>
          <w:kern w:val="22"/>
          <w:szCs w:val="22"/>
          <w:lang w:val="fr-FR"/>
        </w:rPr>
        <w:t> ;</w:t>
      </w:r>
    </w:p>
    <w:p w14:paraId="09C5A557" w14:textId="77777777" w:rsidR="00B85058" w:rsidRDefault="00B85058" w:rsidP="00F44122">
      <w:pPr>
        <w:pStyle w:val="Para10"/>
        <w:numPr>
          <w:ilvl w:val="0"/>
          <w:numId w:val="20"/>
        </w:numPr>
        <w:ind w:left="1985" w:hanging="284"/>
        <w:rPr>
          <w:iCs/>
          <w:kern w:val="22"/>
          <w:szCs w:val="22"/>
          <w:lang w:val="fr-FR"/>
        </w:rPr>
      </w:pPr>
      <w:r w:rsidRPr="00617BDE">
        <w:rPr>
          <w:iCs/>
          <w:kern w:val="22"/>
          <w:szCs w:val="22"/>
          <w:lang w:val="fr-FR"/>
        </w:rPr>
        <w:t>Processus d'examen existants, y compris l'examen par les pairs, au titre de la Convention.</w:t>
      </w:r>
    </w:p>
    <w:p w14:paraId="7E64A829" w14:textId="77777777" w:rsidR="00B85058" w:rsidRPr="00617BDE" w:rsidRDefault="00B85058" w:rsidP="00F44122">
      <w:pPr>
        <w:pStyle w:val="Para10"/>
        <w:numPr>
          <w:ilvl w:val="0"/>
          <w:numId w:val="20"/>
        </w:numPr>
        <w:ind w:left="1985" w:hanging="284"/>
        <w:rPr>
          <w:iCs/>
          <w:kern w:val="22"/>
          <w:szCs w:val="22"/>
          <w:lang w:val="fr-FR"/>
        </w:rPr>
      </w:pPr>
      <w:r>
        <w:rPr>
          <w:iCs/>
          <w:kern w:val="22"/>
          <w:szCs w:val="22"/>
          <w:lang w:val="fr-FR"/>
        </w:rPr>
        <w:t>Orientations.</w:t>
      </w:r>
    </w:p>
    <w:p w14:paraId="2A570F14" w14:textId="77777777" w:rsidR="00B85058" w:rsidRPr="00945150" w:rsidRDefault="00B85058" w:rsidP="00F44122">
      <w:pPr>
        <w:pStyle w:val="Heading2"/>
        <w:numPr>
          <w:ilvl w:val="0"/>
          <w:numId w:val="11"/>
        </w:numPr>
        <w:rPr>
          <w:b w:val="0"/>
          <w:iCs w:val="0"/>
          <w:kern w:val="22"/>
          <w:szCs w:val="22"/>
        </w:rPr>
      </w:pPr>
      <w:r w:rsidRPr="000936F2">
        <w:rPr>
          <w:rFonts w:eastAsia="Times New Roman"/>
          <w:kern w:val="22"/>
          <w:szCs w:val="22"/>
          <w:lang w:val="fr-FR"/>
        </w:rPr>
        <w:t>Information, sensibilisation et incorporation</w:t>
      </w:r>
      <w:r w:rsidRPr="005B7572">
        <w:rPr>
          <w:rFonts w:eastAsia="Times New Roman"/>
          <w:vertAlign w:val="superscript"/>
          <w:lang w:val="fr-FR"/>
        </w:rPr>
        <w:footnoteReference w:id="27"/>
      </w:r>
      <w:r w:rsidRPr="000936F2">
        <w:rPr>
          <w:rFonts w:eastAsia="Times New Roman"/>
          <w:kern w:val="22"/>
          <w:szCs w:val="22"/>
          <w:lang w:val="fr-FR"/>
        </w:rPr>
        <w:t xml:space="preserve"> </w:t>
      </w:r>
    </w:p>
    <w:p w14:paraId="68EA29EF" w14:textId="111064E9" w:rsidR="00B85058" w:rsidRPr="002E4E7A" w:rsidRDefault="000936F2" w:rsidP="000936F2">
      <w:pPr>
        <w:pStyle w:val="Para10"/>
        <w:numPr>
          <w:ilvl w:val="0"/>
          <w:numId w:val="0"/>
        </w:numPr>
        <w:ind w:left="709"/>
        <w:rPr>
          <w:iCs/>
          <w:kern w:val="22"/>
          <w:szCs w:val="22"/>
        </w:rPr>
      </w:pPr>
      <w:r>
        <w:rPr>
          <w:iCs/>
          <w:kern w:val="22"/>
          <w:szCs w:val="22"/>
          <w:lang w:val="fr-FR"/>
        </w:rPr>
        <w:t>a)</w:t>
      </w:r>
      <w:r>
        <w:rPr>
          <w:iCs/>
          <w:kern w:val="22"/>
          <w:szCs w:val="22"/>
          <w:lang w:val="fr-FR"/>
        </w:rPr>
        <w:tab/>
      </w:r>
      <w:r w:rsidR="00B85058" w:rsidRPr="00401F9A">
        <w:rPr>
          <w:iCs/>
          <w:kern w:val="22"/>
          <w:szCs w:val="22"/>
          <w:lang w:val="fr-FR"/>
        </w:rPr>
        <w:t>Éléments</w:t>
      </w:r>
      <w:r w:rsidR="00B85058">
        <w:rPr>
          <w:iCs/>
          <w:kern w:val="22"/>
          <w:szCs w:val="22"/>
        </w:rPr>
        <w:t xml:space="preserve"> </w:t>
      </w:r>
      <w:r w:rsidR="00B85058" w:rsidRPr="00401F9A">
        <w:rPr>
          <w:iCs/>
          <w:kern w:val="22"/>
          <w:szCs w:val="22"/>
          <w:lang w:val="fr-FR"/>
        </w:rPr>
        <w:t>possibles</w:t>
      </w:r>
      <w:r w:rsidR="00B85058">
        <w:rPr>
          <w:iCs/>
          <w:kern w:val="22"/>
          <w:szCs w:val="22"/>
        </w:rPr>
        <w:t> :</w:t>
      </w:r>
    </w:p>
    <w:p w14:paraId="57601F7D" w14:textId="77777777" w:rsidR="00957249" w:rsidRDefault="00B85058" w:rsidP="00957249">
      <w:pPr>
        <w:pStyle w:val="Para10"/>
        <w:numPr>
          <w:ilvl w:val="0"/>
          <w:numId w:val="21"/>
        </w:numPr>
        <w:ind w:left="1985" w:hanging="284"/>
        <w:rPr>
          <w:iCs/>
          <w:kern w:val="22"/>
          <w:szCs w:val="22"/>
          <w:lang w:val="fr-FR"/>
        </w:rPr>
      </w:pPr>
      <w:r w:rsidRPr="00617BDE">
        <w:rPr>
          <w:kern w:val="22"/>
          <w:szCs w:val="22"/>
          <w:lang w:val="fr-FR"/>
        </w:rPr>
        <w:t>Une stratégie de communication cohérente, globale et innovante pour le cadre mondial de la biodiversité lui-même </w:t>
      </w:r>
      <w:r w:rsidRPr="00617BDE">
        <w:rPr>
          <w:iCs/>
          <w:kern w:val="22"/>
          <w:szCs w:val="22"/>
          <w:lang w:val="fr-FR"/>
        </w:rPr>
        <w:t>;</w:t>
      </w:r>
    </w:p>
    <w:p w14:paraId="4E89A8FC" w14:textId="3B556DC0" w:rsidR="00817C4B" w:rsidRPr="00957249" w:rsidRDefault="00B85058" w:rsidP="00957249">
      <w:pPr>
        <w:pStyle w:val="Para10"/>
        <w:numPr>
          <w:ilvl w:val="0"/>
          <w:numId w:val="21"/>
        </w:numPr>
        <w:ind w:left="1985" w:hanging="284"/>
        <w:rPr>
          <w:iCs/>
          <w:kern w:val="22"/>
          <w:szCs w:val="22"/>
          <w:lang w:val="fr-FR"/>
        </w:rPr>
      </w:pPr>
      <w:bookmarkStart w:id="2" w:name="_GoBack"/>
      <w:bookmarkEnd w:id="2"/>
      <w:r w:rsidRPr="00957249">
        <w:rPr>
          <w:kern w:val="22"/>
          <w:szCs w:val="22"/>
          <w:lang w:val="fr-FR"/>
        </w:rPr>
        <w:t>Sensibilisation à l'importance du cadre pour assurer qu'il soit en harmonie avec d'autres processus et stratégies internationaux pertinents.</w:t>
      </w:r>
    </w:p>
    <w:p w14:paraId="664D8A6C" w14:textId="77777777" w:rsidR="00817C4B" w:rsidRPr="00A365D7" w:rsidRDefault="00817C4B" w:rsidP="00D0282A">
      <w:pPr>
        <w:ind w:firstLine="709"/>
        <w:rPr>
          <w:kern w:val="22"/>
          <w:szCs w:val="22"/>
          <w:lang w:val="fr-FR" w:eastAsia="en-CA"/>
        </w:rPr>
      </w:pPr>
    </w:p>
    <w:p w14:paraId="5B448C7B" w14:textId="75736097" w:rsidR="00B508E1" w:rsidRPr="00A365D7" w:rsidRDefault="00B508E1" w:rsidP="00780276">
      <w:pPr>
        <w:ind w:firstLine="709"/>
        <w:rPr>
          <w:kern w:val="22"/>
          <w:szCs w:val="22"/>
          <w:lang w:val="fr-FR" w:eastAsia="en-CA"/>
        </w:rPr>
        <w:sectPr w:rsidR="00B508E1" w:rsidRPr="00A365D7" w:rsidSect="00584A00">
          <w:headerReference w:type="even" r:id="rId17"/>
          <w:headerReference w:type="default" r:id="rId18"/>
          <w:footerReference w:type="even" r:id="rId19"/>
          <w:footerReference w:type="default" r:id="rId20"/>
          <w:pgSz w:w="12240" w:h="15840" w:code="1"/>
          <w:pgMar w:top="567" w:right="1440" w:bottom="1134" w:left="1440" w:header="454" w:footer="720" w:gutter="0"/>
          <w:cols w:space="720"/>
          <w:titlePg/>
          <w:docGrid w:linePitch="299"/>
        </w:sectPr>
      </w:pPr>
    </w:p>
    <w:p w14:paraId="0C074E41" w14:textId="4AE1AB1B" w:rsidR="001E2016" w:rsidRPr="00A365D7" w:rsidRDefault="001E2016" w:rsidP="00412F38">
      <w:pPr>
        <w:spacing w:after="120"/>
        <w:jc w:val="center"/>
        <w:rPr>
          <w:kern w:val="22"/>
          <w:szCs w:val="22"/>
          <w:lang w:val="fr-FR"/>
        </w:rPr>
      </w:pPr>
      <w:bookmarkStart w:id="3" w:name="ConclusionsAnnexII"/>
      <w:r w:rsidRPr="00A365D7">
        <w:rPr>
          <w:i/>
          <w:kern w:val="22"/>
          <w:szCs w:val="22"/>
          <w:lang w:val="fr-FR"/>
        </w:rPr>
        <w:lastRenderedPageBreak/>
        <w:t>Annex</w:t>
      </w:r>
      <w:r w:rsidR="00A765B0" w:rsidRPr="00A365D7">
        <w:rPr>
          <w:i/>
          <w:kern w:val="22"/>
          <w:szCs w:val="22"/>
          <w:lang w:val="fr-FR"/>
        </w:rPr>
        <w:t>e</w:t>
      </w:r>
      <w:r w:rsidRPr="00A365D7">
        <w:rPr>
          <w:i/>
          <w:kern w:val="22"/>
          <w:szCs w:val="22"/>
          <w:lang w:val="fr-FR"/>
        </w:rPr>
        <w:t xml:space="preserve"> II</w:t>
      </w:r>
    </w:p>
    <w:p w14:paraId="0F51BFF9" w14:textId="4383E4FD" w:rsidR="001E2016" w:rsidRPr="00A365D7" w:rsidRDefault="00A765B0" w:rsidP="00412F38">
      <w:pPr>
        <w:pStyle w:val="Heading1"/>
        <w:spacing w:before="120"/>
        <w:rPr>
          <w:kern w:val="22"/>
          <w:szCs w:val="22"/>
          <w:lang w:val="fr-FR"/>
        </w:rPr>
      </w:pPr>
      <w:bookmarkStart w:id="4" w:name="_Hlk17977802"/>
      <w:bookmarkEnd w:id="3"/>
      <w:r w:rsidRPr="00A365D7">
        <w:rPr>
          <w:kern w:val="22"/>
          <w:szCs w:val="22"/>
          <w:lang w:val="fr-FR"/>
        </w:rPr>
        <w:t>liste prÉliminaire des rÉunions</w:t>
      </w:r>
      <w:r w:rsidR="001E2016" w:rsidRPr="00A365D7">
        <w:rPr>
          <w:kern w:val="22"/>
          <w:szCs w:val="22"/>
          <w:lang w:val="fr-FR"/>
        </w:rPr>
        <w:t>, consultations</w:t>
      </w:r>
      <w:r w:rsidRPr="00A365D7">
        <w:rPr>
          <w:kern w:val="22"/>
          <w:szCs w:val="22"/>
          <w:lang w:val="fr-FR"/>
        </w:rPr>
        <w:t xml:space="preserve"> et ateliers pour l’Élaborations du cadre mondial de la biodiversitÉ pour l’aprÈs-2020</w:t>
      </w:r>
      <w:bookmarkEnd w:id="4"/>
    </w:p>
    <w:p w14:paraId="6CD4F82F" w14:textId="02EAD573" w:rsidR="00C6326D" w:rsidRPr="005836BE" w:rsidRDefault="00C6326D" w:rsidP="00C6326D">
      <w:pPr>
        <w:pStyle w:val="Heading2"/>
        <w:tabs>
          <w:tab w:val="clear" w:pos="720"/>
        </w:tabs>
        <w:spacing w:before="0" w:after="0"/>
        <w:rPr>
          <w:bCs w:val="0"/>
          <w:szCs w:val="22"/>
          <w:lang w:val="fr-CA"/>
        </w:rPr>
      </w:pPr>
      <w:r w:rsidRPr="005836BE">
        <w:rPr>
          <w:bCs w:val="0"/>
          <w:szCs w:val="22"/>
          <w:lang w:val="fr-CA"/>
        </w:rPr>
        <w:t>Tableau 1</w:t>
      </w:r>
      <w:r w:rsidR="005836BE" w:rsidRPr="005836BE">
        <w:rPr>
          <w:bCs w:val="0"/>
          <w:szCs w:val="22"/>
          <w:lang w:val="fr-CA"/>
        </w:rPr>
        <w:t>.</w:t>
      </w:r>
      <w:r w:rsidRPr="005836BE">
        <w:rPr>
          <w:bCs w:val="0"/>
          <w:szCs w:val="22"/>
          <w:lang w:val="fr-CA"/>
        </w:rPr>
        <w:t xml:space="preserve"> Réunions officielles </w:t>
      </w:r>
      <w:r w:rsidR="00797296" w:rsidRPr="005836BE">
        <w:rPr>
          <w:bCs w:val="0"/>
          <w:szCs w:val="22"/>
          <w:lang w:val="fr-CA"/>
        </w:rPr>
        <w:t>demandées par</w:t>
      </w:r>
      <w:r w:rsidRPr="005836BE">
        <w:rPr>
          <w:bCs w:val="0"/>
          <w:szCs w:val="22"/>
          <w:lang w:val="fr-CA"/>
        </w:rPr>
        <w:t xml:space="preserve"> la Conférence des Parties</w:t>
      </w:r>
    </w:p>
    <w:tbl>
      <w:tblPr>
        <w:tblStyle w:val="TableGrid"/>
        <w:tblW w:w="5080" w:type="pct"/>
        <w:jc w:val="center"/>
        <w:tblLayout w:type="fixed"/>
        <w:tblLook w:val="04A0" w:firstRow="1" w:lastRow="0" w:firstColumn="1" w:lastColumn="0" w:noHBand="0" w:noVBand="1"/>
      </w:tblPr>
      <w:tblGrid>
        <w:gridCol w:w="2187"/>
        <w:gridCol w:w="2191"/>
        <w:gridCol w:w="3063"/>
        <w:gridCol w:w="1318"/>
        <w:gridCol w:w="3701"/>
        <w:gridCol w:w="1895"/>
      </w:tblGrid>
      <w:tr w:rsidR="00C6326D" w:rsidRPr="00797296" w14:paraId="4479C7C1" w14:textId="77777777" w:rsidTr="00746773">
        <w:trPr>
          <w:cantSplit/>
          <w:tblHeader/>
          <w:jc w:val="center"/>
        </w:trPr>
        <w:tc>
          <w:tcPr>
            <w:tcW w:w="2187" w:type="dxa"/>
            <w:tcBorders>
              <w:bottom w:val="single" w:sz="4" w:space="0" w:color="auto"/>
            </w:tcBorders>
            <w:shd w:val="clear" w:color="auto" w:fill="auto"/>
          </w:tcPr>
          <w:p w14:paraId="41420FB8" w14:textId="77777777" w:rsidR="00C6326D" w:rsidRPr="00797296" w:rsidRDefault="00C6326D" w:rsidP="00746773">
            <w:pPr>
              <w:spacing w:before="40" w:after="40"/>
              <w:jc w:val="center"/>
              <w:rPr>
                <w:rFonts w:ascii="Times New Roman" w:hAnsi="Times New Roman" w:cs="Times New Roman"/>
                <w:i/>
                <w:color w:val="000000" w:themeColor="text1"/>
                <w:kern w:val="22"/>
                <w:szCs w:val="22"/>
                <w:lang w:val="fr-CA"/>
              </w:rPr>
            </w:pPr>
            <w:r w:rsidRPr="00797296">
              <w:rPr>
                <w:rFonts w:ascii="Times New Roman" w:hAnsi="Times New Roman" w:cs="Times New Roman"/>
                <w:i/>
                <w:color w:val="000000" w:themeColor="text1"/>
                <w:kern w:val="22"/>
                <w:szCs w:val="22"/>
                <w:lang w:val="fr-CA"/>
              </w:rPr>
              <w:t>Date et lieu</w:t>
            </w:r>
          </w:p>
        </w:tc>
        <w:tc>
          <w:tcPr>
            <w:tcW w:w="2191" w:type="dxa"/>
            <w:tcBorders>
              <w:bottom w:val="single" w:sz="4" w:space="0" w:color="auto"/>
            </w:tcBorders>
            <w:shd w:val="clear" w:color="auto" w:fill="auto"/>
          </w:tcPr>
          <w:p w14:paraId="1E61EE5F" w14:textId="77777777" w:rsidR="00C6326D" w:rsidRPr="00797296" w:rsidRDefault="00C6326D" w:rsidP="00746773">
            <w:pPr>
              <w:spacing w:before="40" w:after="40"/>
              <w:jc w:val="center"/>
              <w:rPr>
                <w:rFonts w:ascii="Times New Roman" w:hAnsi="Times New Roman" w:cs="Times New Roman"/>
                <w:i/>
                <w:color w:val="000000" w:themeColor="text1"/>
                <w:kern w:val="22"/>
                <w:szCs w:val="22"/>
                <w:lang w:val="fr-CA"/>
              </w:rPr>
            </w:pPr>
            <w:r w:rsidRPr="00797296">
              <w:rPr>
                <w:rFonts w:ascii="Times New Roman" w:hAnsi="Times New Roman" w:cs="Times New Roman"/>
                <w:i/>
                <w:color w:val="000000" w:themeColor="text1"/>
                <w:kern w:val="22"/>
                <w:szCs w:val="22"/>
                <w:lang w:val="fr-CA"/>
              </w:rPr>
              <w:t>Réunion</w:t>
            </w:r>
          </w:p>
        </w:tc>
        <w:tc>
          <w:tcPr>
            <w:tcW w:w="3063" w:type="dxa"/>
            <w:tcBorders>
              <w:bottom w:val="single" w:sz="4" w:space="0" w:color="auto"/>
            </w:tcBorders>
            <w:shd w:val="clear" w:color="auto" w:fill="auto"/>
          </w:tcPr>
          <w:p w14:paraId="2E0274E6" w14:textId="77777777" w:rsidR="00C6326D" w:rsidRPr="00797296" w:rsidRDefault="00C6326D" w:rsidP="00746773">
            <w:pPr>
              <w:spacing w:before="40" w:after="40"/>
              <w:jc w:val="center"/>
              <w:rPr>
                <w:rFonts w:ascii="Times New Roman" w:hAnsi="Times New Roman" w:cs="Times New Roman"/>
                <w:i/>
                <w:color w:val="000000" w:themeColor="text1"/>
                <w:kern w:val="22"/>
                <w:szCs w:val="22"/>
                <w:lang w:val="fr-CA"/>
              </w:rPr>
            </w:pPr>
            <w:r w:rsidRPr="00797296">
              <w:rPr>
                <w:rFonts w:ascii="Times New Roman" w:hAnsi="Times New Roman" w:cs="Times New Roman"/>
                <w:i/>
                <w:color w:val="000000" w:themeColor="text1"/>
                <w:kern w:val="22"/>
                <w:szCs w:val="22"/>
                <w:lang w:val="fr-CA"/>
              </w:rPr>
              <w:t>Élément du cadre mondial de la biodiversité pour l’après</w:t>
            </w:r>
            <w:r w:rsidRPr="00797296">
              <w:rPr>
                <w:rFonts w:ascii="Times New Roman" w:hAnsi="Times New Roman" w:cs="Times New Roman"/>
                <w:i/>
                <w:color w:val="000000" w:themeColor="text1"/>
                <w:kern w:val="22"/>
                <w:szCs w:val="22"/>
                <w:lang w:val="fr-CA"/>
              </w:rPr>
              <w:noBreakHyphen/>
              <w:t>2020</w:t>
            </w:r>
          </w:p>
        </w:tc>
        <w:tc>
          <w:tcPr>
            <w:tcW w:w="1318" w:type="dxa"/>
            <w:tcBorders>
              <w:bottom w:val="single" w:sz="4" w:space="0" w:color="auto"/>
            </w:tcBorders>
            <w:shd w:val="clear" w:color="auto" w:fill="auto"/>
          </w:tcPr>
          <w:p w14:paraId="2F4B72D9" w14:textId="77777777" w:rsidR="00C6326D" w:rsidRPr="00797296" w:rsidRDefault="00C6326D" w:rsidP="00746773">
            <w:pPr>
              <w:spacing w:before="40" w:after="40"/>
              <w:jc w:val="center"/>
              <w:rPr>
                <w:rFonts w:ascii="Times New Roman" w:hAnsi="Times New Roman" w:cs="Times New Roman"/>
                <w:i/>
                <w:color w:val="000000" w:themeColor="text1"/>
                <w:kern w:val="22"/>
                <w:szCs w:val="22"/>
                <w:lang w:val="fr-CA"/>
              </w:rPr>
            </w:pPr>
            <w:r w:rsidRPr="00797296">
              <w:rPr>
                <w:rFonts w:ascii="Times New Roman" w:hAnsi="Times New Roman" w:cs="Times New Roman"/>
                <w:i/>
                <w:color w:val="000000" w:themeColor="text1"/>
                <w:kern w:val="22"/>
                <w:szCs w:val="22"/>
                <w:lang w:val="fr-CA"/>
              </w:rPr>
              <w:t>Mandat</w:t>
            </w:r>
          </w:p>
        </w:tc>
        <w:tc>
          <w:tcPr>
            <w:tcW w:w="3701" w:type="dxa"/>
            <w:tcBorders>
              <w:bottom w:val="single" w:sz="4" w:space="0" w:color="auto"/>
            </w:tcBorders>
            <w:shd w:val="clear" w:color="auto" w:fill="auto"/>
          </w:tcPr>
          <w:p w14:paraId="7C81B9C2" w14:textId="77777777" w:rsidR="00C6326D" w:rsidRPr="00797296" w:rsidRDefault="00C6326D" w:rsidP="00746773">
            <w:pPr>
              <w:spacing w:before="40" w:after="40"/>
              <w:jc w:val="center"/>
              <w:rPr>
                <w:rFonts w:ascii="Times New Roman" w:hAnsi="Times New Roman" w:cs="Times New Roman"/>
                <w:i/>
                <w:color w:val="000000" w:themeColor="text1"/>
                <w:kern w:val="22"/>
                <w:szCs w:val="22"/>
                <w:lang w:val="fr-CA"/>
              </w:rPr>
            </w:pPr>
            <w:r w:rsidRPr="00797296">
              <w:rPr>
                <w:rFonts w:ascii="Times New Roman" w:hAnsi="Times New Roman" w:cs="Times New Roman"/>
                <w:i/>
                <w:color w:val="000000" w:themeColor="text1"/>
                <w:kern w:val="22"/>
                <w:szCs w:val="22"/>
                <w:lang w:val="fr-CA"/>
              </w:rPr>
              <w:t>Rôle/modalité</w:t>
            </w:r>
          </w:p>
        </w:tc>
        <w:tc>
          <w:tcPr>
            <w:tcW w:w="1895" w:type="dxa"/>
            <w:tcBorders>
              <w:bottom w:val="single" w:sz="4" w:space="0" w:color="auto"/>
            </w:tcBorders>
            <w:shd w:val="clear" w:color="auto" w:fill="auto"/>
          </w:tcPr>
          <w:p w14:paraId="17C039E5" w14:textId="77777777" w:rsidR="00C6326D" w:rsidRPr="00797296" w:rsidRDefault="00C6326D" w:rsidP="00746773">
            <w:pPr>
              <w:spacing w:before="40" w:after="40"/>
              <w:jc w:val="center"/>
              <w:rPr>
                <w:rFonts w:ascii="Times New Roman" w:hAnsi="Times New Roman" w:cs="Times New Roman"/>
                <w:i/>
                <w:color w:val="000000" w:themeColor="text1"/>
                <w:kern w:val="22"/>
                <w:szCs w:val="22"/>
                <w:lang w:val="fr-CA"/>
              </w:rPr>
            </w:pPr>
            <w:r w:rsidRPr="00797296">
              <w:rPr>
                <w:rFonts w:ascii="Times New Roman" w:hAnsi="Times New Roman" w:cs="Times New Roman"/>
                <w:i/>
                <w:color w:val="000000" w:themeColor="text1"/>
                <w:kern w:val="22"/>
                <w:szCs w:val="22"/>
                <w:lang w:val="fr-CA"/>
              </w:rPr>
              <w:t>Type</w:t>
            </w:r>
            <w:r w:rsidRPr="00797296">
              <w:rPr>
                <w:rStyle w:val="FootnoteReference"/>
                <w:rFonts w:ascii="Times New Roman" w:hAnsi="Times New Roman" w:cs="Times New Roman"/>
                <w:i/>
                <w:color w:val="000000" w:themeColor="text1"/>
                <w:kern w:val="22"/>
                <w:szCs w:val="22"/>
                <w:lang w:val="fr-CA"/>
              </w:rPr>
              <w:footnoteReference w:id="28"/>
            </w:r>
          </w:p>
        </w:tc>
      </w:tr>
      <w:tr w:rsidR="00797296" w:rsidRPr="00797296" w14:paraId="357C469D" w14:textId="77777777" w:rsidTr="00C6326D">
        <w:trPr>
          <w:cantSplit/>
          <w:jc w:val="center"/>
        </w:trPr>
        <w:tc>
          <w:tcPr>
            <w:tcW w:w="2187" w:type="dxa"/>
            <w:tcBorders>
              <w:bottom w:val="single" w:sz="4" w:space="0" w:color="auto"/>
            </w:tcBorders>
            <w:shd w:val="clear" w:color="auto" w:fill="FFFFFF" w:themeFill="background1"/>
          </w:tcPr>
          <w:p w14:paraId="0EF10E7C"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22</w:t>
            </w:r>
            <w:r w:rsidRPr="00797296">
              <w:rPr>
                <w:rFonts w:ascii="Times New Roman" w:hAnsi="Times New Roman" w:cs="Times New Roman"/>
                <w:color w:val="000000" w:themeColor="text1"/>
                <w:kern w:val="22"/>
                <w:szCs w:val="22"/>
                <w:lang w:val="fr-CA"/>
              </w:rPr>
              <w:noBreakHyphen/>
              <w:t>25 octobre 2019, Montréal, Canada</w:t>
            </w:r>
          </w:p>
        </w:tc>
        <w:tc>
          <w:tcPr>
            <w:tcW w:w="2191" w:type="dxa"/>
            <w:tcBorders>
              <w:bottom w:val="single" w:sz="4" w:space="0" w:color="auto"/>
            </w:tcBorders>
            <w:shd w:val="clear" w:color="auto" w:fill="FFFFFF" w:themeFill="background1"/>
          </w:tcPr>
          <w:p w14:paraId="50C55694"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Groupe de liaison sur le Protocole de Cartagena sur la prévention des risques biotechnologiques</w:t>
            </w:r>
          </w:p>
        </w:tc>
        <w:tc>
          <w:tcPr>
            <w:tcW w:w="3063" w:type="dxa"/>
            <w:tcBorders>
              <w:bottom w:val="single" w:sz="4" w:space="0" w:color="auto"/>
            </w:tcBorders>
            <w:shd w:val="clear" w:color="auto" w:fill="FFFFFF" w:themeFill="background1"/>
          </w:tcPr>
          <w:p w14:paraId="3D975A0F"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Prévention des risques biotechnologiques</w:t>
            </w:r>
          </w:p>
        </w:tc>
        <w:tc>
          <w:tcPr>
            <w:tcW w:w="1318" w:type="dxa"/>
            <w:tcBorders>
              <w:bottom w:val="single" w:sz="4" w:space="0" w:color="auto"/>
            </w:tcBorders>
            <w:shd w:val="clear" w:color="auto" w:fill="FFFFFF" w:themeFill="background1"/>
          </w:tcPr>
          <w:p w14:paraId="7266D9AC"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 xml:space="preserve">Décision </w:t>
            </w:r>
            <w:hyperlink r:id="rId21" w:history="1">
              <w:r w:rsidRPr="00797296">
                <w:rPr>
                  <w:rStyle w:val="Hyperlink"/>
                  <w:rFonts w:ascii="Times New Roman" w:hAnsi="Times New Roman" w:cs="Times New Roman"/>
                  <w:iCs/>
                  <w:snapToGrid w:val="0"/>
                  <w:color w:val="000000" w:themeColor="text1"/>
                  <w:kern w:val="22"/>
                  <w:sz w:val="22"/>
                  <w:szCs w:val="22"/>
                  <w:u w:val="none"/>
                  <w:lang w:val="fr-CA"/>
                </w:rPr>
                <w:t>CP</w:t>
              </w:r>
              <w:r w:rsidRPr="00797296">
                <w:rPr>
                  <w:rStyle w:val="Hyperlink"/>
                  <w:rFonts w:ascii="Times New Roman" w:hAnsi="Times New Roman" w:cs="Times New Roman"/>
                  <w:iCs/>
                  <w:snapToGrid w:val="0"/>
                  <w:color w:val="000000" w:themeColor="text1"/>
                  <w:kern w:val="22"/>
                  <w:sz w:val="22"/>
                  <w:szCs w:val="22"/>
                  <w:u w:val="none"/>
                  <w:lang w:val="fr-CA"/>
                </w:rPr>
                <w:noBreakHyphen/>
                <w:t>9/7</w:t>
              </w:r>
            </w:hyperlink>
          </w:p>
        </w:tc>
        <w:tc>
          <w:tcPr>
            <w:tcW w:w="3701" w:type="dxa"/>
            <w:tcBorders>
              <w:bottom w:val="single" w:sz="4" w:space="0" w:color="auto"/>
            </w:tcBorders>
            <w:shd w:val="clear" w:color="auto" w:fill="FFFFFF" w:themeFill="background1"/>
          </w:tcPr>
          <w:p w14:paraId="6EB98EB9"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Le groupe de liaison est tenu de préparer un projet d’élément sur la prévention des risques biotechnologiques dans le cadre mondial de la biodiversité pour l’après</w:t>
            </w:r>
            <w:r w:rsidRPr="00797296">
              <w:rPr>
                <w:rFonts w:ascii="Times New Roman" w:hAnsi="Times New Roman" w:cs="Times New Roman"/>
                <w:color w:val="000000" w:themeColor="text1"/>
                <w:kern w:val="22"/>
                <w:szCs w:val="22"/>
                <w:lang w:val="fr-CA"/>
              </w:rPr>
              <w:noBreakHyphen/>
              <w:t>2020</w:t>
            </w:r>
            <w:r w:rsidRPr="00797296">
              <w:rPr>
                <w:rFonts w:ascii="Times New Roman" w:hAnsi="Times New Roman" w:cs="Times New Roman"/>
                <w:color w:val="000000" w:themeColor="text1"/>
                <w:kern w:val="22"/>
                <w:szCs w:val="22"/>
                <w:lang w:val="fr-CA"/>
              </w:rPr>
              <w:footnoteReference w:id="29"/>
            </w:r>
            <w:r w:rsidRPr="00797296">
              <w:rPr>
                <w:rFonts w:ascii="Times New Roman" w:hAnsi="Times New Roman" w:cs="Times New Roman"/>
                <w:color w:val="000000" w:themeColor="text1"/>
                <w:kern w:val="22"/>
                <w:szCs w:val="22"/>
                <w:lang w:val="fr-CA"/>
              </w:rPr>
              <w:t xml:space="preserve"> qui sera soumis à la deuxième réunion du Groupe de travail à composition non limitée sur le cadre mondial de la biodiversité pour l’après</w:t>
            </w:r>
            <w:r w:rsidRPr="00797296">
              <w:rPr>
                <w:rFonts w:ascii="Times New Roman" w:hAnsi="Times New Roman" w:cs="Times New Roman"/>
                <w:color w:val="000000" w:themeColor="text1"/>
                <w:kern w:val="22"/>
                <w:szCs w:val="22"/>
                <w:lang w:val="fr-CA"/>
              </w:rPr>
              <w:noBreakHyphen/>
              <w:t>2020.</w:t>
            </w:r>
          </w:p>
        </w:tc>
        <w:tc>
          <w:tcPr>
            <w:tcW w:w="1895" w:type="dxa"/>
            <w:tcBorders>
              <w:bottom w:val="single" w:sz="4" w:space="0" w:color="auto"/>
            </w:tcBorders>
            <w:shd w:val="clear" w:color="auto" w:fill="FFFFFF" w:themeFill="background1"/>
          </w:tcPr>
          <w:p w14:paraId="5FA53722"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Comité</w:t>
            </w:r>
          </w:p>
          <w:p w14:paraId="6040EACB" w14:textId="77777777" w:rsidR="00C6326D" w:rsidRPr="00797296" w:rsidRDefault="00C6326D" w:rsidP="00746773">
            <w:pPr>
              <w:spacing w:before="40" w:after="40"/>
              <w:jc w:val="left"/>
              <w:rPr>
                <w:rFonts w:ascii="Times New Roman" w:hAnsi="Times New Roman" w:cs="Times New Roman"/>
                <w:bCs/>
                <w:color w:val="000000" w:themeColor="text1"/>
                <w:kern w:val="22"/>
                <w:szCs w:val="22"/>
                <w:shd w:val="clear" w:color="auto" w:fill="FFFFFF"/>
                <w:lang w:val="fr-CA"/>
              </w:rPr>
            </w:pPr>
            <w:r w:rsidRPr="00797296">
              <w:rPr>
                <w:rFonts w:ascii="Times New Roman" w:hAnsi="Times New Roman" w:cs="Times New Roman"/>
                <w:color w:val="000000" w:themeColor="text1"/>
                <w:kern w:val="22"/>
                <w:szCs w:val="22"/>
                <w:lang w:val="fr-CA"/>
              </w:rPr>
              <w:t>2</w:t>
            </w:r>
          </w:p>
        </w:tc>
      </w:tr>
      <w:tr w:rsidR="00797296" w:rsidRPr="00797296" w14:paraId="3E08AE64" w14:textId="77777777" w:rsidTr="00C6326D">
        <w:trPr>
          <w:cantSplit/>
          <w:jc w:val="center"/>
        </w:trPr>
        <w:tc>
          <w:tcPr>
            <w:tcW w:w="2187" w:type="dxa"/>
            <w:vMerge w:val="restart"/>
            <w:shd w:val="clear" w:color="auto" w:fill="FFFFFF" w:themeFill="background1"/>
          </w:tcPr>
          <w:p w14:paraId="7BADB8D8"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lastRenderedPageBreak/>
              <w:t>20</w:t>
            </w:r>
            <w:r w:rsidRPr="00797296">
              <w:rPr>
                <w:rFonts w:ascii="Times New Roman" w:hAnsi="Times New Roman" w:cs="Times New Roman"/>
                <w:color w:val="000000" w:themeColor="text1"/>
                <w:kern w:val="22"/>
                <w:szCs w:val="22"/>
                <w:lang w:val="fr-CA"/>
              </w:rPr>
              <w:noBreakHyphen/>
              <w:t>22 novembre 2019, Montréal, Canada</w:t>
            </w:r>
          </w:p>
        </w:tc>
        <w:tc>
          <w:tcPr>
            <w:tcW w:w="2191" w:type="dxa"/>
            <w:vMerge w:val="restart"/>
            <w:shd w:val="clear" w:color="auto" w:fill="FFFFFF" w:themeFill="background1"/>
          </w:tcPr>
          <w:p w14:paraId="52991F11"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Onzième réunion du Groupe de travail spécial à composition non limitée sur l’article 8 j) et les dispositions connexes de la Convention sur la diversité biologique (WG8 j))</w:t>
            </w:r>
          </w:p>
        </w:tc>
        <w:tc>
          <w:tcPr>
            <w:tcW w:w="3063" w:type="dxa"/>
            <w:tcBorders>
              <w:bottom w:val="single" w:sz="4" w:space="0" w:color="auto"/>
            </w:tcBorders>
            <w:shd w:val="clear" w:color="auto" w:fill="FFFFFF" w:themeFill="background1"/>
          </w:tcPr>
          <w:p w14:paraId="5749BEE5"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Connaissances traditionnelles, innovations et pratiques</w:t>
            </w:r>
          </w:p>
        </w:tc>
        <w:tc>
          <w:tcPr>
            <w:tcW w:w="1318" w:type="dxa"/>
            <w:tcBorders>
              <w:bottom w:val="single" w:sz="4" w:space="0" w:color="auto"/>
            </w:tcBorders>
            <w:shd w:val="clear" w:color="auto" w:fill="FFFFFF" w:themeFill="background1"/>
          </w:tcPr>
          <w:p w14:paraId="432D2A5D"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Décision 14/34</w:t>
            </w:r>
          </w:p>
        </w:tc>
        <w:tc>
          <w:tcPr>
            <w:tcW w:w="3701" w:type="dxa"/>
            <w:tcBorders>
              <w:bottom w:val="single" w:sz="4" w:space="0" w:color="auto"/>
            </w:tcBorders>
            <w:shd w:val="clear" w:color="auto" w:fill="FFFFFF" w:themeFill="background1"/>
          </w:tcPr>
          <w:p w14:paraId="36BEFD1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Le Groupe de travail spécial à composition non limitée sur l’article 8 j) et les dispositions connexes fournit des recommandations concernant le rôle potentiel des connaissances traditionnelles, de l’utilisation coutumière durable et de la contribution des actions collectives des peuples autochtones et des communautés locales au cadre mondial de la biodiversité pour l’après</w:t>
            </w:r>
            <w:r w:rsidRPr="00797296">
              <w:rPr>
                <w:rFonts w:ascii="Times New Roman" w:hAnsi="Times New Roman" w:cs="Times New Roman"/>
                <w:iCs/>
                <w:snapToGrid w:val="0"/>
                <w:color w:val="000000" w:themeColor="text1"/>
                <w:kern w:val="22"/>
                <w:szCs w:val="22"/>
                <w:lang w:val="fr-CA"/>
              </w:rPr>
              <w:noBreakHyphen/>
              <w:t>2020</w:t>
            </w:r>
          </w:p>
        </w:tc>
        <w:tc>
          <w:tcPr>
            <w:tcW w:w="1895" w:type="dxa"/>
            <w:vMerge w:val="restart"/>
            <w:shd w:val="clear" w:color="auto" w:fill="FFFFFF" w:themeFill="background1"/>
          </w:tcPr>
          <w:p w14:paraId="580023E3"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Réunion intergouvernementale</w:t>
            </w:r>
          </w:p>
          <w:p w14:paraId="186D8EB7" w14:textId="77777777" w:rsidR="00C6326D" w:rsidRPr="00797296" w:rsidRDefault="00C6326D" w:rsidP="00746773">
            <w:pPr>
              <w:spacing w:before="40" w:after="40"/>
              <w:jc w:val="left"/>
              <w:rPr>
                <w:rFonts w:ascii="Times New Roman" w:hAnsi="Times New Roman" w:cs="Times New Roman"/>
                <w:bCs/>
                <w:color w:val="000000" w:themeColor="text1"/>
                <w:kern w:val="22"/>
                <w:szCs w:val="22"/>
                <w:shd w:val="clear" w:color="auto" w:fill="FFFFFF"/>
                <w:lang w:val="fr-CA"/>
              </w:rPr>
            </w:pPr>
            <w:r w:rsidRPr="00797296">
              <w:rPr>
                <w:rFonts w:ascii="Times New Roman" w:hAnsi="Times New Roman" w:cs="Times New Roman"/>
                <w:color w:val="000000" w:themeColor="text1"/>
                <w:kern w:val="22"/>
                <w:szCs w:val="22"/>
                <w:lang w:val="fr-CA"/>
              </w:rPr>
              <w:t>1</w:t>
            </w:r>
          </w:p>
        </w:tc>
      </w:tr>
      <w:tr w:rsidR="00C6326D" w:rsidRPr="00957249" w14:paraId="72AA881C" w14:textId="77777777" w:rsidTr="00C6326D">
        <w:trPr>
          <w:cantSplit/>
          <w:trHeight w:val="2667"/>
          <w:jc w:val="center"/>
        </w:trPr>
        <w:tc>
          <w:tcPr>
            <w:tcW w:w="2187" w:type="dxa"/>
            <w:vMerge/>
            <w:tcBorders>
              <w:bottom w:val="single" w:sz="4" w:space="0" w:color="auto"/>
            </w:tcBorders>
            <w:shd w:val="clear" w:color="auto" w:fill="FFFFFF" w:themeFill="background1"/>
          </w:tcPr>
          <w:p w14:paraId="6E16F6BC" w14:textId="77777777" w:rsidR="00C6326D" w:rsidRPr="00797296" w:rsidRDefault="00C6326D" w:rsidP="00746773">
            <w:pPr>
              <w:spacing w:before="40" w:after="40"/>
              <w:jc w:val="left"/>
              <w:rPr>
                <w:rFonts w:ascii="Times New Roman" w:hAnsi="Times New Roman" w:cs="Times New Roman"/>
                <w:color w:val="000000" w:themeColor="text1"/>
                <w:kern w:val="22"/>
                <w:szCs w:val="22"/>
                <w:shd w:val="clear" w:color="auto" w:fill="FFFFFF"/>
                <w:lang w:val="fr-CA"/>
              </w:rPr>
            </w:pPr>
          </w:p>
        </w:tc>
        <w:tc>
          <w:tcPr>
            <w:tcW w:w="2191" w:type="dxa"/>
            <w:vMerge/>
            <w:tcBorders>
              <w:bottom w:val="single" w:sz="4" w:space="0" w:color="auto"/>
            </w:tcBorders>
            <w:shd w:val="clear" w:color="auto" w:fill="FFFFFF" w:themeFill="background1"/>
          </w:tcPr>
          <w:p w14:paraId="02048449" w14:textId="77777777" w:rsidR="00C6326D" w:rsidRPr="00797296" w:rsidRDefault="00C6326D" w:rsidP="00746773">
            <w:pPr>
              <w:spacing w:before="40" w:after="40"/>
              <w:jc w:val="left"/>
              <w:rPr>
                <w:rFonts w:ascii="Times New Roman" w:hAnsi="Times New Roman" w:cs="Times New Roman"/>
                <w:bCs/>
                <w:color w:val="000000" w:themeColor="text1"/>
                <w:kern w:val="22"/>
                <w:szCs w:val="22"/>
                <w:shd w:val="clear" w:color="auto" w:fill="FFFFFF"/>
                <w:lang w:val="fr-CA"/>
              </w:rPr>
            </w:pPr>
          </w:p>
        </w:tc>
        <w:tc>
          <w:tcPr>
            <w:tcW w:w="3063" w:type="dxa"/>
            <w:tcBorders>
              <w:bottom w:val="single" w:sz="4" w:space="0" w:color="auto"/>
            </w:tcBorders>
            <w:shd w:val="clear" w:color="auto" w:fill="FFFFFF" w:themeFill="background1"/>
          </w:tcPr>
          <w:p w14:paraId="02538CE9" w14:textId="77777777" w:rsidR="00C6326D" w:rsidRPr="00797296" w:rsidRDefault="00C6326D" w:rsidP="00746773">
            <w:pPr>
              <w:spacing w:before="40" w:after="40"/>
              <w:jc w:val="left"/>
              <w:rPr>
                <w:rFonts w:ascii="Times New Roman" w:hAnsi="Times New Roman" w:cs="Times New Roman"/>
                <w:snapToGrid w:val="0"/>
                <w:color w:val="000000" w:themeColor="text1"/>
                <w:kern w:val="22"/>
                <w:szCs w:val="22"/>
                <w:lang w:val="fr-CA"/>
              </w:rPr>
            </w:pPr>
            <w:r w:rsidRPr="00797296">
              <w:rPr>
                <w:rFonts w:ascii="Times New Roman" w:hAnsi="Times New Roman" w:cs="Times New Roman"/>
                <w:snapToGrid w:val="0"/>
                <w:color w:val="000000" w:themeColor="text1"/>
                <w:kern w:val="22"/>
                <w:szCs w:val="22"/>
                <w:lang w:val="fr-CA"/>
              </w:rPr>
              <w:t>Demandes issues de la première réunion du Groupe de travail</w:t>
            </w:r>
          </w:p>
        </w:tc>
        <w:tc>
          <w:tcPr>
            <w:tcW w:w="1318" w:type="dxa"/>
            <w:tcBorders>
              <w:bottom w:val="single" w:sz="4" w:space="0" w:color="auto"/>
            </w:tcBorders>
            <w:shd w:val="clear" w:color="auto" w:fill="FFFFFF" w:themeFill="background1"/>
          </w:tcPr>
          <w:p w14:paraId="5A517673" w14:textId="77777777" w:rsidR="00C6326D" w:rsidRPr="00797296" w:rsidRDefault="00C6326D" w:rsidP="00746773">
            <w:pPr>
              <w:spacing w:before="40" w:after="40"/>
              <w:jc w:val="left"/>
              <w:rPr>
                <w:rFonts w:ascii="Times New Roman" w:hAnsi="Times New Roman" w:cs="Times New Roman"/>
                <w:snapToGrid w:val="0"/>
                <w:color w:val="000000" w:themeColor="text1"/>
                <w:kern w:val="22"/>
                <w:szCs w:val="22"/>
                <w:lang w:val="fr-CA"/>
              </w:rPr>
            </w:pPr>
          </w:p>
        </w:tc>
        <w:tc>
          <w:tcPr>
            <w:tcW w:w="3701" w:type="dxa"/>
            <w:tcBorders>
              <w:bottom w:val="single" w:sz="4" w:space="0" w:color="auto"/>
            </w:tcBorders>
            <w:shd w:val="clear" w:color="auto" w:fill="FFFFFF" w:themeFill="background1"/>
          </w:tcPr>
          <w:p w14:paraId="023A0646" w14:textId="77777777" w:rsidR="00C6326D" w:rsidRPr="00797296" w:rsidRDefault="00C6326D" w:rsidP="00746773">
            <w:pPr>
              <w:spacing w:before="40" w:after="40"/>
              <w:jc w:val="left"/>
              <w:rPr>
                <w:rFonts w:ascii="Times New Roman" w:hAnsi="Times New Roman" w:cs="Times New Roman"/>
                <w:snapToGrid w:val="0"/>
                <w:color w:val="000000" w:themeColor="text1"/>
                <w:kern w:val="22"/>
                <w:szCs w:val="22"/>
                <w:lang w:val="fr-CA"/>
              </w:rPr>
            </w:pPr>
            <w:r w:rsidRPr="00797296">
              <w:rPr>
                <w:rFonts w:ascii="Times New Roman" w:hAnsi="Times New Roman" w:cs="Times New Roman"/>
                <w:snapToGrid w:val="0"/>
                <w:color w:val="000000" w:themeColor="text1"/>
                <w:kern w:val="22"/>
                <w:szCs w:val="22"/>
                <w:lang w:val="fr-CA"/>
              </w:rPr>
              <w:t>Le Groupe de travail sur l’article 8 J) et les dispositions connexes étudiera toute demande supplémentaire émanant de la première réunion du Groupe de travail et fournira sa recommandation à la deuxième réunion du Groupe de travail</w:t>
            </w:r>
          </w:p>
        </w:tc>
        <w:tc>
          <w:tcPr>
            <w:tcW w:w="1895" w:type="dxa"/>
            <w:vMerge/>
            <w:tcBorders>
              <w:bottom w:val="single" w:sz="4" w:space="0" w:color="auto"/>
            </w:tcBorders>
            <w:shd w:val="clear" w:color="auto" w:fill="FFFFFF" w:themeFill="background1"/>
          </w:tcPr>
          <w:p w14:paraId="070F57DE" w14:textId="77777777" w:rsidR="00C6326D" w:rsidRPr="00797296" w:rsidRDefault="00C6326D" w:rsidP="00746773">
            <w:pPr>
              <w:spacing w:before="40" w:after="40"/>
              <w:jc w:val="left"/>
              <w:rPr>
                <w:rFonts w:ascii="Times New Roman" w:hAnsi="Times New Roman" w:cs="Times New Roman"/>
                <w:bCs/>
                <w:color w:val="000000" w:themeColor="text1"/>
                <w:kern w:val="22"/>
                <w:szCs w:val="22"/>
                <w:shd w:val="clear" w:color="auto" w:fill="FFFFFF"/>
                <w:lang w:val="fr-CA"/>
              </w:rPr>
            </w:pPr>
          </w:p>
        </w:tc>
      </w:tr>
      <w:tr w:rsidR="00797296" w:rsidRPr="00797296" w14:paraId="12AB592C" w14:textId="77777777" w:rsidTr="00C6326D">
        <w:trPr>
          <w:cantSplit/>
          <w:jc w:val="center"/>
        </w:trPr>
        <w:tc>
          <w:tcPr>
            <w:tcW w:w="2187" w:type="dxa"/>
            <w:vMerge w:val="restart"/>
            <w:shd w:val="clear" w:color="auto" w:fill="FFFFFF" w:themeFill="background1"/>
          </w:tcPr>
          <w:p w14:paraId="13348E4E"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lastRenderedPageBreak/>
              <w:t>25</w:t>
            </w:r>
            <w:r w:rsidRPr="00797296">
              <w:rPr>
                <w:rFonts w:ascii="Times New Roman" w:hAnsi="Times New Roman" w:cs="Times New Roman"/>
                <w:color w:val="000000" w:themeColor="text1"/>
                <w:kern w:val="22"/>
                <w:szCs w:val="22"/>
                <w:lang w:val="fr-CA"/>
              </w:rPr>
              <w:noBreakHyphen/>
              <w:t>29 novembre 2019, Montréal, Canada</w:t>
            </w:r>
          </w:p>
        </w:tc>
        <w:tc>
          <w:tcPr>
            <w:tcW w:w="2191" w:type="dxa"/>
            <w:vMerge w:val="restart"/>
            <w:shd w:val="clear" w:color="auto" w:fill="FFFFFF" w:themeFill="background1"/>
          </w:tcPr>
          <w:p w14:paraId="6243FF81"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Vingt</w:t>
            </w:r>
            <w:r w:rsidRPr="00797296">
              <w:rPr>
                <w:rFonts w:ascii="Times New Roman" w:hAnsi="Times New Roman" w:cs="Times New Roman"/>
                <w:color w:val="000000" w:themeColor="text1"/>
                <w:kern w:val="22"/>
                <w:szCs w:val="22"/>
                <w:lang w:val="fr-CA"/>
              </w:rPr>
              <w:noBreakHyphen/>
              <w:t>troisième réunion de l’Organe subsidiaire chargé de fournir des avis scientifiques, techniques et technologiques (SBSTTA</w:t>
            </w:r>
            <w:r w:rsidRPr="00797296">
              <w:rPr>
                <w:rFonts w:ascii="Times New Roman" w:hAnsi="Times New Roman" w:cs="Times New Roman"/>
                <w:color w:val="000000" w:themeColor="text1"/>
                <w:kern w:val="22"/>
                <w:szCs w:val="22"/>
                <w:lang w:val="fr-CA"/>
              </w:rPr>
              <w:noBreakHyphen/>
              <w:t>23)</w:t>
            </w:r>
          </w:p>
        </w:tc>
        <w:tc>
          <w:tcPr>
            <w:tcW w:w="3063" w:type="dxa"/>
            <w:tcBorders>
              <w:bottom w:val="single" w:sz="4" w:space="0" w:color="auto"/>
            </w:tcBorders>
            <w:shd w:val="clear" w:color="auto" w:fill="FFFFFF" w:themeFill="background1"/>
          </w:tcPr>
          <w:p w14:paraId="65ADE86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Base et preuve scientifiques</w:t>
            </w:r>
          </w:p>
        </w:tc>
        <w:tc>
          <w:tcPr>
            <w:tcW w:w="1318" w:type="dxa"/>
            <w:tcBorders>
              <w:bottom w:val="single" w:sz="4" w:space="0" w:color="auto"/>
            </w:tcBorders>
            <w:shd w:val="clear" w:color="auto" w:fill="FFFFFF" w:themeFill="background1"/>
          </w:tcPr>
          <w:p w14:paraId="5BB9B0E0"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 xml:space="preserve">Décision </w:t>
            </w:r>
            <w:hyperlink r:id="rId22" w:history="1">
              <w:r w:rsidRPr="00797296">
                <w:rPr>
                  <w:rStyle w:val="Hyperlink"/>
                  <w:rFonts w:ascii="Times New Roman" w:hAnsi="Times New Roman" w:cs="Times New Roman"/>
                  <w:color w:val="000000" w:themeColor="text1"/>
                  <w:kern w:val="22"/>
                  <w:sz w:val="22"/>
                  <w:szCs w:val="22"/>
                  <w:u w:val="none"/>
                  <w:lang w:val="fr-CA"/>
                </w:rPr>
                <w:t>14/35</w:t>
              </w:r>
            </w:hyperlink>
          </w:p>
        </w:tc>
        <w:tc>
          <w:tcPr>
            <w:tcW w:w="3701" w:type="dxa"/>
            <w:tcBorders>
              <w:bottom w:val="single" w:sz="4" w:space="0" w:color="auto"/>
            </w:tcBorders>
            <w:shd w:val="clear" w:color="auto" w:fill="FFFFFF" w:themeFill="background1"/>
          </w:tcPr>
          <w:p w14:paraId="7DC36C12"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 xml:space="preserve">Les progrès accomplis dans la préparation de la cinquième édition des </w:t>
            </w:r>
            <w:r w:rsidRPr="00797296">
              <w:rPr>
                <w:rFonts w:ascii="Times New Roman" w:hAnsi="Times New Roman" w:cs="Times New Roman"/>
                <w:i/>
                <w:color w:val="000000" w:themeColor="text1"/>
                <w:kern w:val="22"/>
                <w:szCs w:val="22"/>
                <w:lang w:val="fr-CA"/>
              </w:rPr>
              <w:t>Perspectives mondiales de la diversité biologique</w:t>
            </w:r>
            <w:r w:rsidRPr="00797296">
              <w:rPr>
                <w:rFonts w:ascii="Times New Roman" w:hAnsi="Times New Roman" w:cs="Times New Roman"/>
                <w:color w:val="000000" w:themeColor="text1"/>
                <w:kern w:val="22"/>
                <w:szCs w:val="22"/>
                <w:lang w:val="fr-CA"/>
              </w:rPr>
              <w:t xml:space="preserve"> et ses ébauches de messages, ainsi que les conclusions des évaluations de l’IPBES seront examinés. L’Organe subsidiaire chargé de fournir des avis scientifiques, techniques et technologiques transmettra au Groupe de travail tout résultat ou toute conclusion de ses délibérations pouvant présenter un intérêt pour l’élaboration du cadre mondial de la biodiversité pour l’après</w:t>
            </w:r>
            <w:r w:rsidRPr="00797296">
              <w:rPr>
                <w:rFonts w:ascii="Times New Roman" w:hAnsi="Times New Roman" w:cs="Times New Roman"/>
                <w:color w:val="000000" w:themeColor="text1"/>
                <w:kern w:val="22"/>
                <w:szCs w:val="22"/>
                <w:lang w:val="fr-CA"/>
              </w:rPr>
              <w:noBreakHyphen/>
              <w:t>2020 aux fins d’examen par le Groupe de travail</w:t>
            </w:r>
          </w:p>
        </w:tc>
        <w:tc>
          <w:tcPr>
            <w:tcW w:w="1895" w:type="dxa"/>
            <w:vMerge w:val="restart"/>
            <w:shd w:val="clear" w:color="auto" w:fill="FFFFFF" w:themeFill="background1"/>
          </w:tcPr>
          <w:p w14:paraId="4D15E18E"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Réunion intergouvernementale</w:t>
            </w:r>
          </w:p>
          <w:p w14:paraId="5B7AD788"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1</w:t>
            </w:r>
          </w:p>
        </w:tc>
      </w:tr>
      <w:tr w:rsidR="00C6326D" w:rsidRPr="00957249" w14:paraId="677F0993" w14:textId="77777777" w:rsidTr="00C6326D">
        <w:trPr>
          <w:cantSplit/>
          <w:jc w:val="center"/>
        </w:trPr>
        <w:tc>
          <w:tcPr>
            <w:tcW w:w="2187" w:type="dxa"/>
            <w:vMerge/>
            <w:tcBorders>
              <w:bottom w:val="single" w:sz="4" w:space="0" w:color="auto"/>
            </w:tcBorders>
            <w:shd w:val="clear" w:color="auto" w:fill="FFFFFF" w:themeFill="background1"/>
          </w:tcPr>
          <w:p w14:paraId="52889B84"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tcBorders>
              <w:bottom w:val="single" w:sz="4" w:space="0" w:color="auto"/>
            </w:tcBorders>
            <w:shd w:val="clear" w:color="auto" w:fill="FFFFFF" w:themeFill="background1"/>
          </w:tcPr>
          <w:p w14:paraId="5DC2E913"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tcBorders>
              <w:bottom w:val="single" w:sz="4" w:space="0" w:color="auto"/>
            </w:tcBorders>
            <w:shd w:val="clear" w:color="auto" w:fill="FFFFFF" w:themeFill="background1"/>
          </w:tcPr>
          <w:p w14:paraId="19745ABE" w14:textId="77777777" w:rsidR="00C6326D" w:rsidRPr="00797296" w:rsidRDefault="00C6326D" w:rsidP="00746773">
            <w:pPr>
              <w:pStyle w:val="Para3"/>
              <w:numPr>
                <w:ilvl w:val="0"/>
                <w:numId w:val="0"/>
              </w:num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snapToGrid w:val="0"/>
                <w:color w:val="000000" w:themeColor="text1"/>
                <w:kern w:val="22"/>
                <w:szCs w:val="22"/>
                <w:lang w:val="fr-CA"/>
              </w:rPr>
              <w:t>Demandes issues de la première réunion du Groupe de travail</w:t>
            </w:r>
          </w:p>
        </w:tc>
        <w:tc>
          <w:tcPr>
            <w:tcW w:w="1318" w:type="dxa"/>
            <w:tcBorders>
              <w:bottom w:val="single" w:sz="4" w:space="0" w:color="auto"/>
            </w:tcBorders>
            <w:shd w:val="clear" w:color="auto" w:fill="FFFFFF" w:themeFill="background1"/>
          </w:tcPr>
          <w:p w14:paraId="1FC9E086"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c>
          <w:tcPr>
            <w:tcW w:w="3701" w:type="dxa"/>
            <w:tcBorders>
              <w:bottom w:val="single" w:sz="4" w:space="0" w:color="auto"/>
            </w:tcBorders>
            <w:shd w:val="clear" w:color="auto" w:fill="FFFFFF" w:themeFill="background1"/>
          </w:tcPr>
          <w:p w14:paraId="1EB742AF" w14:textId="77777777" w:rsidR="00C6326D" w:rsidRPr="00797296" w:rsidRDefault="00C6326D" w:rsidP="00746773">
            <w:pPr>
              <w:pStyle w:val="Para3"/>
              <w:numPr>
                <w:ilvl w:val="0"/>
                <w:numId w:val="0"/>
              </w:num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snapToGrid w:val="0"/>
                <w:color w:val="000000" w:themeColor="text1"/>
                <w:kern w:val="22"/>
                <w:szCs w:val="22"/>
                <w:lang w:val="fr-CA"/>
              </w:rPr>
              <w:t>L’Organe subsidiaire chargé de fournir des avis scientifiques, techniques et technologiques étudiera toute demande supplémentaire émanant de la première réunion du Groupe de travail et fournira sa recommandation à la deuxième réunion du Groupe de travail</w:t>
            </w:r>
            <w:r w:rsidRPr="00797296">
              <w:rPr>
                <w:rFonts w:ascii="Times New Roman" w:hAnsi="Times New Roman" w:cs="Times New Roman"/>
                <w:bCs/>
                <w:color w:val="000000" w:themeColor="text1"/>
                <w:kern w:val="22"/>
                <w:szCs w:val="22"/>
                <w:shd w:val="clear" w:color="auto" w:fill="FFFFFF"/>
                <w:lang w:val="fr-CA"/>
              </w:rPr>
              <w:t xml:space="preserve"> </w:t>
            </w:r>
          </w:p>
        </w:tc>
        <w:tc>
          <w:tcPr>
            <w:tcW w:w="1895" w:type="dxa"/>
            <w:vMerge/>
            <w:tcBorders>
              <w:bottom w:val="single" w:sz="4" w:space="0" w:color="auto"/>
            </w:tcBorders>
            <w:shd w:val="clear" w:color="auto" w:fill="FFFFFF" w:themeFill="background1"/>
          </w:tcPr>
          <w:p w14:paraId="7785EA6B"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r>
      <w:tr w:rsidR="00797296" w:rsidRPr="00797296" w14:paraId="2EF7E63B" w14:textId="77777777" w:rsidTr="00C6326D">
        <w:trPr>
          <w:cantSplit/>
          <w:jc w:val="center"/>
        </w:trPr>
        <w:tc>
          <w:tcPr>
            <w:tcW w:w="2187" w:type="dxa"/>
            <w:tcBorders>
              <w:bottom w:val="single" w:sz="4" w:space="0" w:color="auto"/>
            </w:tcBorders>
            <w:shd w:val="clear" w:color="auto" w:fill="FFFFFF" w:themeFill="background1"/>
          </w:tcPr>
          <w:p w14:paraId="0F9F2C3D"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24</w:t>
            </w:r>
            <w:r w:rsidRPr="00797296">
              <w:rPr>
                <w:rFonts w:ascii="Times New Roman" w:hAnsi="Times New Roman" w:cs="Times New Roman"/>
                <w:color w:val="000000" w:themeColor="text1"/>
                <w:kern w:val="22"/>
                <w:szCs w:val="22"/>
                <w:lang w:val="fr-CA"/>
              </w:rPr>
              <w:noBreakHyphen/>
              <w:t>28 février 2020, Kunming, Chine</w:t>
            </w:r>
          </w:p>
        </w:tc>
        <w:tc>
          <w:tcPr>
            <w:tcW w:w="2191" w:type="dxa"/>
            <w:tcBorders>
              <w:bottom w:val="single" w:sz="4" w:space="0" w:color="auto"/>
            </w:tcBorders>
            <w:shd w:val="clear" w:color="auto" w:fill="FFFFFF" w:themeFill="background1"/>
          </w:tcPr>
          <w:p w14:paraId="6870DFD9" w14:textId="3C5A8513"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 xml:space="preserve">Deuxième réunion du </w:t>
            </w:r>
            <w:r w:rsidR="00121F87">
              <w:rPr>
                <w:rFonts w:ascii="Times New Roman" w:hAnsi="Times New Roman" w:cs="Times New Roman"/>
                <w:color w:val="000000" w:themeColor="text1"/>
                <w:kern w:val="22"/>
                <w:szCs w:val="22"/>
                <w:lang w:val="fr-CA"/>
              </w:rPr>
              <w:t>G</w:t>
            </w:r>
            <w:r w:rsidRPr="00797296">
              <w:rPr>
                <w:rFonts w:ascii="Times New Roman" w:hAnsi="Times New Roman" w:cs="Times New Roman"/>
                <w:color w:val="000000" w:themeColor="text1"/>
                <w:kern w:val="22"/>
                <w:szCs w:val="22"/>
                <w:lang w:val="fr-CA"/>
              </w:rPr>
              <w:t>roupe de travail</w:t>
            </w:r>
          </w:p>
        </w:tc>
        <w:tc>
          <w:tcPr>
            <w:tcW w:w="3063" w:type="dxa"/>
            <w:tcBorders>
              <w:bottom w:val="single" w:sz="4" w:space="0" w:color="auto"/>
            </w:tcBorders>
            <w:shd w:val="clear" w:color="auto" w:fill="FFFFFF" w:themeFill="background1"/>
          </w:tcPr>
          <w:p w14:paraId="4D4870CE"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Champ d’application et contenu du cadre mondial de la biodiversité pour l’après</w:t>
            </w:r>
            <w:r w:rsidRPr="00797296">
              <w:rPr>
                <w:rFonts w:ascii="Times New Roman" w:hAnsi="Times New Roman" w:cs="Times New Roman"/>
                <w:color w:val="000000" w:themeColor="text1"/>
                <w:kern w:val="22"/>
                <w:szCs w:val="22"/>
                <w:lang w:val="fr-CA"/>
              </w:rPr>
              <w:noBreakHyphen/>
              <w:t>2020</w:t>
            </w:r>
          </w:p>
        </w:tc>
        <w:tc>
          <w:tcPr>
            <w:tcW w:w="1318" w:type="dxa"/>
            <w:tcBorders>
              <w:bottom w:val="single" w:sz="4" w:space="0" w:color="auto"/>
            </w:tcBorders>
            <w:shd w:val="clear" w:color="auto" w:fill="FFFFFF" w:themeFill="background1"/>
          </w:tcPr>
          <w:p w14:paraId="6F1C7B08"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color w:val="000000" w:themeColor="text1"/>
                <w:kern w:val="22"/>
                <w:szCs w:val="22"/>
                <w:lang w:val="fr-CA"/>
              </w:rPr>
              <w:t>Décision 14/34</w:t>
            </w:r>
          </w:p>
        </w:tc>
        <w:tc>
          <w:tcPr>
            <w:tcW w:w="3701" w:type="dxa"/>
            <w:tcBorders>
              <w:bottom w:val="single" w:sz="4" w:space="0" w:color="auto"/>
            </w:tcBorders>
            <w:shd w:val="clear" w:color="auto" w:fill="FFFFFF" w:themeFill="background1"/>
          </w:tcPr>
          <w:p w14:paraId="32A8C6D6"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Entreprendre l’élaboration d’un texte pour la négociation du cadre mondial de la biodiversité pour l’après-2020 à partir du texte préliminaire des coprésidents</w:t>
            </w:r>
          </w:p>
        </w:tc>
        <w:tc>
          <w:tcPr>
            <w:tcW w:w="1895" w:type="dxa"/>
            <w:tcBorders>
              <w:bottom w:val="single" w:sz="4" w:space="0" w:color="auto"/>
            </w:tcBorders>
            <w:shd w:val="clear" w:color="auto" w:fill="FFFFFF" w:themeFill="background1"/>
          </w:tcPr>
          <w:p w14:paraId="0FE0CCFF"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Réunion intergouvernementale</w:t>
            </w:r>
          </w:p>
          <w:p w14:paraId="3E25108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1</w:t>
            </w:r>
          </w:p>
        </w:tc>
      </w:tr>
      <w:tr w:rsidR="00797296" w:rsidRPr="00797296" w14:paraId="1090D1D4" w14:textId="77777777" w:rsidTr="00C6326D">
        <w:trPr>
          <w:cantSplit/>
          <w:jc w:val="center"/>
        </w:trPr>
        <w:tc>
          <w:tcPr>
            <w:tcW w:w="2187" w:type="dxa"/>
            <w:shd w:val="clear" w:color="auto" w:fill="FFFFFF" w:themeFill="background1"/>
          </w:tcPr>
          <w:p w14:paraId="77484171"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r w:rsidRPr="00797296">
              <w:rPr>
                <w:rFonts w:ascii="Times New Roman" w:hAnsi="Times New Roman" w:cs="Times New Roman"/>
                <w:color w:val="000000" w:themeColor="text1"/>
                <w:kern w:val="22"/>
                <w:szCs w:val="22"/>
                <w:lang w:val="fr-CA"/>
              </w:rPr>
              <w:lastRenderedPageBreak/>
              <w:t>17</w:t>
            </w:r>
            <w:r w:rsidRPr="00797296">
              <w:rPr>
                <w:rFonts w:ascii="Times New Roman" w:hAnsi="Times New Roman" w:cs="Times New Roman"/>
                <w:color w:val="000000" w:themeColor="text1"/>
                <w:kern w:val="22"/>
                <w:szCs w:val="22"/>
                <w:lang w:val="fr-CA"/>
              </w:rPr>
              <w:noBreakHyphen/>
              <w:t>20 mars 2020, Montréal, Canada</w:t>
            </w:r>
          </w:p>
        </w:tc>
        <w:tc>
          <w:tcPr>
            <w:tcW w:w="2191" w:type="dxa"/>
            <w:shd w:val="clear" w:color="auto" w:fill="FFFFFF" w:themeFill="background1"/>
          </w:tcPr>
          <w:p w14:paraId="2A038E5A"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Groupe d’experts techniques sur le séquençage numérique</w:t>
            </w:r>
          </w:p>
        </w:tc>
        <w:tc>
          <w:tcPr>
            <w:tcW w:w="3063" w:type="dxa"/>
            <w:shd w:val="clear" w:color="auto" w:fill="FFFFFF" w:themeFill="background1"/>
          </w:tcPr>
          <w:p w14:paraId="6578E7BD"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Information de séquençage numérique</w:t>
            </w:r>
          </w:p>
        </w:tc>
        <w:tc>
          <w:tcPr>
            <w:tcW w:w="1318" w:type="dxa"/>
            <w:shd w:val="clear" w:color="auto" w:fill="FFFFFF" w:themeFill="background1"/>
          </w:tcPr>
          <w:p w14:paraId="6A5F1DB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 xml:space="preserve">Décision </w:t>
            </w:r>
            <w:hyperlink r:id="rId23" w:history="1">
              <w:r w:rsidRPr="00797296">
                <w:rPr>
                  <w:rStyle w:val="Hyperlink"/>
                  <w:rFonts w:ascii="Times New Roman" w:hAnsi="Times New Roman" w:cs="Times New Roman"/>
                  <w:iCs/>
                  <w:snapToGrid w:val="0"/>
                  <w:color w:val="000000" w:themeColor="text1"/>
                  <w:kern w:val="22"/>
                  <w:sz w:val="22"/>
                  <w:szCs w:val="22"/>
                  <w:u w:val="none"/>
                  <w:lang w:val="fr-CA"/>
                </w:rPr>
                <w:t>14/20</w:t>
              </w:r>
            </w:hyperlink>
          </w:p>
        </w:tc>
        <w:tc>
          <w:tcPr>
            <w:tcW w:w="3701" w:type="dxa"/>
            <w:shd w:val="clear" w:color="auto" w:fill="FFFFFF" w:themeFill="background1"/>
          </w:tcPr>
          <w:p w14:paraId="5E03F070" w14:textId="076E41D2"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Le Groupe spécial d’experts techniques élargi sur l’information de séquençage numérique effectue des recommandations sur le mode de traitement de l’information de séquençage numérique relative aux ressources génétiques dans le contexte du cadre mondial de la biodiversité pour l’après</w:t>
            </w:r>
            <w:r w:rsidRPr="00797296">
              <w:rPr>
                <w:rFonts w:ascii="Times New Roman" w:hAnsi="Times New Roman" w:cs="Times New Roman"/>
                <w:iCs/>
                <w:snapToGrid w:val="0"/>
                <w:color w:val="000000" w:themeColor="text1"/>
                <w:kern w:val="22"/>
                <w:szCs w:val="22"/>
                <w:lang w:val="fr-CA"/>
              </w:rPr>
              <w:noBreakHyphen/>
              <w:t>2020 à la troisième réunion du Groupe de travail</w:t>
            </w:r>
          </w:p>
        </w:tc>
        <w:tc>
          <w:tcPr>
            <w:tcW w:w="1895" w:type="dxa"/>
            <w:shd w:val="clear" w:color="auto" w:fill="FFFFFF" w:themeFill="background1"/>
          </w:tcPr>
          <w:p w14:paraId="582BD54C"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Comité</w:t>
            </w:r>
          </w:p>
          <w:p w14:paraId="24A2B1EF" w14:textId="77777777"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color w:val="000000" w:themeColor="text1"/>
                <w:kern w:val="22"/>
                <w:szCs w:val="22"/>
                <w:lang w:val="fr-CA"/>
              </w:rPr>
              <w:t>2</w:t>
            </w:r>
          </w:p>
        </w:tc>
      </w:tr>
      <w:tr w:rsidR="00797296" w:rsidRPr="00797296" w14:paraId="10187A3E" w14:textId="77777777" w:rsidTr="00C6326D">
        <w:trPr>
          <w:cantSplit/>
          <w:jc w:val="center"/>
        </w:trPr>
        <w:tc>
          <w:tcPr>
            <w:tcW w:w="2187" w:type="dxa"/>
            <w:tcBorders>
              <w:bottom w:val="single" w:sz="4" w:space="0" w:color="auto"/>
            </w:tcBorders>
            <w:shd w:val="clear" w:color="auto" w:fill="FFFFFF" w:themeFill="background1"/>
          </w:tcPr>
          <w:p w14:paraId="1ECE67BE"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21</w:t>
            </w:r>
            <w:r w:rsidRPr="00797296">
              <w:rPr>
                <w:rFonts w:ascii="Times New Roman" w:hAnsi="Times New Roman" w:cs="Times New Roman"/>
                <w:color w:val="000000" w:themeColor="text1"/>
                <w:kern w:val="22"/>
                <w:szCs w:val="22"/>
                <w:lang w:val="fr-CA"/>
              </w:rPr>
              <w:noBreakHyphen/>
              <w:t>23 avril 2020, Montréal, Canada</w:t>
            </w:r>
          </w:p>
        </w:tc>
        <w:tc>
          <w:tcPr>
            <w:tcW w:w="2191" w:type="dxa"/>
            <w:tcBorders>
              <w:bottom w:val="single" w:sz="4" w:space="0" w:color="auto"/>
            </w:tcBorders>
            <w:shd w:val="clear" w:color="auto" w:fill="FFFFFF" w:themeFill="background1"/>
          </w:tcPr>
          <w:p w14:paraId="6F6EA090"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Comité de conformité au titre du Protocole de Nagoya</w:t>
            </w:r>
          </w:p>
        </w:tc>
        <w:tc>
          <w:tcPr>
            <w:tcW w:w="3063" w:type="dxa"/>
            <w:tcBorders>
              <w:bottom w:val="single" w:sz="4" w:space="0" w:color="auto"/>
            </w:tcBorders>
            <w:shd w:val="clear" w:color="auto" w:fill="FFFFFF" w:themeFill="background1"/>
          </w:tcPr>
          <w:p w14:paraId="0212AB8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Protocole de Nagoya/</w:t>
            </w:r>
            <w:r w:rsidRPr="00797296">
              <w:rPr>
                <w:rFonts w:ascii="Times New Roman" w:hAnsi="Times New Roman" w:cs="Times New Roman"/>
                <w:color w:val="000000" w:themeColor="text1"/>
                <w:kern w:val="22"/>
                <w:szCs w:val="22"/>
                <w:lang w:val="fr-CA"/>
              </w:rPr>
              <w:br/>
              <w:t>Accès et partage des avantages</w:t>
            </w:r>
          </w:p>
        </w:tc>
        <w:tc>
          <w:tcPr>
            <w:tcW w:w="1318" w:type="dxa"/>
            <w:tcBorders>
              <w:bottom w:val="single" w:sz="4" w:space="0" w:color="auto"/>
            </w:tcBorders>
            <w:shd w:val="clear" w:color="auto" w:fill="FFFFFF" w:themeFill="background1"/>
          </w:tcPr>
          <w:p w14:paraId="214B0D39"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 xml:space="preserve">Décision </w:t>
            </w:r>
            <w:hyperlink r:id="rId24" w:history="1">
              <w:r w:rsidRPr="00797296">
                <w:rPr>
                  <w:rStyle w:val="Hyperlink"/>
                  <w:rFonts w:ascii="Times New Roman" w:hAnsi="Times New Roman" w:cs="Times New Roman"/>
                  <w:iCs/>
                  <w:snapToGrid w:val="0"/>
                  <w:color w:val="000000" w:themeColor="text1"/>
                  <w:kern w:val="22"/>
                  <w:sz w:val="22"/>
                  <w:szCs w:val="22"/>
                  <w:u w:val="none"/>
                  <w:lang w:val="fr-CA"/>
                </w:rPr>
                <w:t>NP</w:t>
              </w:r>
              <w:r w:rsidRPr="00797296">
                <w:rPr>
                  <w:rStyle w:val="Hyperlink"/>
                  <w:rFonts w:ascii="Times New Roman" w:hAnsi="Times New Roman" w:cs="Times New Roman"/>
                  <w:iCs/>
                  <w:snapToGrid w:val="0"/>
                  <w:color w:val="000000" w:themeColor="text1"/>
                  <w:kern w:val="22"/>
                  <w:sz w:val="22"/>
                  <w:szCs w:val="22"/>
                  <w:u w:val="none"/>
                  <w:lang w:val="fr-CA"/>
                </w:rPr>
                <w:noBreakHyphen/>
                <w:t>3/15</w:t>
              </w:r>
            </w:hyperlink>
          </w:p>
        </w:tc>
        <w:tc>
          <w:tcPr>
            <w:tcW w:w="3701" w:type="dxa"/>
            <w:tcBorders>
              <w:bottom w:val="single" w:sz="4" w:space="0" w:color="auto"/>
            </w:tcBorders>
            <w:shd w:val="clear" w:color="auto" w:fill="FFFFFF" w:themeFill="background1"/>
          </w:tcPr>
          <w:p w14:paraId="5746F982" w14:textId="5654DA6E"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Le Comité de conformité examine des moyens de soutenir et d’encourager l</w:t>
            </w:r>
            <w:r w:rsidR="00FA0573">
              <w:rPr>
                <w:rFonts w:ascii="Times New Roman" w:hAnsi="Times New Roman" w:cs="Times New Roman"/>
                <w:iCs/>
                <w:snapToGrid w:val="0"/>
                <w:color w:val="000000" w:themeColor="text1"/>
                <w:kern w:val="22"/>
                <w:szCs w:val="22"/>
                <w:lang w:val="fr-CA"/>
              </w:rPr>
              <w:t xml:space="preserve">e respect des dispositions </w:t>
            </w:r>
            <w:r w:rsidR="002D7787">
              <w:rPr>
                <w:rFonts w:ascii="Times New Roman" w:hAnsi="Times New Roman" w:cs="Times New Roman"/>
                <w:iCs/>
                <w:snapToGrid w:val="0"/>
                <w:color w:val="000000" w:themeColor="text1"/>
                <w:kern w:val="22"/>
                <w:szCs w:val="22"/>
                <w:lang w:val="fr-CA"/>
              </w:rPr>
              <w:t>d</w:t>
            </w:r>
            <w:r w:rsidRPr="00797296">
              <w:rPr>
                <w:rFonts w:ascii="Times New Roman" w:hAnsi="Times New Roman" w:cs="Times New Roman"/>
                <w:iCs/>
                <w:snapToGrid w:val="0"/>
                <w:color w:val="000000" w:themeColor="text1"/>
                <w:kern w:val="22"/>
                <w:szCs w:val="22"/>
                <w:lang w:val="fr-CA"/>
              </w:rPr>
              <w:t>u Protocole de Nagoya dans le contexte du cadre mondial de la biodiversité pour l’après</w:t>
            </w:r>
            <w:r w:rsidRPr="00797296">
              <w:rPr>
                <w:rFonts w:ascii="Times New Roman" w:hAnsi="Times New Roman" w:cs="Times New Roman"/>
                <w:iCs/>
                <w:snapToGrid w:val="0"/>
                <w:color w:val="000000" w:themeColor="text1"/>
                <w:kern w:val="22"/>
                <w:szCs w:val="22"/>
                <w:lang w:val="fr-CA"/>
              </w:rPr>
              <w:noBreakHyphen/>
              <w:t xml:space="preserve">2020. Le Comité </w:t>
            </w:r>
            <w:r w:rsidR="002D7787">
              <w:rPr>
                <w:rFonts w:ascii="Times New Roman" w:hAnsi="Times New Roman" w:cs="Times New Roman"/>
                <w:iCs/>
                <w:noProof/>
                <w:snapToGrid w:val="0"/>
                <w:color w:val="000000" w:themeColor="text1"/>
                <w:kern w:val="22"/>
                <w:szCs w:val="22"/>
                <w:lang w:val="fr-CA"/>
              </w:rPr>
              <w:t>pourrait formuler</w:t>
            </w:r>
            <w:r w:rsidRPr="00797296">
              <w:rPr>
                <w:rFonts w:ascii="Times New Roman" w:hAnsi="Times New Roman" w:cs="Times New Roman"/>
                <w:iCs/>
                <w:noProof/>
                <w:snapToGrid w:val="0"/>
                <w:color w:val="000000" w:themeColor="text1"/>
                <w:kern w:val="22"/>
                <w:szCs w:val="22"/>
                <w:lang w:val="fr-CA"/>
              </w:rPr>
              <w:t xml:space="preserve"> des</w:t>
            </w:r>
            <w:r w:rsidRPr="00797296">
              <w:rPr>
                <w:rFonts w:ascii="Times New Roman" w:hAnsi="Times New Roman" w:cs="Times New Roman"/>
                <w:iCs/>
                <w:snapToGrid w:val="0"/>
                <w:color w:val="000000" w:themeColor="text1"/>
                <w:kern w:val="22"/>
                <w:szCs w:val="22"/>
                <w:lang w:val="fr-CA"/>
              </w:rPr>
              <w:t xml:space="preserve"> recommandations à la troisième réunion du Groupe de travail.</w:t>
            </w:r>
          </w:p>
        </w:tc>
        <w:tc>
          <w:tcPr>
            <w:tcW w:w="1895" w:type="dxa"/>
            <w:tcBorders>
              <w:bottom w:val="single" w:sz="4" w:space="0" w:color="auto"/>
            </w:tcBorders>
            <w:shd w:val="clear" w:color="auto" w:fill="FFFFFF" w:themeFill="background1"/>
          </w:tcPr>
          <w:p w14:paraId="58DECABD"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Comité</w:t>
            </w:r>
          </w:p>
          <w:p w14:paraId="76149EAE"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color w:val="000000" w:themeColor="text1"/>
                <w:kern w:val="22"/>
                <w:szCs w:val="22"/>
                <w:lang w:val="fr-CA"/>
              </w:rPr>
              <w:t>2</w:t>
            </w:r>
          </w:p>
        </w:tc>
      </w:tr>
      <w:tr w:rsidR="00797296" w:rsidRPr="00797296" w14:paraId="6878A13A" w14:textId="77777777" w:rsidTr="00C6326D">
        <w:trPr>
          <w:cantSplit/>
          <w:jc w:val="center"/>
        </w:trPr>
        <w:tc>
          <w:tcPr>
            <w:tcW w:w="2187" w:type="dxa"/>
            <w:vMerge w:val="restart"/>
            <w:shd w:val="clear" w:color="auto" w:fill="FFFFFF" w:themeFill="background1"/>
          </w:tcPr>
          <w:p w14:paraId="161647E9"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18</w:t>
            </w:r>
            <w:r w:rsidRPr="00797296">
              <w:rPr>
                <w:rFonts w:ascii="Times New Roman" w:hAnsi="Times New Roman" w:cs="Times New Roman"/>
                <w:color w:val="000000" w:themeColor="text1"/>
                <w:kern w:val="22"/>
                <w:szCs w:val="22"/>
                <w:lang w:val="fr-CA"/>
              </w:rPr>
              <w:noBreakHyphen/>
              <w:t>23 mai 2020, Montréal, Canada</w:t>
            </w:r>
          </w:p>
        </w:tc>
        <w:tc>
          <w:tcPr>
            <w:tcW w:w="2191" w:type="dxa"/>
            <w:vMerge w:val="restart"/>
            <w:shd w:val="clear" w:color="auto" w:fill="FFFFFF" w:themeFill="background1"/>
          </w:tcPr>
          <w:p w14:paraId="6FD16FA3"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noProof/>
                <w:color w:val="000000" w:themeColor="text1"/>
                <w:kern w:val="22"/>
                <w:szCs w:val="22"/>
                <w:lang w:val="fr-CA"/>
              </w:rPr>
              <w:t>Vingt</w:t>
            </w:r>
            <w:r w:rsidRPr="00797296">
              <w:rPr>
                <w:rFonts w:ascii="Times New Roman" w:hAnsi="Times New Roman" w:cs="Times New Roman"/>
                <w:noProof/>
                <w:color w:val="000000" w:themeColor="text1"/>
                <w:kern w:val="22"/>
                <w:szCs w:val="22"/>
                <w:lang w:val="fr-CA"/>
              </w:rPr>
              <w:noBreakHyphen/>
              <w:t>quatrième réunion de l’Organe subsidiaire</w:t>
            </w:r>
            <w:r w:rsidRPr="00797296">
              <w:rPr>
                <w:rFonts w:ascii="Times New Roman" w:hAnsi="Times New Roman" w:cs="Times New Roman"/>
                <w:color w:val="000000" w:themeColor="text1"/>
                <w:kern w:val="22"/>
                <w:szCs w:val="22"/>
                <w:lang w:val="fr-CA"/>
              </w:rPr>
              <w:t xml:space="preserve"> chargé de fournir des avis scientifiques, techniques et technologiques (SBSTTA</w:t>
            </w:r>
            <w:r w:rsidRPr="00797296">
              <w:rPr>
                <w:rFonts w:ascii="Times New Roman" w:hAnsi="Times New Roman" w:cs="Times New Roman"/>
                <w:color w:val="000000" w:themeColor="text1"/>
                <w:kern w:val="22"/>
                <w:szCs w:val="22"/>
                <w:lang w:val="fr-CA"/>
              </w:rPr>
              <w:noBreakHyphen/>
              <w:t>24)</w:t>
            </w:r>
          </w:p>
        </w:tc>
        <w:tc>
          <w:tcPr>
            <w:tcW w:w="3063" w:type="dxa"/>
            <w:shd w:val="clear" w:color="auto" w:fill="FFFFFF" w:themeFill="background1"/>
          </w:tcPr>
          <w:p w14:paraId="50B4B0AE" w14:textId="70BE62A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 xml:space="preserve">Validation des objectifs, </w:t>
            </w:r>
            <w:r w:rsidR="000C63A6">
              <w:rPr>
                <w:rFonts w:ascii="Times New Roman" w:hAnsi="Times New Roman" w:cs="Times New Roman"/>
                <w:color w:val="000000" w:themeColor="text1"/>
                <w:kern w:val="22"/>
                <w:szCs w:val="22"/>
                <w:lang w:val="fr-CA"/>
              </w:rPr>
              <w:t>cibles</w:t>
            </w:r>
            <w:r w:rsidRPr="00797296">
              <w:rPr>
                <w:rFonts w:ascii="Times New Roman" w:hAnsi="Times New Roman" w:cs="Times New Roman"/>
                <w:color w:val="000000" w:themeColor="text1"/>
                <w:kern w:val="22"/>
                <w:szCs w:val="22"/>
                <w:lang w:val="fr-CA"/>
              </w:rPr>
              <w:t>, indicateurs, valeurs de référence et cadre de suivi</w:t>
            </w:r>
          </w:p>
        </w:tc>
        <w:tc>
          <w:tcPr>
            <w:tcW w:w="1318" w:type="dxa"/>
            <w:shd w:val="clear" w:color="auto" w:fill="FFFFFF" w:themeFill="background1"/>
          </w:tcPr>
          <w:p w14:paraId="3EEAF5C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 xml:space="preserve">Décision </w:t>
            </w:r>
            <w:hyperlink r:id="rId25" w:history="1">
              <w:r w:rsidRPr="00797296">
                <w:rPr>
                  <w:rStyle w:val="Hyperlink"/>
                  <w:rFonts w:ascii="Times New Roman" w:hAnsi="Times New Roman" w:cs="Times New Roman"/>
                  <w:color w:val="000000" w:themeColor="text1"/>
                  <w:kern w:val="22"/>
                  <w:sz w:val="22"/>
                  <w:szCs w:val="22"/>
                  <w:u w:val="none"/>
                  <w:lang w:val="fr-CA"/>
                </w:rPr>
                <w:t>14/35</w:t>
              </w:r>
            </w:hyperlink>
          </w:p>
        </w:tc>
        <w:tc>
          <w:tcPr>
            <w:tcW w:w="3701" w:type="dxa"/>
            <w:shd w:val="clear" w:color="auto" w:fill="FFFFFF" w:themeFill="background1"/>
          </w:tcPr>
          <w:p w14:paraId="56E3A2B7" w14:textId="46DD9160"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 xml:space="preserve">L’Organe subsidiaire chargé de fournir des avis scientifiques, techniques et technologiques examinera les résultats des première et deuxième réunions du Groupe de travail et, sur cette base, </w:t>
            </w:r>
            <w:r w:rsidR="002D7787">
              <w:rPr>
                <w:rFonts w:ascii="Times New Roman" w:hAnsi="Times New Roman" w:cs="Times New Roman"/>
                <w:color w:val="000000" w:themeColor="text1"/>
                <w:kern w:val="22"/>
                <w:szCs w:val="22"/>
                <w:lang w:val="fr-CA"/>
              </w:rPr>
              <w:t xml:space="preserve">formulera </w:t>
            </w:r>
            <w:r w:rsidRPr="00797296">
              <w:rPr>
                <w:rFonts w:ascii="Times New Roman" w:hAnsi="Times New Roman" w:cs="Times New Roman"/>
                <w:color w:val="000000" w:themeColor="text1"/>
                <w:kern w:val="22"/>
                <w:szCs w:val="22"/>
                <w:lang w:val="fr-CA"/>
              </w:rPr>
              <w:t>des recommandations concernant les éléments scientifiques et techniques du cadre mondial de la biodiversité pour l’après</w:t>
            </w:r>
            <w:r w:rsidRPr="00797296">
              <w:rPr>
                <w:rFonts w:ascii="Times New Roman" w:hAnsi="Times New Roman" w:cs="Times New Roman"/>
                <w:color w:val="000000" w:themeColor="text1"/>
                <w:kern w:val="22"/>
                <w:szCs w:val="22"/>
                <w:lang w:val="fr-CA"/>
              </w:rPr>
              <w:noBreakHyphen/>
              <w:t>2020 à la troisième réunion du Groupe de travail</w:t>
            </w:r>
          </w:p>
        </w:tc>
        <w:tc>
          <w:tcPr>
            <w:tcW w:w="1895" w:type="dxa"/>
            <w:vMerge w:val="restart"/>
            <w:shd w:val="clear" w:color="auto" w:fill="FFFFFF" w:themeFill="background1"/>
          </w:tcPr>
          <w:p w14:paraId="75E634FF"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Réunion intergouvernementale</w:t>
            </w:r>
          </w:p>
          <w:p w14:paraId="1B8C17C5"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1</w:t>
            </w:r>
          </w:p>
        </w:tc>
      </w:tr>
      <w:tr w:rsidR="00797296" w:rsidRPr="00957249" w14:paraId="0B6B7126" w14:textId="77777777" w:rsidTr="00C6326D">
        <w:trPr>
          <w:cantSplit/>
          <w:jc w:val="center"/>
        </w:trPr>
        <w:tc>
          <w:tcPr>
            <w:tcW w:w="2187" w:type="dxa"/>
            <w:vMerge/>
            <w:shd w:val="clear" w:color="auto" w:fill="FFFFFF" w:themeFill="background1"/>
          </w:tcPr>
          <w:p w14:paraId="76CE24E7"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shd w:val="clear" w:color="auto" w:fill="FFFFFF" w:themeFill="background1"/>
          </w:tcPr>
          <w:p w14:paraId="5D6AB544"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shd w:val="clear" w:color="auto" w:fill="FFFFFF" w:themeFill="background1"/>
          </w:tcPr>
          <w:p w14:paraId="61B8DB93" w14:textId="77777777" w:rsidR="00C6326D" w:rsidRPr="00797296" w:rsidRDefault="00C6326D" w:rsidP="00746773">
            <w:pPr>
              <w:pStyle w:val="Para10"/>
              <w:numPr>
                <w:ilvl w:val="0"/>
                <w:numId w:val="0"/>
              </w:numPr>
              <w:spacing w:before="40" w:after="40"/>
              <w:jc w:val="left"/>
              <w:rPr>
                <w:rFonts w:ascii="Times New Roman" w:eastAsia="Malgun Gothic"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Demandes issues des réunions du Groupe de travail</w:t>
            </w:r>
          </w:p>
        </w:tc>
        <w:tc>
          <w:tcPr>
            <w:tcW w:w="1318" w:type="dxa"/>
            <w:shd w:val="clear" w:color="auto" w:fill="FFFFFF" w:themeFill="background1"/>
          </w:tcPr>
          <w:p w14:paraId="0BCC897F" w14:textId="77777777" w:rsidR="00C6326D" w:rsidRPr="00797296" w:rsidRDefault="00C6326D" w:rsidP="00746773">
            <w:pPr>
              <w:spacing w:before="40" w:after="40"/>
              <w:jc w:val="left"/>
              <w:rPr>
                <w:rFonts w:ascii="Times New Roman" w:eastAsia="Malgun Gothic" w:hAnsi="Times New Roman" w:cs="Times New Roman"/>
                <w:color w:val="000000" w:themeColor="text1"/>
                <w:kern w:val="22"/>
                <w:szCs w:val="22"/>
                <w:lang w:val="fr-CA"/>
              </w:rPr>
            </w:pPr>
          </w:p>
        </w:tc>
        <w:tc>
          <w:tcPr>
            <w:tcW w:w="3701" w:type="dxa"/>
            <w:shd w:val="clear" w:color="auto" w:fill="FFFFFF" w:themeFill="background1"/>
          </w:tcPr>
          <w:p w14:paraId="40C3809D" w14:textId="77777777" w:rsidR="00C6326D" w:rsidRPr="00797296" w:rsidRDefault="00C6326D" w:rsidP="00746773">
            <w:pPr>
              <w:pStyle w:val="Para10"/>
              <w:numPr>
                <w:ilvl w:val="0"/>
                <w:numId w:val="0"/>
              </w:num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L’Organe subsidiaire chargé de fournir des avis scientifiques, techniques et technologiques étudiera toute demande supplémentaire émanant des première et deuxième réunions du Groupe de travail et fournira sa recommandation à la troisième réunion du Groupe de travail</w:t>
            </w:r>
          </w:p>
        </w:tc>
        <w:tc>
          <w:tcPr>
            <w:tcW w:w="1895" w:type="dxa"/>
            <w:vMerge/>
            <w:shd w:val="clear" w:color="auto" w:fill="FFFFFF" w:themeFill="background1"/>
          </w:tcPr>
          <w:p w14:paraId="2729D8B5"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r>
      <w:tr w:rsidR="00797296" w:rsidRPr="00797296" w14:paraId="1822F21B" w14:textId="77777777" w:rsidTr="00C6326D">
        <w:trPr>
          <w:cantSplit/>
          <w:jc w:val="center"/>
        </w:trPr>
        <w:tc>
          <w:tcPr>
            <w:tcW w:w="2187" w:type="dxa"/>
            <w:vMerge w:val="restart"/>
            <w:shd w:val="clear" w:color="auto" w:fill="FFFFFF" w:themeFill="background1"/>
          </w:tcPr>
          <w:p w14:paraId="33E066AB"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25</w:t>
            </w:r>
            <w:r w:rsidRPr="00797296">
              <w:rPr>
                <w:rFonts w:ascii="Times New Roman" w:hAnsi="Times New Roman" w:cs="Times New Roman"/>
                <w:color w:val="000000" w:themeColor="text1"/>
                <w:kern w:val="22"/>
                <w:szCs w:val="22"/>
                <w:lang w:val="fr-CA"/>
              </w:rPr>
              <w:noBreakHyphen/>
              <w:t>30 mai 2020, Montréal, Canada</w:t>
            </w:r>
          </w:p>
        </w:tc>
        <w:tc>
          <w:tcPr>
            <w:tcW w:w="2191" w:type="dxa"/>
            <w:vMerge w:val="restart"/>
            <w:shd w:val="clear" w:color="auto" w:fill="FFFFFF" w:themeFill="background1"/>
          </w:tcPr>
          <w:p w14:paraId="42CF79E0"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Troisième réunion de l’Organe subsidiaire chargé de l’application (SBI</w:t>
            </w:r>
            <w:r w:rsidRPr="00797296">
              <w:rPr>
                <w:rFonts w:ascii="Times New Roman" w:hAnsi="Times New Roman" w:cs="Times New Roman"/>
                <w:color w:val="000000" w:themeColor="text1"/>
                <w:kern w:val="22"/>
                <w:szCs w:val="22"/>
                <w:lang w:val="fr-CA"/>
              </w:rPr>
              <w:noBreakHyphen/>
              <w:t>3)</w:t>
            </w:r>
          </w:p>
        </w:tc>
        <w:tc>
          <w:tcPr>
            <w:tcW w:w="3063" w:type="dxa"/>
            <w:tcBorders>
              <w:bottom w:val="single" w:sz="4" w:space="0" w:color="auto"/>
            </w:tcBorders>
            <w:shd w:val="clear" w:color="auto" w:fill="FFFFFF" w:themeFill="background1"/>
          </w:tcPr>
          <w:p w14:paraId="2C83525B"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Mobilisation des ressources</w:t>
            </w:r>
          </w:p>
        </w:tc>
        <w:tc>
          <w:tcPr>
            <w:tcW w:w="1318" w:type="dxa"/>
            <w:tcBorders>
              <w:bottom w:val="single" w:sz="4" w:space="0" w:color="auto"/>
            </w:tcBorders>
            <w:shd w:val="clear" w:color="auto" w:fill="FFFFFF" w:themeFill="background1"/>
          </w:tcPr>
          <w:p w14:paraId="44FB2794"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 xml:space="preserve">Décision </w:t>
            </w:r>
            <w:hyperlink r:id="rId26" w:history="1">
              <w:r w:rsidRPr="00797296">
                <w:rPr>
                  <w:rStyle w:val="Hyperlink"/>
                  <w:rFonts w:ascii="Times New Roman" w:hAnsi="Times New Roman" w:cs="Times New Roman"/>
                  <w:iCs/>
                  <w:snapToGrid w:val="0"/>
                  <w:color w:val="000000" w:themeColor="text1"/>
                  <w:kern w:val="22"/>
                  <w:sz w:val="22"/>
                  <w:szCs w:val="22"/>
                  <w:u w:val="none"/>
                  <w:lang w:val="fr-CA"/>
                </w:rPr>
                <w:t>14/22</w:t>
              </w:r>
            </w:hyperlink>
          </w:p>
        </w:tc>
        <w:tc>
          <w:tcPr>
            <w:tcW w:w="3701" w:type="dxa"/>
            <w:tcBorders>
              <w:bottom w:val="single" w:sz="4" w:space="0" w:color="auto"/>
            </w:tcBorders>
            <w:shd w:val="clear" w:color="auto" w:fill="FFFFFF" w:themeFill="background1"/>
          </w:tcPr>
          <w:p w14:paraId="722A2D48" w14:textId="2177C10B"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L’Organe subsidiaire chargé de l’application examinera les résultats des travaux d’un groupe d’experts pour élaborer des rapports sur plusieurs questions relatives à l’élément de mobilisation des ressources du cadre mondial de la biodiversité pour l’après</w:t>
            </w:r>
            <w:r w:rsidRPr="00797296">
              <w:rPr>
                <w:rFonts w:ascii="Times New Roman" w:hAnsi="Times New Roman" w:cs="Times New Roman"/>
                <w:iCs/>
                <w:snapToGrid w:val="0"/>
                <w:color w:val="000000" w:themeColor="text1"/>
                <w:kern w:val="22"/>
                <w:szCs w:val="22"/>
                <w:lang w:val="fr-CA"/>
              </w:rPr>
              <w:noBreakHyphen/>
              <w:t>2020 et f</w:t>
            </w:r>
            <w:r w:rsidR="002D7787">
              <w:rPr>
                <w:rFonts w:ascii="Times New Roman" w:hAnsi="Times New Roman" w:cs="Times New Roman"/>
                <w:iCs/>
                <w:snapToGrid w:val="0"/>
                <w:color w:val="000000" w:themeColor="text1"/>
                <w:kern w:val="22"/>
                <w:szCs w:val="22"/>
                <w:lang w:val="fr-CA"/>
              </w:rPr>
              <w:t>era</w:t>
            </w:r>
            <w:r w:rsidRPr="00797296">
              <w:rPr>
                <w:rFonts w:ascii="Times New Roman" w:hAnsi="Times New Roman" w:cs="Times New Roman"/>
                <w:iCs/>
                <w:snapToGrid w:val="0"/>
                <w:color w:val="000000" w:themeColor="text1"/>
                <w:kern w:val="22"/>
                <w:szCs w:val="22"/>
                <w:lang w:val="fr-CA"/>
              </w:rPr>
              <w:t xml:space="preserve"> des recommandations à la troisième réunion du Groupe de travail</w:t>
            </w:r>
          </w:p>
        </w:tc>
        <w:tc>
          <w:tcPr>
            <w:tcW w:w="1895" w:type="dxa"/>
            <w:vMerge w:val="restart"/>
            <w:shd w:val="clear" w:color="auto" w:fill="FFFFFF" w:themeFill="background1"/>
          </w:tcPr>
          <w:p w14:paraId="57181F29"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Réunion intergouvernementale</w:t>
            </w:r>
          </w:p>
          <w:p w14:paraId="53705969" w14:textId="77777777"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color w:val="000000" w:themeColor="text1"/>
                <w:kern w:val="22"/>
                <w:szCs w:val="22"/>
                <w:lang w:val="fr-CA"/>
              </w:rPr>
              <w:t>1</w:t>
            </w:r>
          </w:p>
        </w:tc>
      </w:tr>
      <w:tr w:rsidR="00C6326D" w:rsidRPr="00957249" w14:paraId="502263C6" w14:textId="77777777" w:rsidTr="00C6326D">
        <w:trPr>
          <w:cantSplit/>
          <w:jc w:val="center"/>
        </w:trPr>
        <w:tc>
          <w:tcPr>
            <w:tcW w:w="2187" w:type="dxa"/>
            <w:vMerge/>
            <w:shd w:val="clear" w:color="auto" w:fill="FFFFFF" w:themeFill="background1"/>
          </w:tcPr>
          <w:p w14:paraId="0FAEAAF0"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shd w:val="clear" w:color="auto" w:fill="FFFFFF" w:themeFill="background1"/>
          </w:tcPr>
          <w:p w14:paraId="3AE06459"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tcBorders>
              <w:bottom w:val="single" w:sz="4" w:space="0" w:color="auto"/>
            </w:tcBorders>
            <w:shd w:val="clear" w:color="auto" w:fill="FFFFFF" w:themeFill="background1"/>
          </w:tcPr>
          <w:p w14:paraId="4D7675C9"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Le mécanisme de financement</w:t>
            </w:r>
          </w:p>
        </w:tc>
        <w:tc>
          <w:tcPr>
            <w:tcW w:w="1318" w:type="dxa"/>
            <w:tcBorders>
              <w:bottom w:val="single" w:sz="4" w:space="0" w:color="auto"/>
            </w:tcBorders>
            <w:shd w:val="clear" w:color="auto" w:fill="FFFFFF" w:themeFill="background1"/>
          </w:tcPr>
          <w:p w14:paraId="5491767C"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Décision 14/23</w:t>
            </w:r>
          </w:p>
        </w:tc>
        <w:tc>
          <w:tcPr>
            <w:tcW w:w="3701" w:type="dxa"/>
            <w:tcBorders>
              <w:bottom w:val="single" w:sz="4" w:space="0" w:color="auto"/>
            </w:tcBorders>
            <w:shd w:val="clear" w:color="auto" w:fill="FFFFFF" w:themeFill="background1"/>
          </w:tcPr>
          <w:p w14:paraId="6B7B6469" w14:textId="1FE41B9B"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iCs/>
                <w:color w:val="000000" w:themeColor="text1"/>
                <w:kern w:val="22"/>
                <w:szCs w:val="22"/>
                <w:lang w:val="fr-CA"/>
              </w:rPr>
              <w:t xml:space="preserve">L’Organe subsidiaire chargé de l’application examinera les rapports du groupe d’experts créé </w:t>
            </w:r>
            <w:r w:rsidR="002D7787">
              <w:rPr>
                <w:rFonts w:ascii="Times New Roman" w:hAnsi="Times New Roman" w:cs="Times New Roman"/>
                <w:iCs/>
                <w:color w:val="000000" w:themeColor="text1"/>
                <w:kern w:val="22"/>
                <w:szCs w:val="22"/>
                <w:lang w:val="fr-CA"/>
              </w:rPr>
              <w:t>en application de</w:t>
            </w:r>
            <w:r w:rsidRPr="00797296">
              <w:rPr>
                <w:rFonts w:ascii="Times New Roman" w:hAnsi="Times New Roman" w:cs="Times New Roman"/>
                <w:iCs/>
                <w:color w:val="000000" w:themeColor="text1"/>
                <w:kern w:val="22"/>
                <w:szCs w:val="22"/>
                <w:lang w:val="fr-CA"/>
              </w:rPr>
              <w:t xml:space="preserve"> la décision </w:t>
            </w:r>
            <w:r w:rsidRPr="00797296">
              <w:rPr>
                <w:rFonts w:ascii="Times New Roman" w:hAnsi="Times New Roman" w:cs="Times New Roman"/>
                <w:iCs/>
                <w:snapToGrid w:val="0"/>
                <w:color w:val="000000" w:themeColor="text1"/>
                <w:kern w:val="22"/>
                <w:szCs w:val="22"/>
                <w:lang w:val="fr-CA"/>
              </w:rPr>
              <w:t>14/23 ainsi que les points de vue exprimés par les Parties et f</w:t>
            </w:r>
            <w:r w:rsidR="002D7787">
              <w:rPr>
                <w:rFonts w:ascii="Times New Roman" w:hAnsi="Times New Roman" w:cs="Times New Roman"/>
                <w:iCs/>
                <w:snapToGrid w:val="0"/>
                <w:color w:val="000000" w:themeColor="text1"/>
                <w:kern w:val="22"/>
                <w:szCs w:val="22"/>
                <w:lang w:val="fr-CA"/>
              </w:rPr>
              <w:t>era</w:t>
            </w:r>
            <w:r w:rsidRPr="00797296">
              <w:rPr>
                <w:rFonts w:ascii="Times New Roman" w:hAnsi="Times New Roman" w:cs="Times New Roman"/>
                <w:iCs/>
                <w:snapToGrid w:val="0"/>
                <w:color w:val="000000" w:themeColor="text1"/>
                <w:kern w:val="22"/>
                <w:szCs w:val="22"/>
                <w:lang w:val="fr-CA"/>
              </w:rPr>
              <w:t xml:space="preserve"> des recommandations à la troisième réunion du Groupe de travail</w:t>
            </w:r>
          </w:p>
        </w:tc>
        <w:tc>
          <w:tcPr>
            <w:tcW w:w="1895" w:type="dxa"/>
            <w:vMerge/>
            <w:shd w:val="clear" w:color="auto" w:fill="FFFFFF" w:themeFill="background1"/>
          </w:tcPr>
          <w:p w14:paraId="77C80986" w14:textId="77777777"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color w:val="000000" w:themeColor="text1"/>
                <w:kern w:val="22"/>
                <w:szCs w:val="22"/>
                <w:lang w:val="fr-CA"/>
              </w:rPr>
            </w:pPr>
          </w:p>
        </w:tc>
      </w:tr>
      <w:tr w:rsidR="00C6326D" w:rsidRPr="00957249" w14:paraId="5BF48526" w14:textId="77777777" w:rsidTr="00C6326D">
        <w:trPr>
          <w:cantSplit/>
          <w:jc w:val="center"/>
        </w:trPr>
        <w:tc>
          <w:tcPr>
            <w:tcW w:w="2187" w:type="dxa"/>
            <w:vMerge/>
            <w:shd w:val="clear" w:color="auto" w:fill="FFFFFF" w:themeFill="background1"/>
          </w:tcPr>
          <w:p w14:paraId="525A73C7"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shd w:val="clear" w:color="auto" w:fill="FFFFFF" w:themeFill="background1"/>
          </w:tcPr>
          <w:p w14:paraId="731872C1"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shd w:val="clear" w:color="auto" w:fill="FFFFFF" w:themeFill="background1"/>
          </w:tcPr>
          <w:p w14:paraId="0BF751AC"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Intégration</w:t>
            </w:r>
          </w:p>
        </w:tc>
        <w:tc>
          <w:tcPr>
            <w:tcW w:w="1318" w:type="dxa"/>
            <w:shd w:val="clear" w:color="auto" w:fill="FFFFFF" w:themeFill="background1"/>
          </w:tcPr>
          <w:p w14:paraId="2A04FB31"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 xml:space="preserve">Décision </w:t>
            </w:r>
            <w:hyperlink r:id="rId27" w:history="1">
              <w:r w:rsidRPr="00797296">
                <w:rPr>
                  <w:rStyle w:val="Hyperlink"/>
                  <w:rFonts w:ascii="Times New Roman" w:hAnsi="Times New Roman" w:cs="Times New Roman"/>
                  <w:iCs/>
                  <w:snapToGrid w:val="0"/>
                  <w:color w:val="000000" w:themeColor="text1"/>
                  <w:kern w:val="22"/>
                  <w:sz w:val="22"/>
                  <w:szCs w:val="22"/>
                  <w:u w:val="none"/>
                  <w:lang w:val="fr-CA"/>
                </w:rPr>
                <w:t>14/3</w:t>
              </w:r>
            </w:hyperlink>
          </w:p>
        </w:tc>
        <w:tc>
          <w:tcPr>
            <w:tcW w:w="3701" w:type="dxa"/>
            <w:shd w:val="clear" w:color="auto" w:fill="FFFFFF" w:themeFill="background1"/>
          </w:tcPr>
          <w:p w14:paraId="1C255A20" w14:textId="615C3F6E"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color w:val="000000" w:themeColor="text1"/>
                <w:kern w:val="22"/>
                <w:szCs w:val="22"/>
                <w:lang w:val="fr-CA"/>
              </w:rPr>
              <w:t>L’Organe subsidiaire chargé de l’application examinera le rapport du groupe consultatif informel sur l’intégration de la biodiversité dans le cadre d’une approche stratégique à long terme concernant l’intégration, et l’intégration d’éléments pour le cadre mondial de la biodiversité pour l’après</w:t>
            </w:r>
            <w:r w:rsidRPr="00797296">
              <w:rPr>
                <w:rFonts w:ascii="Times New Roman" w:hAnsi="Times New Roman" w:cs="Times New Roman"/>
                <w:color w:val="000000" w:themeColor="text1"/>
                <w:kern w:val="22"/>
                <w:szCs w:val="22"/>
                <w:lang w:val="fr-CA"/>
              </w:rPr>
              <w:noBreakHyphen/>
              <w:t xml:space="preserve">2020, répondra à toute demande </w:t>
            </w:r>
            <w:r w:rsidR="00B53CE9">
              <w:rPr>
                <w:rFonts w:ascii="Times New Roman" w:hAnsi="Times New Roman" w:cs="Times New Roman"/>
                <w:color w:val="000000" w:themeColor="text1"/>
                <w:kern w:val="22"/>
                <w:szCs w:val="22"/>
                <w:lang w:val="fr-CA"/>
              </w:rPr>
              <w:t>faite par les</w:t>
            </w:r>
            <w:r w:rsidRPr="00797296">
              <w:rPr>
                <w:rFonts w:ascii="Times New Roman" w:hAnsi="Times New Roman" w:cs="Times New Roman"/>
                <w:color w:val="000000" w:themeColor="text1"/>
                <w:kern w:val="22"/>
                <w:szCs w:val="22"/>
                <w:lang w:val="fr-CA"/>
              </w:rPr>
              <w:t xml:space="preserve"> première et deuxième réunions du Groupe de</w:t>
            </w:r>
            <w:r w:rsidR="00B53CE9">
              <w:rPr>
                <w:rFonts w:ascii="Times New Roman" w:hAnsi="Times New Roman" w:cs="Times New Roman"/>
                <w:color w:val="000000" w:themeColor="text1"/>
                <w:kern w:val="22"/>
                <w:szCs w:val="22"/>
                <w:lang w:val="fr-CA"/>
              </w:rPr>
              <w:t xml:space="preserve"> travail</w:t>
            </w:r>
            <w:r w:rsidRPr="00797296">
              <w:rPr>
                <w:rFonts w:ascii="Times New Roman" w:hAnsi="Times New Roman" w:cs="Times New Roman"/>
                <w:color w:val="000000" w:themeColor="text1"/>
                <w:kern w:val="22"/>
                <w:szCs w:val="22"/>
                <w:lang w:val="fr-CA"/>
              </w:rPr>
              <w:t>, et fournira des recommandations à la troisième réunion du Groupe de travail</w:t>
            </w:r>
          </w:p>
        </w:tc>
        <w:tc>
          <w:tcPr>
            <w:tcW w:w="1895" w:type="dxa"/>
            <w:vMerge/>
            <w:shd w:val="clear" w:color="auto" w:fill="FFFFFF" w:themeFill="background1"/>
          </w:tcPr>
          <w:p w14:paraId="5FFF3080" w14:textId="77777777" w:rsidR="00C6326D" w:rsidRPr="00797296" w:rsidRDefault="00C6326D" w:rsidP="00746773">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lang w:val="fr-CA"/>
              </w:rPr>
            </w:pPr>
          </w:p>
        </w:tc>
      </w:tr>
      <w:tr w:rsidR="00C6326D" w:rsidRPr="00957249" w14:paraId="14196765" w14:textId="77777777" w:rsidTr="00C6326D">
        <w:trPr>
          <w:cantSplit/>
          <w:jc w:val="center"/>
        </w:trPr>
        <w:tc>
          <w:tcPr>
            <w:tcW w:w="2187" w:type="dxa"/>
            <w:vMerge/>
            <w:shd w:val="clear" w:color="auto" w:fill="FFFFFF" w:themeFill="background1"/>
          </w:tcPr>
          <w:p w14:paraId="4EA4FD29"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shd w:val="clear" w:color="auto" w:fill="FFFFFF" w:themeFill="background1"/>
          </w:tcPr>
          <w:p w14:paraId="2A90FF7D"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shd w:val="clear" w:color="auto" w:fill="FFFFFF" w:themeFill="background1"/>
          </w:tcPr>
          <w:p w14:paraId="17A61FFA"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Intégration des questions relatives à l’égalité des sexes</w:t>
            </w:r>
          </w:p>
        </w:tc>
        <w:tc>
          <w:tcPr>
            <w:tcW w:w="1318" w:type="dxa"/>
            <w:shd w:val="clear" w:color="auto" w:fill="FFFFFF" w:themeFill="background1"/>
          </w:tcPr>
          <w:p w14:paraId="5B256AD2"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Décision 14/18</w:t>
            </w:r>
          </w:p>
        </w:tc>
        <w:tc>
          <w:tcPr>
            <w:tcW w:w="3701" w:type="dxa"/>
            <w:shd w:val="clear" w:color="auto" w:fill="FFFFFF" w:themeFill="background1"/>
          </w:tcPr>
          <w:p w14:paraId="457FF28D" w14:textId="3E25B65C" w:rsidR="00C6326D" w:rsidRPr="00797296" w:rsidDel="00D1134E" w:rsidRDefault="0097638B" w:rsidP="00746773">
            <w:pPr>
              <w:spacing w:before="40" w:after="40"/>
              <w:jc w:val="left"/>
              <w:rPr>
                <w:rFonts w:ascii="Times New Roman" w:hAnsi="Times New Roman" w:cs="Times New Roman"/>
                <w:iCs/>
                <w:snapToGrid w:val="0"/>
                <w:color w:val="000000" w:themeColor="text1"/>
                <w:kern w:val="22"/>
                <w:szCs w:val="22"/>
                <w:lang w:val="fr-CA"/>
              </w:rPr>
            </w:pPr>
            <w:r>
              <w:rPr>
                <w:rFonts w:ascii="Times New Roman" w:hAnsi="Times New Roman" w:cs="Times New Roman"/>
                <w:iCs/>
                <w:snapToGrid w:val="0"/>
                <w:color w:val="000000" w:themeColor="text1"/>
                <w:kern w:val="22"/>
                <w:szCs w:val="22"/>
                <w:lang w:val="fr-CA"/>
              </w:rPr>
              <w:t>L</w:t>
            </w:r>
            <w:r w:rsidR="00C6326D" w:rsidRPr="00797296">
              <w:rPr>
                <w:rFonts w:ascii="Times New Roman" w:hAnsi="Times New Roman" w:cs="Times New Roman"/>
                <w:iCs/>
                <w:snapToGrid w:val="0"/>
                <w:color w:val="000000" w:themeColor="text1"/>
                <w:kern w:val="22"/>
                <w:szCs w:val="22"/>
                <w:lang w:val="fr-CA"/>
              </w:rPr>
              <w:t>’Organe subsidiaire chargé de l’application étudiera l’examen de l’application du Plan d’action pour l’égalité des sexes 2015</w:t>
            </w:r>
            <w:r w:rsidR="00C6326D" w:rsidRPr="00797296">
              <w:rPr>
                <w:rFonts w:ascii="Times New Roman" w:hAnsi="Times New Roman" w:cs="Times New Roman"/>
                <w:iCs/>
                <w:snapToGrid w:val="0"/>
                <w:color w:val="000000" w:themeColor="text1"/>
                <w:kern w:val="22"/>
                <w:szCs w:val="22"/>
                <w:lang w:val="fr-CA"/>
              </w:rPr>
              <w:noBreakHyphen/>
              <w:t xml:space="preserve">2020. Dans le cadre de ces délibérations, l’Organe subsidiaire chargé de l’application pourrait aussi </w:t>
            </w:r>
            <w:r>
              <w:rPr>
                <w:rFonts w:ascii="Times New Roman" w:hAnsi="Times New Roman" w:cs="Times New Roman"/>
                <w:iCs/>
                <w:snapToGrid w:val="0"/>
                <w:color w:val="000000" w:themeColor="text1"/>
                <w:kern w:val="22"/>
                <w:szCs w:val="22"/>
                <w:lang w:val="fr-CA"/>
              </w:rPr>
              <w:t>formuler</w:t>
            </w:r>
            <w:r w:rsidR="00C6326D" w:rsidRPr="00797296">
              <w:rPr>
                <w:rFonts w:ascii="Times New Roman" w:hAnsi="Times New Roman" w:cs="Times New Roman"/>
                <w:iCs/>
                <w:snapToGrid w:val="0"/>
                <w:color w:val="000000" w:themeColor="text1"/>
                <w:kern w:val="22"/>
                <w:szCs w:val="22"/>
                <w:lang w:val="fr-CA"/>
              </w:rPr>
              <w:t xml:space="preserve"> une recommandation sur l</w:t>
            </w:r>
            <w:r>
              <w:rPr>
                <w:rFonts w:ascii="Times New Roman" w:hAnsi="Times New Roman" w:cs="Times New Roman"/>
                <w:iCs/>
                <w:snapToGrid w:val="0"/>
                <w:color w:val="000000" w:themeColor="text1"/>
                <w:kern w:val="22"/>
                <w:szCs w:val="22"/>
                <w:lang w:val="fr-CA"/>
              </w:rPr>
              <w:t>’élaboration</w:t>
            </w:r>
            <w:r w:rsidR="00C6326D" w:rsidRPr="00797296">
              <w:rPr>
                <w:rFonts w:ascii="Times New Roman" w:hAnsi="Times New Roman" w:cs="Times New Roman"/>
                <w:iCs/>
                <w:snapToGrid w:val="0"/>
                <w:color w:val="000000" w:themeColor="text1"/>
                <w:kern w:val="22"/>
                <w:szCs w:val="22"/>
                <w:lang w:val="fr-CA"/>
              </w:rPr>
              <w:t xml:space="preserve"> d’une nouvelle stratégie ou d’un nouveau plan sur l’égalité des sexes pour l’après</w:t>
            </w:r>
            <w:r w:rsidR="00C6326D" w:rsidRPr="00797296">
              <w:rPr>
                <w:rFonts w:ascii="Times New Roman" w:hAnsi="Times New Roman" w:cs="Times New Roman"/>
                <w:iCs/>
                <w:snapToGrid w:val="0"/>
                <w:color w:val="000000" w:themeColor="text1"/>
                <w:kern w:val="22"/>
                <w:szCs w:val="22"/>
                <w:lang w:val="fr-CA"/>
              </w:rPr>
              <w:noBreakHyphen/>
              <w:t>2020</w:t>
            </w:r>
          </w:p>
        </w:tc>
        <w:tc>
          <w:tcPr>
            <w:tcW w:w="1895" w:type="dxa"/>
            <w:vMerge/>
            <w:shd w:val="clear" w:color="auto" w:fill="FFFFFF" w:themeFill="background1"/>
          </w:tcPr>
          <w:p w14:paraId="5888D32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r>
      <w:tr w:rsidR="00C6326D" w:rsidRPr="00957249" w14:paraId="5F8433B2" w14:textId="77777777" w:rsidTr="00C6326D">
        <w:trPr>
          <w:cantSplit/>
          <w:jc w:val="center"/>
        </w:trPr>
        <w:tc>
          <w:tcPr>
            <w:tcW w:w="2187" w:type="dxa"/>
            <w:vMerge/>
            <w:shd w:val="clear" w:color="auto" w:fill="FFFFFF" w:themeFill="background1"/>
          </w:tcPr>
          <w:p w14:paraId="2DA05A92"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shd w:val="clear" w:color="auto" w:fill="FFFFFF" w:themeFill="background1"/>
          </w:tcPr>
          <w:p w14:paraId="7BBF5473"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shd w:val="clear" w:color="auto" w:fill="FFFFFF" w:themeFill="background1"/>
          </w:tcPr>
          <w:p w14:paraId="7617AF91"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eastAsia="Malgun Gothic" w:hAnsi="Times New Roman" w:cs="Times New Roman"/>
                <w:color w:val="000000" w:themeColor="text1"/>
                <w:kern w:val="22"/>
                <w:szCs w:val="22"/>
                <w:lang w:val="fr-CA"/>
              </w:rPr>
              <w:t>Gestion des connaissances au titre de la Convention et de ses Protocoles</w:t>
            </w:r>
          </w:p>
        </w:tc>
        <w:tc>
          <w:tcPr>
            <w:tcW w:w="1318" w:type="dxa"/>
            <w:shd w:val="clear" w:color="auto" w:fill="FFFFFF" w:themeFill="background1"/>
          </w:tcPr>
          <w:p w14:paraId="05B74E2F"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eastAsia="Malgun Gothic" w:hAnsi="Times New Roman" w:cs="Times New Roman"/>
                <w:color w:val="000000" w:themeColor="text1"/>
                <w:kern w:val="22"/>
                <w:szCs w:val="22"/>
                <w:lang w:val="fr-CA"/>
              </w:rPr>
              <w:t xml:space="preserve">Décision </w:t>
            </w:r>
            <w:hyperlink r:id="rId28" w:history="1">
              <w:r w:rsidRPr="00797296">
                <w:rPr>
                  <w:rStyle w:val="Hyperlink"/>
                  <w:rFonts w:ascii="Times New Roman" w:eastAsia="Malgun Gothic" w:hAnsi="Times New Roman" w:cs="Times New Roman"/>
                  <w:color w:val="000000" w:themeColor="text1"/>
                  <w:kern w:val="22"/>
                  <w:sz w:val="22"/>
                  <w:szCs w:val="22"/>
                  <w:u w:val="none"/>
                  <w:lang w:val="fr-CA"/>
                </w:rPr>
                <w:t>14/25</w:t>
              </w:r>
            </w:hyperlink>
          </w:p>
        </w:tc>
        <w:tc>
          <w:tcPr>
            <w:tcW w:w="3701" w:type="dxa"/>
            <w:shd w:val="clear" w:color="auto" w:fill="FFFFFF" w:themeFill="background1"/>
          </w:tcPr>
          <w:p w14:paraId="643F01F7" w14:textId="1AE6E0AF"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 xml:space="preserve">Il est prévu que la troisième réunion de l’Organe subsidiaire chargé de l’application examine des éléments potentiels relatifs à la gestion des connaissances au titre de la </w:t>
            </w:r>
            <w:r w:rsidRPr="00797296">
              <w:rPr>
                <w:rFonts w:ascii="Times New Roman" w:eastAsia="Malgun Gothic" w:hAnsi="Times New Roman" w:cs="Times New Roman"/>
                <w:color w:val="000000" w:themeColor="text1"/>
                <w:kern w:val="22"/>
                <w:szCs w:val="22"/>
                <w:lang w:val="fr-CA"/>
              </w:rPr>
              <w:t xml:space="preserve">Convention et de ses Protocoles et </w:t>
            </w:r>
            <w:r w:rsidR="0097638B">
              <w:rPr>
                <w:rFonts w:ascii="Times New Roman" w:eastAsia="Malgun Gothic" w:hAnsi="Times New Roman" w:cs="Times New Roman"/>
                <w:color w:val="000000" w:themeColor="text1"/>
                <w:kern w:val="22"/>
                <w:szCs w:val="22"/>
                <w:lang w:val="fr-CA"/>
              </w:rPr>
              <w:t>fasse</w:t>
            </w:r>
            <w:r w:rsidRPr="00797296">
              <w:rPr>
                <w:rFonts w:ascii="Times New Roman" w:eastAsia="Malgun Gothic" w:hAnsi="Times New Roman" w:cs="Times New Roman"/>
                <w:color w:val="000000" w:themeColor="text1"/>
                <w:kern w:val="22"/>
                <w:szCs w:val="22"/>
                <w:lang w:val="fr-CA"/>
              </w:rPr>
              <w:t xml:space="preserve"> des recommandations à la troisième réunion du Groupe de travail</w:t>
            </w:r>
          </w:p>
        </w:tc>
        <w:tc>
          <w:tcPr>
            <w:tcW w:w="1895" w:type="dxa"/>
            <w:vMerge/>
            <w:shd w:val="clear" w:color="auto" w:fill="FFFFFF" w:themeFill="background1"/>
          </w:tcPr>
          <w:p w14:paraId="603B56F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r>
      <w:tr w:rsidR="00C6326D" w:rsidRPr="00957249" w14:paraId="12ED2732" w14:textId="77777777" w:rsidTr="00C6326D">
        <w:trPr>
          <w:cantSplit/>
          <w:jc w:val="center"/>
        </w:trPr>
        <w:tc>
          <w:tcPr>
            <w:tcW w:w="2187" w:type="dxa"/>
            <w:vMerge/>
            <w:shd w:val="clear" w:color="auto" w:fill="FFFFFF" w:themeFill="background1"/>
          </w:tcPr>
          <w:p w14:paraId="6DC01811"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shd w:val="clear" w:color="auto" w:fill="FFFFFF" w:themeFill="background1"/>
          </w:tcPr>
          <w:p w14:paraId="7D682D4C"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tcBorders>
              <w:bottom w:val="single" w:sz="4" w:space="0" w:color="auto"/>
            </w:tcBorders>
            <w:shd w:val="clear" w:color="auto" w:fill="FFFFFF" w:themeFill="background1"/>
          </w:tcPr>
          <w:p w14:paraId="209EB6D2" w14:textId="77777777" w:rsidR="00C6326D" w:rsidRPr="00797296" w:rsidRDefault="00C6326D" w:rsidP="00746773">
            <w:pPr>
              <w:spacing w:before="40" w:after="40"/>
              <w:jc w:val="left"/>
              <w:rPr>
                <w:rFonts w:ascii="Times New Roman" w:eastAsia="Malgun Gothic" w:hAnsi="Times New Roman" w:cs="Times New Roman"/>
                <w:color w:val="000000" w:themeColor="text1"/>
                <w:kern w:val="22"/>
                <w:szCs w:val="22"/>
                <w:lang w:val="fr-CA"/>
              </w:rPr>
            </w:pPr>
            <w:r w:rsidRPr="00797296">
              <w:rPr>
                <w:rFonts w:ascii="Times New Roman" w:eastAsia="Malgun Gothic" w:hAnsi="Times New Roman" w:cs="Times New Roman"/>
                <w:color w:val="000000" w:themeColor="text1"/>
                <w:kern w:val="22"/>
                <w:szCs w:val="22"/>
                <w:lang w:val="fr-CA"/>
              </w:rPr>
              <w:t>Alignement des rapports nationaux au titre de la Convention et de ses Protocoles</w:t>
            </w:r>
          </w:p>
        </w:tc>
        <w:tc>
          <w:tcPr>
            <w:tcW w:w="1318" w:type="dxa"/>
            <w:tcBorders>
              <w:bottom w:val="single" w:sz="4" w:space="0" w:color="auto"/>
            </w:tcBorders>
            <w:shd w:val="clear" w:color="auto" w:fill="FFFFFF" w:themeFill="background1"/>
          </w:tcPr>
          <w:p w14:paraId="03D853A9" w14:textId="77777777" w:rsidR="00C6326D" w:rsidRPr="00797296" w:rsidRDefault="00C6326D" w:rsidP="00746773">
            <w:pPr>
              <w:spacing w:before="40" w:after="40"/>
              <w:jc w:val="left"/>
              <w:rPr>
                <w:rFonts w:ascii="Times New Roman" w:eastAsia="Malgun Gothic" w:hAnsi="Times New Roman" w:cs="Times New Roman"/>
                <w:color w:val="000000" w:themeColor="text1"/>
                <w:kern w:val="22"/>
                <w:szCs w:val="22"/>
                <w:lang w:val="fr-CA"/>
              </w:rPr>
            </w:pPr>
            <w:r w:rsidRPr="00797296">
              <w:rPr>
                <w:rFonts w:ascii="Times New Roman" w:eastAsia="Malgun Gothic" w:hAnsi="Times New Roman" w:cs="Times New Roman"/>
                <w:color w:val="000000" w:themeColor="text1"/>
                <w:kern w:val="22"/>
                <w:szCs w:val="22"/>
                <w:lang w:val="fr-CA"/>
              </w:rPr>
              <w:t xml:space="preserve">Décision </w:t>
            </w:r>
            <w:hyperlink r:id="rId29" w:history="1">
              <w:r w:rsidRPr="00797296">
                <w:rPr>
                  <w:rStyle w:val="Hyperlink"/>
                  <w:rFonts w:ascii="Times New Roman" w:eastAsia="Malgun Gothic" w:hAnsi="Times New Roman" w:cs="Times New Roman"/>
                  <w:color w:val="000000" w:themeColor="text1"/>
                  <w:kern w:val="22"/>
                  <w:sz w:val="22"/>
                  <w:szCs w:val="22"/>
                  <w:u w:val="none"/>
                  <w:lang w:val="fr-CA"/>
                </w:rPr>
                <w:t>14/27</w:t>
              </w:r>
            </w:hyperlink>
          </w:p>
        </w:tc>
        <w:tc>
          <w:tcPr>
            <w:tcW w:w="3701" w:type="dxa"/>
            <w:tcBorders>
              <w:bottom w:val="single" w:sz="4" w:space="0" w:color="auto"/>
            </w:tcBorders>
            <w:shd w:val="clear" w:color="auto" w:fill="FFFFFF" w:themeFill="background1"/>
          </w:tcPr>
          <w:p w14:paraId="1D0E24CE"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Il est prévu que la troisième réunion de l’Organe subsidiaire chargé de l’application examine une série de questions portant sur les rapports nationaux au titre de la Convention et de ses Protocoles. Dans le cadre de ses délibérations, l’Organe subsidiaire chargé de l’application pourrait également élaborer une recommandation sur les moyens d’examiner l’application du cadre mondial de la biodiversité pour l’après</w:t>
            </w:r>
            <w:r w:rsidRPr="00797296">
              <w:rPr>
                <w:rFonts w:ascii="Times New Roman" w:hAnsi="Times New Roman" w:cs="Times New Roman"/>
                <w:color w:val="000000" w:themeColor="text1"/>
                <w:kern w:val="22"/>
                <w:szCs w:val="22"/>
                <w:lang w:val="fr-CA"/>
              </w:rPr>
              <w:noBreakHyphen/>
              <w:t>2020 et d’améliorer les mécanismes de responsabilité.</w:t>
            </w:r>
          </w:p>
        </w:tc>
        <w:tc>
          <w:tcPr>
            <w:tcW w:w="1895" w:type="dxa"/>
            <w:vMerge/>
            <w:shd w:val="clear" w:color="auto" w:fill="FFFFFF" w:themeFill="background1"/>
          </w:tcPr>
          <w:p w14:paraId="42A6C555"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r>
      <w:tr w:rsidR="00C6326D" w:rsidRPr="00957249" w14:paraId="6084CD3D" w14:textId="77777777" w:rsidTr="00C6326D">
        <w:trPr>
          <w:cantSplit/>
          <w:jc w:val="center"/>
        </w:trPr>
        <w:tc>
          <w:tcPr>
            <w:tcW w:w="2187" w:type="dxa"/>
            <w:vMerge/>
            <w:shd w:val="clear" w:color="auto" w:fill="FFFFFF" w:themeFill="background1"/>
          </w:tcPr>
          <w:p w14:paraId="2F05706C"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shd w:val="clear" w:color="auto" w:fill="FFFFFF" w:themeFill="background1"/>
          </w:tcPr>
          <w:p w14:paraId="7EB6AF1B"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shd w:val="clear" w:color="auto" w:fill="FFFFFF" w:themeFill="background1"/>
          </w:tcPr>
          <w:p w14:paraId="416890C6" w14:textId="77777777" w:rsidR="00C6326D" w:rsidRPr="00797296" w:rsidRDefault="00C6326D" w:rsidP="00746773">
            <w:pPr>
              <w:spacing w:before="40" w:after="40"/>
              <w:jc w:val="left"/>
              <w:rPr>
                <w:rFonts w:ascii="Times New Roman" w:eastAsia="Malgun Gothic" w:hAnsi="Times New Roman" w:cs="Times New Roman"/>
                <w:color w:val="000000" w:themeColor="text1"/>
                <w:kern w:val="22"/>
                <w:szCs w:val="22"/>
                <w:lang w:val="fr-CA"/>
              </w:rPr>
            </w:pPr>
            <w:r w:rsidRPr="00797296">
              <w:rPr>
                <w:rFonts w:ascii="Times New Roman" w:eastAsia="Malgun Gothic" w:hAnsi="Times New Roman" w:cs="Times New Roman"/>
                <w:color w:val="000000" w:themeColor="text1"/>
                <w:kern w:val="22"/>
                <w:szCs w:val="22"/>
                <w:lang w:val="fr-CA"/>
              </w:rPr>
              <w:t>Mécanismes d’examen possibles</w:t>
            </w:r>
          </w:p>
        </w:tc>
        <w:tc>
          <w:tcPr>
            <w:tcW w:w="1318" w:type="dxa"/>
            <w:shd w:val="clear" w:color="auto" w:fill="FFFFFF" w:themeFill="background1"/>
          </w:tcPr>
          <w:p w14:paraId="6386E068" w14:textId="77777777" w:rsidR="00C6326D" w:rsidRPr="00797296" w:rsidRDefault="00C6326D" w:rsidP="00746773">
            <w:pPr>
              <w:spacing w:before="40" w:after="40"/>
              <w:jc w:val="left"/>
              <w:rPr>
                <w:rFonts w:ascii="Times New Roman" w:eastAsia="Malgun Gothic" w:hAnsi="Times New Roman" w:cs="Times New Roman"/>
                <w:color w:val="000000" w:themeColor="text1"/>
                <w:kern w:val="22"/>
                <w:szCs w:val="22"/>
                <w:lang w:val="fr-CA"/>
              </w:rPr>
            </w:pPr>
            <w:r w:rsidRPr="00797296">
              <w:rPr>
                <w:rFonts w:ascii="Times New Roman" w:eastAsia="Malgun Gothic" w:hAnsi="Times New Roman" w:cs="Times New Roman"/>
                <w:color w:val="000000" w:themeColor="text1"/>
                <w:kern w:val="22"/>
                <w:szCs w:val="22"/>
                <w:lang w:val="fr-CA"/>
              </w:rPr>
              <w:t xml:space="preserve">Décision </w:t>
            </w:r>
            <w:hyperlink r:id="rId30" w:history="1">
              <w:r w:rsidRPr="00797296">
                <w:rPr>
                  <w:rStyle w:val="Hyperlink"/>
                  <w:rFonts w:ascii="Times New Roman" w:hAnsi="Times New Roman" w:cs="Times New Roman"/>
                  <w:color w:val="000000" w:themeColor="text1"/>
                  <w:kern w:val="22"/>
                  <w:sz w:val="22"/>
                  <w:szCs w:val="22"/>
                  <w:u w:val="none"/>
                  <w:lang w:val="fr-CA"/>
                </w:rPr>
                <w:t>14/29</w:t>
              </w:r>
            </w:hyperlink>
          </w:p>
        </w:tc>
        <w:tc>
          <w:tcPr>
            <w:tcW w:w="3701" w:type="dxa"/>
            <w:shd w:val="clear" w:color="auto" w:fill="FFFFFF" w:themeFill="background1"/>
          </w:tcPr>
          <w:p w14:paraId="485BE5E0"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eastAsia="Malgun Gothic" w:hAnsi="Times New Roman" w:cs="Times New Roman"/>
                <w:color w:val="000000" w:themeColor="text1"/>
                <w:kern w:val="22"/>
                <w:szCs w:val="22"/>
                <w:lang w:val="fr-CA"/>
              </w:rPr>
              <w:t>L’Organe subsidiaire chargé de l’application examinera des options d’amélioration des mécanismes d’examen, en vue de renforcer l’application de la Convention. L’Organe subsidiaire chargé de l’application testera également un processus d’examen dirigé par les Parties via un forum à composition non limitée lors de la réunion de l’Organe subsidiaire chargé</w:t>
            </w:r>
            <w:r w:rsidRPr="00797296">
              <w:rPr>
                <w:rFonts w:ascii="Times New Roman" w:hAnsi="Times New Roman" w:cs="Times New Roman"/>
                <w:color w:val="000000" w:themeColor="text1"/>
                <w:kern w:val="22"/>
                <w:szCs w:val="22"/>
                <w:lang w:val="fr-CA"/>
              </w:rPr>
              <w:t xml:space="preserve"> de l’application. Sur cette base, l’Organe subsidiaire chargé de l’application </w:t>
            </w:r>
            <w:r w:rsidRPr="00797296">
              <w:rPr>
                <w:rFonts w:ascii="Times New Roman" w:hAnsi="Times New Roman" w:cs="Times New Roman"/>
                <w:noProof/>
                <w:color w:val="000000" w:themeColor="text1"/>
                <w:kern w:val="22"/>
                <w:szCs w:val="22"/>
                <w:lang w:val="fr-CA"/>
              </w:rPr>
              <w:t>fournira peut</w:t>
            </w:r>
            <w:r w:rsidRPr="00797296">
              <w:rPr>
                <w:rFonts w:ascii="Times New Roman" w:hAnsi="Times New Roman" w:cs="Times New Roman"/>
                <w:noProof/>
                <w:color w:val="000000" w:themeColor="text1"/>
                <w:kern w:val="22"/>
                <w:szCs w:val="22"/>
                <w:lang w:val="fr-CA"/>
              </w:rPr>
              <w:noBreakHyphen/>
              <w:t>être une recommandation sur cette question aux fins d’examen p</w:t>
            </w:r>
            <w:r w:rsidRPr="00797296">
              <w:rPr>
                <w:rFonts w:ascii="Times New Roman" w:hAnsi="Times New Roman" w:cs="Times New Roman"/>
                <w:color w:val="000000" w:themeColor="text1"/>
                <w:kern w:val="22"/>
                <w:szCs w:val="22"/>
                <w:lang w:val="fr-CA"/>
              </w:rPr>
              <w:t>ar le Groupe de travail à sa troisième réunion.</w:t>
            </w:r>
          </w:p>
        </w:tc>
        <w:tc>
          <w:tcPr>
            <w:tcW w:w="1895" w:type="dxa"/>
            <w:vMerge/>
            <w:shd w:val="clear" w:color="auto" w:fill="FFFFFF" w:themeFill="background1"/>
          </w:tcPr>
          <w:p w14:paraId="088E9207"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r>
      <w:tr w:rsidR="00C6326D" w:rsidRPr="00957249" w14:paraId="2D9AA6CA" w14:textId="77777777" w:rsidTr="00C6326D">
        <w:trPr>
          <w:cantSplit/>
          <w:jc w:val="center"/>
        </w:trPr>
        <w:tc>
          <w:tcPr>
            <w:tcW w:w="2187" w:type="dxa"/>
            <w:vMerge/>
            <w:tcBorders>
              <w:bottom w:val="single" w:sz="4" w:space="0" w:color="auto"/>
            </w:tcBorders>
            <w:shd w:val="clear" w:color="auto" w:fill="FFFFFF" w:themeFill="background1"/>
          </w:tcPr>
          <w:p w14:paraId="61C28DED"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2191" w:type="dxa"/>
            <w:vMerge/>
            <w:tcBorders>
              <w:bottom w:val="single" w:sz="4" w:space="0" w:color="auto"/>
            </w:tcBorders>
            <w:shd w:val="clear" w:color="auto" w:fill="FFFFFF" w:themeFill="background1"/>
          </w:tcPr>
          <w:p w14:paraId="7FCBA518"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p>
        </w:tc>
        <w:tc>
          <w:tcPr>
            <w:tcW w:w="3063" w:type="dxa"/>
            <w:tcBorders>
              <w:bottom w:val="single" w:sz="4" w:space="0" w:color="auto"/>
            </w:tcBorders>
            <w:shd w:val="clear" w:color="auto" w:fill="FFFFFF" w:themeFill="background1"/>
          </w:tcPr>
          <w:p w14:paraId="42898E6B" w14:textId="77777777" w:rsidR="00C6326D" w:rsidRPr="00797296" w:rsidDel="00873F2D" w:rsidRDefault="00C6326D" w:rsidP="00746773">
            <w:pPr>
              <w:spacing w:before="40" w:after="40"/>
              <w:jc w:val="left"/>
              <w:rPr>
                <w:rFonts w:ascii="Times New Roman" w:eastAsia="Malgun Gothic"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Demandes issues des première et deuxième réunions du Groupe de travail</w:t>
            </w:r>
          </w:p>
        </w:tc>
        <w:tc>
          <w:tcPr>
            <w:tcW w:w="1318" w:type="dxa"/>
            <w:tcBorders>
              <w:bottom w:val="single" w:sz="4" w:space="0" w:color="auto"/>
            </w:tcBorders>
            <w:shd w:val="clear" w:color="auto" w:fill="FFFFFF" w:themeFill="background1"/>
          </w:tcPr>
          <w:p w14:paraId="32296CB9" w14:textId="77777777" w:rsidR="00C6326D" w:rsidRPr="00797296" w:rsidRDefault="00C6326D" w:rsidP="00746773">
            <w:pPr>
              <w:spacing w:before="40" w:after="40"/>
              <w:jc w:val="left"/>
              <w:rPr>
                <w:rFonts w:ascii="Times New Roman" w:eastAsia="Malgun Gothic" w:hAnsi="Times New Roman" w:cs="Times New Roman"/>
                <w:color w:val="000000" w:themeColor="text1"/>
                <w:kern w:val="22"/>
                <w:szCs w:val="22"/>
                <w:lang w:val="fr-CA"/>
              </w:rPr>
            </w:pPr>
          </w:p>
        </w:tc>
        <w:tc>
          <w:tcPr>
            <w:tcW w:w="3701" w:type="dxa"/>
            <w:tcBorders>
              <w:bottom w:val="single" w:sz="4" w:space="0" w:color="auto"/>
            </w:tcBorders>
            <w:shd w:val="clear" w:color="auto" w:fill="FFFFFF" w:themeFill="background1"/>
          </w:tcPr>
          <w:p w14:paraId="7A3CC47A" w14:textId="77777777" w:rsidR="00C6326D" w:rsidRPr="00797296" w:rsidRDefault="00C6326D" w:rsidP="00746773">
            <w:pPr>
              <w:spacing w:before="40" w:after="40"/>
              <w:jc w:val="left"/>
              <w:rPr>
                <w:rFonts w:ascii="Times New Roman" w:hAnsi="Times New Roman" w:cs="Times New Roman"/>
                <w:color w:val="000000" w:themeColor="text1"/>
                <w:kern w:val="22"/>
                <w:szCs w:val="22"/>
                <w:shd w:val="clear" w:color="auto" w:fill="FFFFFF"/>
                <w:lang w:val="fr-CA"/>
              </w:rPr>
            </w:pPr>
            <w:r w:rsidRPr="00797296">
              <w:rPr>
                <w:rFonts w:ascii="Times New Roman" w:hAnsi="Times New Roman" w:cs="Times New Roman"/>
                <w:snapToGrid w:val="0"/>
                <w:color w:val="000000" w:themeColor="text1"/>
                <w:kern w:val="22"/>
                <w:szCs w:val="22"/>
                <w:lang w:val="fr-CA"/>
              </w:rPr>
              <w:t>L’Organe subsidiaire chargé de l’application étudiera toute demande supplémentaire émanant des première et deuxième réunions du Groupe de travail et fournira sa recommandation à la troisième réunion du Groupe de travail, qui pourrait comprendre une orientation sur les SPANB et autres mécanismes de mise en œuvre.</w:t>
            </w:r>
          </w:p>
        </w:tc>
        <w:tc>
          <w:tcPr>
            <w:tcW w:w="1895" w:type="dxa"/>
            <w:vMerge/>
            <w:tcBorders>
              <w:bottom w:val="single" w:sz="4" w:space="0" w:color="auto"/>
            </w:tcBorders>
            <w:shd w:val="clear" w:color="auto" w:fill="FFFFFF" w:themeFill="background1"/>
          </w:tcPr>
          <w:p w14:paraId="084A8345"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p>
        </w:tc>
      </w:tr>
      <w:tr w:rsidR="00797296" w:rsidRPr="00797296" w14:paraId="3C517AB1" w14:textId="77777777" w:rsidTr="00C6326D">
        <w:trPr>
          <w:cantSplit/>
          <w:jc w:val="center"/>
        </w:trPr>
        <w:tc>
          <w:tcPr>
            <w:tcW w:w="2187" w:type="dxa"/>
            <w:shd w:val="clear" w:color="auto" w:fill="FFFFFF" w:themeFill="background1"/>
          </w:tcPr>
          <w:p w14:paraId="20FD5A1E"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r w:rsidRPr="00797296">
              <w:rPr>
                <w:rFonts w:ascii="Times New Roman" w:hAnsi="Times New Roman" w:cs="Times New Roman"/>
                <w:color w:val="000000" w:themeColor="text1"/>
                <w:kern w:val="22"/>
                <w:szCs w:val="22"/>
                <w:lang w:val="fr-CA"/>
              </w:rPr>
              <w:t>27</w:t>
            </w:r>
            <w:r w:rsidRPr="00797296">
              <w:rPr>
                <w:rFonts w:ascii="Times New Roman" w:hAnsi="Times New Roman" w:cs="Times New Roman"/>
                <w:color w:val="000000" w:themeColor="text1"/>
                <w:kern w:val="22"/>
                <w:szCs w:val="22"/>
                <w:lang w:val="fr-CA"/>
              </w:rPr>
              <w:noBreakHyphen/>
              <w:t>31 juillet 2020, Cali, Colombie</w:t>
            </w:r>
          </w:p>
        </w:tc>
        <w:tc>
          <w:tcPr>
            <w:tcW w:w="2191" w:type="dxa"/>
            <w:shd w:val="clear" w:color="auto" w:fill="FFFFFF" w:themeFill="background1"/>
          </w:tcPr>
          <w:p w14:paraId="3276F65C" w14:textId="77777777" w:rsidR="00C6326D" w:rsidRPr="00797296" w:rsidRDefault="00C6326D" w:rsidP="00746773">
            <w:pPr>
              <w:spacing w:before="40" w:after="40"/>
              <w:jc w:val="left"/>
              <w:rPr>
                <w:rFonts w:ascii="Times New Roman" w:hAnsi="Times New Roman" w:cs="Times New Roman"/>
                <w:b/>
                <w:bCs/>
                <w:color w:val="000000" w:themeColor="text1"/>
                <w:kern w:val="22"/>
                <w:szCs w:val="22"/>
                <w:shd w:val="clear" w:color="auto" w:fill="FFFFFF"/>
                <w:lang w:val="fr-CA"/>
              </w:rPr>
            </w:pPr>
            <w:r w:rsidRPr="00797296">
              <w:rPr>
                <w:rFonts w:ascii="Times New Roman" w:hAnsi="Times New Roman" w:cs="Times New Roman"/>
                <w:color w:val="000000" w:themeColor="text1"/>
                <w:kern w:val="22"/>
                <w:szCs w:val="22"/>
                <w:lang w:val="fr-CA"/>
              </w:rPr>
              <w:t>Troisième réunion du Groupe de travail</w:t>
            </w:r>
          </w:p>
        </w:tc>
        <w:tc>
          <w:tcPr>
            <w:tcW w:w="3063" w:type="dxa"/>
            <w:shd w:val="clear" w:color="auto" w:fill="FFFFFF" w:themeFill="background1"/>
          </w:tcPr>
          <w:p w14:paraId="18D5E983" w14:textId="77777777" w:rsidR="00C6326D" w:rsidRPr="00797296" w:rsidDel="00873F2D" w:rsidRDefault="00C6326D" w:rsidP="00746773">
            <w:pPr>
              <w:pStyle w:val="Para3"/>
              <w:numPr>
                <w:ilvl w:val="0"/>
                <w:numId w:val="0"/>
              </w:numPr>
              <w:spacing w:before="40" w:after="40"/>
              <w:ind w:left="40"/>
              <w:jc w:val="left"/>
              <w:rPr>
                <w:rFonts w:ascii="Times New Roman" w:hAnsi="Times New Roman" w:cs="Times New Roman"/>
                <w:snapToGrid w:val="0"/>
                <w:color w:val="000000" w:themeColor="text1"/>
                <w:kern w:val="22"/>
                <w:szCs w:val="22"/>
                <w:lang w:val="fr-CA"/>
              </w:rPr>
            </w:pPr>
          </w:p>
        </w:tc>
        <w:tc>
          <w:tcPr>
            <w:tcW w:w="1318" w:type="dxa"/>
            <w:shd w:val="clear" w:color="auto" w:fill="FFFFFF" w:themeFill="background1"/>
          </w:tcPr>
          <w:p w14:paraId="616C0202"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iCs/>
                <w:color w:val="000000" w:themeColor="text1"/>
                <w:kern w:val="22"/>
                <w:szCs w:val="22"/>
                <w:lang w:val="fr-CA"/>
              </w:rPr>
              <w:t>Décision 14/34</w:t>
            </w:r>
          </w:p>
        </w:tc>
        <w:tc>
          <w:tcPr>
            <w:tcW w:w="3701" w:type="dxa"/>
            <w:shd w:val="clear" w:color="auto" w:fill="FFFFFF" w:themeFill="background1"/>
          </w:tcPr>
          <w:p w14:paraId="0795E225" w14:textId="77777777" w:rsidR="00C6326D" w:rsidRPr="00797296" w:rsidRDefault="00C6326D" w:rsidP="00746773">
            <w:pPr>
              <w:spacing w:before="40" w:after="40"/>
              <w:jc w:val="left"/>
              <w:rPr>
                <w:rFonts w:ascii="Times New Roman" w:hAnsi="Times New Roman" w:cs="Times New Roman"/>
                <w:iCs/>
                <w:snapToGrid w:val="0"/>
                <w:color w:val="000000" w:themeColor="text1"/>
                <w:kern w:val="22"/>
                <w:szCs w:val="22"/>
                <w:lang w:val="fr-CA"/>
              </w:rPr>
            </w:pPr>
            <w:r w:rsidRPr="00797296">
              <w:rPr>
                <w:rFonts w:ascii="Times New Roman" w:hAnsi="Times New Roman" w:cs="Times New Roman"/>
                <w:iCs/>
                <w:snapToGrid w:val="0"/>
                <w:color w:val="000000" w:themeColor="text1"/>
                <w:kern w:val="22"/>
                <w:szCs w:val="22"/>
                <w:lang w:val="fr-CA"/>
              </w:rPr>
              <w:t>Sur la base de ses travaux précédents et des travaux des organes subsidiaires et d’autres consultations, le Groupe de travail élaborera un texte pour le cadre mondial de la biodiversité pour l’après</w:t>
            </w:r>
            <w:r w:rsidRPr="00797296">
              <w:rPr>
                <w:rFonts w:ascii="Times New Roman" w:hAnsi="Times New Roman" w:cs="Times New Roman"/>
                <w:iCs/>
                <w:snapToGrid w:val="0"/>
                <w:color w:val="000000" w:themeColor="text1"/>
                <w:kern w:val="22"/>
                <w:szCs w:val="22"/>
                <w:lang w:val="fr-CA"/>
              </w:rPr>
              <w:noBreakHyphen/>
              <w:t>2020 aux fins d’examen par la Conférence des Parties à sa quinzième réunion.</w:t>
            </w:r>
          </w:p>
        </w:tc>
        <w:tc>
          <w:tcPr>
            <w:tcW w:w="1895" w:type="dxa"/>
            <w:shd w:val="clear" w:color="auto" w:fill="FFFFFF" w:themeFill="background1"/>
          </w:tcPr>
          <w:p w14:paraId="1C1149A2"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Réunion intergouvernementale</w:t>
            </w:r>
          </w:p>
          <w:p w14:paraId="5E429B6D" w14:textId="77777777" w:rsidR="00C6326D" w:rsidRPr="00797296" w:rsidRDefault="00C6326D" w:rsidP="00746773">
            <w:pPr>
              <w:spacing w:before="40" w:after="40"/>
              <w:jc w:val="left"/>
              <w:rPr>
                <w:rFonts w:ascii="Times New Roman" w:hAnsi="Times New Roman" w:cs="Times New Roman"/>
                <w:color w:val="000000" w:themeColor="text1"/>
                <w:kern w:val="22"/>
                <w:szCs w:val="22"/>
                <w:lang w:val="fr-CA"/>
              </w:rPr>
            </w:pPr>
            <w:r w:rsidRPr="00797296">
              <w:rPr>
                <w:rFonts w:ascii="Times New Roman" w:hAnsi="Times New Roman" w:cs="Times New Roman"/>
                <w:color w:val="000000" w:themeColor="text1"/>
                <w:kern w:val="22"/>
                <w:szCs w:val="22"/>
                <w:lang w:val="fr-CA"/>
              </w:rPr>
              <w:t>1</w:t>
            </w:r>
          </w:p>
        </w:tc>
      </w:tr>
    </w:tbl>
    <w:p w14:paraId="0F0FB0FA" w14:textId="6D5A6540" w:rsidR="005836BE" w:rsidRPr="005836BE" w:rsidRDefault="005836BE" w:rsidP="005836BE">
      <w:pPr>
        <w:pStyle w:val="Para10"/>
        <w:numPr>
          <w:ilvl w:val="0"/>
          <w:numId w:val="0"/>
        </w:numPr>
        <w:suppressLineNumbers/>
        <w:suppressAutoHyphens/>
        <w:jc w:val="center"/>
        <w:rPr>
          <w:b/>
          <w:bCs/>
          <w:kern w:val="22"/>
          <w:szCs w:val="22"/>
          <w:lang w:val="fr-CA"/>
        </w:rPr>
      </w:pPr>
      <w:r w:rsidRPr="005836BE">
        <w:rPr>
          <w:b/>
          <w:bCs/>
          <w:kern w:val="22"/>
          <w:szCs w:val="22"/>
          <w:lang w:val="fr-CA"/>
        </w:rPr>
        <w:t>Tableau 2</w:t>
      </w:r>
      <w:r>
        <w:rPr>
          <w:b/>
          <w:bCs/>
          <w:kern w:val="22"/>
          <w:szCs w:val="22"/>
          <w:lang w:val="fr-CA"/>
        </w:rPr>
        <w:t xml:space="preserve">.  </w:t>
      </w:r>
      <w:r w:rsidRPr="005836BE">
        <w:rPr>
          <w:b/>
          <w:bCs/>
          <w:kern w:val="22"/>
          <w:szCs w:val="22"/>
          <w:lang w:val="fr-CA"/>
        </w:rPr>
        <w:t>Autres consultations et ateliers</w:t>
      </w:r>
    </w:p>
    <w:tbl>
      <w:tblPr>
        <w:tblStyle w:val="TableGrid"/>
        <w:tblW w:w="5000" w:type="pct"/>
        <w:tblLayout w:type="fixed"/>
        <w:tblLook w:val="04A0" w:firstRow="1" w:lastRow="0" w:firstColumn="1" w:lastColumn="0" w:noHBand="0" w:noVBand="1"/>
      </w:tblPr>
      <w:tblGrid>
        <w:gridCol w:w="2154"/>
        <w:gridCol w:w="2157"/>
        <w:gridCol w:w="3016"/>
        <w:gridCol w:w="1297"/>
        <w:gridCol w:w="3644"/>
        <w:gridCol w:w="1861"/>
      </w:tblGrid>
      <w:tr w:rsidR="005836BE" w:rsidRPr="000E408A" w14:paraId="3C5DC144" w14:textId="77777777" w:rsidTr="00746773">
        <w:tc>
          <w:tcPr>
            <w:tcW w:w="2154" w:type="dxa"/>
          </w:tcPr>
          <w:p w14:paraId="68050E75" w14:textId="77777777" w:rsidR="005836BE" w:rsidRPr="000E408A" w:rsidRDefault="005836BE" w:rsidP="00746773">
            <w:pPr>
              <w:spacing w:before="40" w:after="40"/>
              <w:jc w:val="center"/>
              <w:rPr>
                <w:rFonts w:ascii="Times New Roman" w:hAnsi="Times New Roman" w:cs="Times New Roman"/>
                <w:i/>
                <w:color w:val="000000" w:themeColor="text1"/>
                <w:kern w:val="22"/>
                <w:szCs w:val="22"/>
              </w:rPr>
            </w:pPr>
            <w:r w:rsidRPr="009C60E7">
              <w:rPr>
                <w:i/>
                <w:color w:val="000000" w:themeColor="text1"/>
                <w:kern w:val="22"/>
                <w:szCs w:val="22"/>
                <w:lang w:val="fr-CA"/>
              </w:rPr>
              <w:t>Date et lieu</w:t>
            </w:r>
          </w:p>
        </w:tc>
        <w:tc>
          <w:tcPr>
            <w:tcW w:w="2157" w:type="dxa"/>
          </w:tcPr>
          <w:p w14:paraId="25087BB7" w14:textId="77777777" w:rsidR="005836BE" w:rsidRPr="000E408A" w:rsidRDefault="005836BE" w:rsidP="00746773">
            <w:pPr>
              <w:spacing w:before="40" w:after="40"/>
              <w:jc w:val="center"/>
              <w:rPr>
                <w:rFonts w:ascii="Times New Roman" w:hAnsi="Times New Roman" w:cs="Times New Roman"/>
                <w:i/>
                <w:color w:val="000000" w:themeColor="text1"/>
                <w:kern w:val="22"/>
                <w:szCs w:val="22"/>
              </w:rPr>
            </w:pPr>
            <w:r w:rsidRPr="009C60E7">
              <w:rPr>
                <w:i/>
                <w:color w:val="000000" w:themeColor="text1"/>
                <w:kern w:val="22"/>
                <w:szCs w:val="22"/>
                <w:lang w:val="fr-CA"/>
              </w:rPr>
              <w:t>Réunion</w:t>
            </w:r>
          </w:p>
        </w:tc>
        <w:tc>
          <w:tcPr>
            <w:tcW w:w="3016" w:type="dxa"/>
          </w:tcPr>
          <w:p w14:paraId="517EF3D2" w14:textId="77777777" w:rsidR="005836BE" w:rsidRPr="006E1FC1" w:rsidRDefault="005836BE" w:rsidP="00746773">
            <w:pPr>
              <w:spacing w:before="40" w:after="40"/>
              <w:jc w:val="center"/>
              <w:rPr>
                <w:rFonts w:ascii="Times New Roman" w:hAnsi="Times New Roman" w:cs="Times New Roman"/>
                <w:i/>
                <w:color w:val="000000" w:themeColor="text1"/>
                <w:kern w:val="22"/>
                <w:szCs w:val="22"/>
                <w:lang w:val="fr-CA"/>
              </w:rPr>
            </w:pPr>
            <w:r w:rsidRPr="009C60E7">
              <w:rPr>
                <w:i/>
                <w:color w:val="000000" w:themeColor="text1"/>
                <w:kern w:val="22"/>
                <w:szCs w:val="22"/>
                <w:lang w:val="fr-CA"/>
              </w:rPr>
              <w:t>Élément du cadre mondial de la biodiversité pour l</w:t>
            </w:r>
            <w:r>
              <w:rPr>
                <w:i/>
                <w:color w:val="000000" w:themeColor="text1"/>
                <w:kern w:val="22"/>
                <w:szCs w:val="22"/>
                <w:lang w:val="fr-CA"/>
              </w:rPr>
              <w:t>’</w:t>
            </w:r>
            <w:r w:rsidRPr="009C60E7">
              <w:rPr>
                <w:i/>
                <w:color w:val="000000" w:themeColor="text1"/>
                <w:kern w:val="22"/>
                <w:szCs w:val="22"/>
                <w:lang w:val="fr-CA"/>
              </w:rPr>
              <w:t>après</w:t>
            </w:r>
            <w:r>
              <w:rPr>
                <w:i/>
                <w:color w:val="000000" w:themeColor="text1"/>
                <w:kern w:val="22"/>
                <w:szCs w:val="22"/>
                <w:lang w:val="fr-CA"/>
              </w:rPr>
              <w:noBreakHyphen/>
            </w:r>
            <w:r w:rsidRPr="009C60E7">
              <w:rPr>
                <w:i/>
                <w:color w:val="000000" w:themeColor="text1"/>
                <w:kern w:val="22"/>
                <w:szCs w:val="22"/>
                <w:lang w:val="fr-CA"/>
              </w:rPr>
              <w:t>2020</w:t>
            </w:r>
          </w:p>
        </w:tc>
        <w:tc>
          <w:tcPr>
            <w:tcW w:w="1297" w:type="dxa"/>
          </w:tcPr>
          <w:p w14:paraId="0E5C9F0D" w14:textId="77777777" w:rsidR="005836BE" w:rsidRPr="000E408A" w:rsidRDefault="005836BE" w:rsidP="00746773">
            <w:pPr>
              <w:spacing w:before="40" w:after="40"/>
              <w:jc w:val="center"/>
              <w:rPr>
                <w:rFonts w:ascii="Times New Roman" w:hAnsi="Times New Roman" w:cs="Times New Roman"/>
                <w:i/>
                <w:color w:val="000000" w:themeColor="text1"/>
                <w:kern w:val="22"/>
                <w:szCs w:val="22"/>
              </w:rPr>
            </w:pPr>
            <w:r w:rsidRPr="009C60E7">
              <w:rPr>
                <w:rFonts w:ascii="Times New Roman" w:hAnsi="Times New Roman" w:cs="Times New Roman"/>
                <w:i/>
                <w:color w:val="000000" w:themeColor="text1"/>
                <w:kern w:val="22"/>
                <w:szCs w:val="22"/>
                <w:lang w:val="fr-CA"/>
              </w:rPr>
              <w:t>Mandat</w:t>
            </w:r>
          </w:p>
        </w:tc>
        <w:tc>
          <w:tcPr>
            <w:tcW w:w="3644" w:type="dxa"/>
          </w:tcPr>
          <w:p w14:paraId="124E6E72" w14:textId="77777777" w:rsidR="005836BE" w:rsidRPr="000E408A" w:rsidRDefault="005836BE" w:rsidP="00746773">
            <w:pPr>
              <w:spacing w:before="40" w:after="40"/>
              <w:jc w:val="center"/>
              <w:rPr>
                <w:rFonts w:ascii="Times New Roman" w:hAnsi="Times New Roman" w:cs="Times New Roman"/>
                <w:i/>
                <w:color w:val="000000" w:themeColor="text1"/>
                <w:kern w:val="22"/>
                <w:szCs w:val="22"/>
              </w:rPr>
            </w:pPr>
            <w:r w:rsidRPr="009C60E7">
              <w:rPr>
                <w:i/>
                <w:color w:val="000000" w:themeColor="text1"/>
                <w:kern w:val="22"/>
                <w:szCs w:val="22"/>
                <w:lang w:val="fr-CA"/>
              </w:rPr>
              <w:t>Rôle/modalité</w:t>
            </w:r>
          </w:p>
        </w:tc>
        <w:tc>
          <w:tcPr>
            <w:tcW w:w="1861" w:type="dxa"/>
          </w:tcPr>
          <w:p w14:paraId="65EFD225" w14:textId="77777777" w:rsidR="005836BE" w:rsidRPr="000E408A" w:rsidRDefault="005836BE" w:rsidP="00746773">
            <w:pPr>
              <w:spacing w:before="40" w:after="40"/>
              <w:jc w:val="center"/>
              <w:rPr>
                <w:rFonts w:ascii="Times New Roman" w:hAnsi="Times New Roman" w:cs="Times New Roman"/>
                <w:i/>
                <w:color w:val="000000" w:themeColor="text1"/>
                <w:kern w:val="22"/>
                <w:szCs w:val="22"/>
              </w:rPr>
            </w:pPr>
            <w:r w:rsidRPr="009C60E7">
              <w:rPr>
                <w:rFonts w:ascii="Times New Roman" w:hAnsi="Times New Roman" w:cs="Times New Roman"/>
                <w:i/>
                <w:color w:val="000000" w:themeColor="text1"/>
                <w:kern w:val="22"/>
                <w:szCs w:val="22"/>
                <w:lang w:val="fr-CA"/>
              </w:rPr>
              <w:t>Type</w:t>
            </w:r>
          </w:p>
        </w:tc>
      </w:tr>
      <w:tr w:rsidR="005836BE" w:rsidRPr="00A7481E" w14:paraId="4B560B6E" w14:textId="77777777" w:rsidTr="005836BE">
        <w:tblPrEx>
          <w:jc w:val="center"/>
        </w:tblPrEx>
        <w:trPr>
          <w:cantSplit/>
          <w:jc w:val="center"/>
        </w:trPr>
        <w:tc>
          <w:tcPr>
            <w:tcW w:w="2154" w:type="dxa"/>
            <w:tcBorders>
              <w:bottom w:val="single" w:sz="4" w:space="0" w:color="auto"/>
            </w:tcBorders>
            <w:shd w:val="clear" w:color="auto" w:fill="auto"/>
          </w:tcPr>
          <w:p w14:paraId="73CC0FC9" w14:textId="0AC2FCB3"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30 octobre </w:t>
            </w:r>
            <w:r w:rsidR="005148CB">
              <w:rPr>
                <w:rFonts w:ascii="Times New Roman" w:hAnsi="Times New Roman" w:cs="Times New Roman"/>
                <w:color w:val="000000" w:themeColor="text1"/>
                <w:kern w:val="22"/>
                <w:szCs w:val="22"/>
                <w:lang w:val="fr-CA"/>
              </w:rPr>
              <w:t>-</w:t>
            </w:r>
            <w:r>
              <w:rPr>
                <w:rFonts w:ascii="Times New Roman" w:hAnsi="Times New Roman" w:cs="Times New Roman"/>
                <w:color w:val="000000" w:themeColor="text1"/>
                <w:kern w:val="22"/>
                <w:szCs w:val="22"/>
                <w:lang w:val="fr-CA"/>
              </w:rPr>
              <w:t xml:space="preserve"> 1</w:t>
            </w:r>
            <w:r w:rsidRPr="00A7481E">
              <w:rPr>
                <w:rFonts w:ascii="Times New Roman" w:hAnsi="Times New Roman" w:cs="Times New Roman"/>
                <w:color w:val="000000" w:themeColor="text1"/>
                <w:kern w:val="22"/>
                <w:szCs w:val="22"/>
                <w:vertAlign w:val="superscript"/>
                <w:lang w:val="fr-CA"/>
              </w:rPr>
              <w:t>er</w:t>
            </w:r>
            <w:r>
              <w:rPr>
                <w:rFonts w:ascii="Times New Roman" w:hAnsi="Times New Roman" w:cs="Times New Roman"/>
                <w:color w:val="000000" w:themeColor="text1"/>
                <w:kern w:val="22"/>
                <w:szCs w:val="22"/>
                <w:lang w:val="fr-CA"/>
              </w:rPr>
              <w:t xml:space="preserve"> novembre </w:t>
            </w:r>
            <w:r w:rsidRPr="00A7481E">
              <w:rPr>
                <w:rFonts w:ascii="Times New Roman" w:hAnsi="Times New Roman" w:cs="Times New Roman"/>
                <w:color w:val="000000" w:themeColor="text1"/>
                <w:kern w:val="22"/>
                <w:szCs w:val="22"/>
                <w:lang w:val="fr-CA"/>
              </w:rPr>
              <w:t xml:space="preserve">2019 Rio de Janeiro, </w:t>
            </w:r>
            <w:r>
              <w:rPr>
                <w:rFonts w:ascii="Times New Roman" w:hAnsi="Times New Roman" w:cs="Times New Roman"/>
                <w:color w:val="000000" w:themeColor="text1"/>
                <w:kern w:val="22"/>
                <w:szCs w:val="22"/>
                <w:lang w:val="fr-CA"/>
              </w:rPr>
              <w:t>Brésil</w:t>
            </w:r>
          </w:p>
        </w:tc>
        <w:tc>
          <w:tcPr>
            <w:tcW w:w="2157" w:type="dxa"/>
            <w:tcBorders>
              <w:bottom w:val="single" w:sz="4" w:space="0" w:color="auto"/>
            </w:tcBorders>
            <w:shd w:val="clear" w:color="auto" w:fill="auto"/>
          </w:tcPr>
          <w:p w14:paraId="76869A29"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 sur la restauration des écosystèmes</w:t>
            </w:r>
          </w:p>
        </w:tc>
        <w:tc>
          <w:tcPr>
            <w:tcW w:w="3016" w:type="dxa"/>
            <w:tcBorders>
              <w:bottom w:val="single" w:sz="4" w:space="0" w:color="auto"/>
            </w:tcBorders>
            <w:shd w:val="clear" w:color="auto" w:fill="auto"/>
          </w:tcPr>
          <w:p w14:paraId="24D518BF"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Restauration des écosystèmes</w:t>
            </w:r>
          </w:p>
        </w:tc>
        <w:tc>
          <w:tcPr>
            <w:tcW w:w="1297" w:type="dxa"/>
            <w:tcBorders>
              <w:bottom w:val="single" w:sz="4" w:space="0" w:color="auto"/>
            </w:tcBorders>
            <w:shd w:val="clear" w:color="auto" w:fill="auto"/>
          </w:tcPr>
          <w:p w14:paraId="1E2328FC"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tcBorders>
              <w:bottom w:val="single" w:sz="4" w:space="0" w:color="auto"/>
            </w:tcBorders>
            <w:shd w:val="clear" w:color="auto" w:fill="auto"/>
          </w:tcPr>
          <w:p w14:paraId="45E81DF8" w14:textId="77777777" w:rsidR="005836BE" w:rsidRPr="00423CFE" w:rsidRDefault="005836BE" w:rsidP="00746773">
            <w:pPr>
              <w:spacing w:before="40" w:after="40"/>
              <w:jc w:val="left"/>
              <w:rPr>
                <w:rFonts w:ascii="Times New Roman" w:hAnsi="Times New Roman" w:cs="Times New Roman"/>
                <w:color w:val="000000" w:themeColor="text1"/>
                <w:kern w:val="22"/>
                <w:szCs w:val="22"/>
                <w:lang w:val="fr-CA"/>
              </w:rPr>
            </w:pPr>
            <w:r w:rsidRPr="00423CFE">
              <w:rPr>
                <w:rFonts w:ascii="Times New Roman" w:hAnsi="Times New Roman" w:cs="Times New Roman"/>
                <w:color w:val="000000" w:themeColor="text1"/>
                <w:kern w:val="22"/>
                <w:szCs w:val="22"/>
                <w:lang w:val="fr-CA"/>
              </w:rPr>
              <w:t>Un rapport de l’atelier sera mis à la disposition de la deuxi</w:t>
            </w:r>
            <w:r>
              <w:rPr>
                <w:rFonts w:ascii="Times New Roman" w:hAnsi="Times New Roman" w:cs="Times New Roman"/>
                <w:color w:val="000000" w:themeColor="text1"/>
                <w:kern w:val="22"/>
                <w:szCs w:val="22"/>
                <w:lang w:val="fr-CA"/>
              </w:rPr>
              <w:t>ème réunion du Groupe de travail.</w:t>
            </w:r>
          </w:p>
        </w:tc>
        <w:tc>
          <w:tcPr>
            <w:tcW w:w="1861" w:type="dxa"/>
            <w:tcBorders>
              <w:bottom w:val="single" w:sz="4" w:space="0" w:color="auto"/>
            </w:tcBorders>
            <w:shd w:val="clear" w:color="auto" w:fill="auto"/>
          </w:tcPr>
          <w:p w14:paraId="74D28570"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 4</w:t>
            </w:r>
          </w:p>
        </w:tc>
      </w:tr>
      <w:tr w:rsidR="005836BE" w:rsidRPr="00A7481E" w14:paraId="6F55CB42" w14:textId="77777777" w:rsidTr="005836BE">
        <w:tblPrEx>
          <w:jc w:val="center"/>
        </w:tblPrEx>
        <w:trPr>
          <w:cantSplit/>
          <w:jc w:val="center"/>
        </w:trPr>
        <w:tc>
          <w:tcPr>
            <w:tcW w:w="2154" w:type="dxa"/>
            <w:tcBorders>
              <w:bottom w:val="single" w:sz="4" w:space="0" w:color="auto"/>
            </w:tcBorders>
            <w:shd w:val="clear" w:color="auto" w:fill="auto"/>
          </w:tcPr>
          <w:p w14:paraId="3F014A9C"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13-15 novembre 2019, Montréal</w:t>
            </w:r>
            <w:r w:rsidRPr="00A7481E">
              <w:rPr>
                <w:rFonts w:ascii="Times New Roman" w:hAnsi="Times New Roman" w:cs="Times New Roman"/>
                <w:color w:val="000000" w:themeColor="text1"/>
                <w:kern w:val="22"/>
                <w:szCs w:val="22"/>
                <w:lang w:val="fr-CA"/>
              </w:rPr>
              <w:t>, Canada</w:t>
            </w:r>
          </w:p>
        </w:tc>
        <w:tc>
          <w:tcPr>
            <w:tcW w:w="2157" w:type="dxa"/>
            <w:tcBorders>
              <w:bottom w:val="single" w:sz="4" w:space="0" w:color="auto"/>
            </w:tcBorders>
            <w:shd w:val="clear" w:color="auto" w:fill="auto"/>
          </w:tcPr>
          <w:p w14:paraId="2F981FBC"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 sur l’environnement marin</w:t>
            </w:r>
          </w:p>
        </w:tc>
        <w:tc>
          <w:tcPr>
            <w:tcW w:w="3016" w:type="dxa"/>
            <w:tcBorders>
              <w:bottom w:val="single" w:sz="4" w:space="0" w:color="auto"/>
            </w:tcBorders>
            <w:shd w:val="clear" w:color="auto" w:fill="auto"/>
          </w:tcPr>
          <w:p w14:paraId="7A0639B3"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Écosystèmes marins</w:t>
            </w:r>
          </w:p>
        </w:tc>
        <w:tc>
          <w:tcPr>
            <w:tcW w:w="1297" w:type="dxa"/>
            <w:tcBorders>
              <w:bottom w:val="single" w:sz="4" w:space="0" w:color="auto"/>
            </w:tcBorders>
            <w:shd w:val="clear" w:color="auto" w:fill="auto"/>
          </w:tcPr>
          <w:p w14:paraId="5BE07007"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tcBorders>
              <w:bottom w:val="single" w:sz="4" w:space="0" w:color="auto"/>
            </w:tcBorders>
            <w:shd w:val="clear" w:color="auto" w:fill="auto"/>
          </w:tcPr>
          <w:p w14:paraId="4C369AE1"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423CFE">
              <w:rPr>
                <w:rFonts w:ascii="Times New Roman" w:hAnsi="Times New Roman" w:cs="Times New Roman"/>
                <w:color w:val="000000" w:themeColor="text1"/>
                <w:kern w:val="22"/>
                <w:szCs w:val="22"/>
                <w:lang w:val="fr-CA"/>
              </w:rPr>
              <w:t>Un rapport de l’atelier sera mis à la disposition de la deuxi</w:t>
            </w:r>
            <w:r>
              <w:rPr>
                <w:rFonts w:ascii="Times New Roman" w:hAnsi="Times New Roman" w:cs="Times New Roman"/>
                <w:color w:val="000000" w:themeColor="text1"/>
                <w:kern w:val="22"/>
                <w:szCs w:val="22"/>
                <w:lang w:val="fr-CA"/>
              </w:rPr>
              <w:t>ème réunion du Groupe de travail.</w:t>
            </w:r>
          </w:p>
        </w:tc>
        <w:tc>
          <w:tcPr>
            <w:tcW w:w="1861" w:type="dxa"/>
            <w:tcBorders>
              <w:bottom w:val="single" w:sz="4" w:space="0" w:color="auto"/>
            </w:tcBorders>
            <w:shd w:val="clear" w:color="auto" w:fill="auto"/>
          </w:tcPr>
          <w:p w14:paraId="65E07783"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 4</w:t>
            </w:r>
          </w:p>
        </w:tc>
      </w:tr>
      <w:tr w:rsidR="005836BE" w:rsidRPr="00A7481E" w14:paraId="74CA48F2" w14:textId="77777777" w:rsidTr="005836BE">
        <w:tblPrEx>
          <w:jc w:val="center"/>
        </w:tblPrEx>
        <w:trPr>
          <w:cantSplit/>
          <w:jc w:val="center"/>
        </w:trPr>
        <w:tc>
          <w:tcPr>
            <w:tcW w:w="2154" w:type="dxa"/>
            <w:tcBorders>
              <w:bottom w:val="single" w:sz="4" w:space="0" w:color="auto"/>
            </w:tcBorders>
            <w:shd w:val="clear" w:color="auto" w:fill="auto"/>
          </w:tcPr>
          <w:p w14:paraId="757A2E70" w14:textId="77777777" w:rsidR="005836BE" w:rsidRPr="0009339C" w:rsidRDefault="005836BE" w:rsidP="00746773">
            <w:pPr>
              <w:spacing w:before="40" w:after="40"/>
              <w:jc w:val="left"/>
              <w:rPr>
                <w:rFonts w:ascii="Times New Roman" w:hAnsi="Times New Roman" w:cs="Times New Roman"/>
                <w:color w:val="000000" w:themeColor="text1"/>
                <w:kern w:val="22"/>
                <w:szCs w:val="22"/>
                <w:lang w:val="fr-CA"/>
              </w:rPr>
            </w:pPr>
            <w:r w:rsidRPr="0009339C">
              <w:rPr>
                <w:rFonts w:ascii="Times New Roman" w:hAnsi="Times New Roman" w:cs="Times New Roman"/>
                <w:color w:val="000000" w:themeColor="text1"/>
                <w:kern w:val="22"/>
                <w:szCs w:val="22"/>
                <w:lang w:val="fr-CA"/>
              </w:rPr>
              <w:lastRenderedPageBreak/>
              <w:t xml:space="preserve">24 </w:t>
            </w:r>
            <w:r w:rsidRPr="00AF269B">
              <w:rPr>
                <w:rFonts w:ascii="Times New Roman" w:hAnsi="Times New Roman" w:cs="Times New Roman"/>
                <w:color w:val="000000" w:themeColor="text1"/>
                <w:kern w:val="22"/>
                <w:szCs w:val="22"/>
                <w:lang w:val="fr-CA"/>
              </w:rPr>
              <w:t>novembre, Montréal, Canada (entre la onzième réunion du Groupe de travail sur l’</w:t>
            </w:r>
            <w:r>
              <w:rPr>
                <w:rFonts w:ascii="Times New Roman" w:hAnsi="Times New Roman" w:cs="Times New Roman"/>
                <w:color w:val="000000" w:themeColor="text1"/>
                <w:kern w:val="22"/>
                <w:szCs w:val="22"/>
                <w:lang w:val="fr-CA"/>
              </w:rPr>
              <w:t>article 8 </w:t>
            </w:r>
            <w:r w:rsidRPr="00AF269B">
              <w:rPr>
                <w:rFonts w:ascii="Times New Roman" w:hAnsi="Times New Roman" w:cs="Times New Roman"/>
                <w:color w:val="000000" w:themeColor="text1"/>
                <w:kern w:val="22"/>
                <w:szCs w:val="22"/>
                <w:lang w:val="fr-CA"/>
              </w:rPr>
              <w:t>j) et la v</w:t>
            </w:r>
            <w:r>
              <w:rPr>
                <w:rFonts w:ascii="Times New Roman" w:hAnsi="Times New Roman" w:cs="Times New Roman"/>
                <w:color w:val="000000" w:themeColor="text1"/>
                <w:kern w:val="22"/>
                <w:szCs w:val="22"/>
                <w:lang w:val="fr-CA"/>
              </w:rPr>
              <w:t>i</w:t>
            </w:r>
            <w:r w:rsidRPr="00AF269B">
              <w:rPr>
                <w:rFonts w:ascii="Times New Roman" w:hAnsi="Times New Roman" w:cs="Times New Roman"/>
                <w:color w:val="000000" w:themeColor="text1"/>
                <w:kern w:val="22"/>
                <w:szCs w:val="22"/>
                <w:lang w:val="fr-CA"/>
              </w:rPr>
              <w:t>ngt-troisi</w:t>
            </w:r>
            <w:r>
              <w:rPr>
                <w:rFonts w:ascii="Times New Roman" w:hAnsi="Times New Roman" w:cs="Times New Roman"/>
                <w:color w:val="000000" w:themeColor="text1"/>
                <w:kern w:val="22"/>
                <w:szCs w:val="22"/>
                <w:lang w:val="fr-CA"/>
              </w:rPr>
              <w:t>èm</w:t>
            </w:r>
            <w:r w:rsidRPr="00AF269B">
              <w:rPr>
                <w:rFonts w:ascii="Times New Roman" w:hAnsi="Times New Roman" w:cs="Times New Roman"/>
                <w:color w:val="000000" w:themeColor="text1"/>
                <w:kern w:val="22"/>
                <w:szCs w:val="22"/>
                <w:lang w:val="fr-CA"/>
              </w:rPr>
              <w:t>e réunion de l’</w:t>
            </w:r>
            <w:r w:rsidRPr="00AF269B">
              <w:rPr>
                <w:rFonts w:ascii="Times New Roman" w:eastAsia="Times New Roman" w:hAnsi="Times New Roman" w:cs="Times New Roman"/>
                <w:color w:val="000000" w:themeColor="text1"/>
                <w:kern w:val="22"/>
                <w:szCs w:val="22"/>
                <w:lang w:val="fr-CA"/>
              </w:rPr>
              <w:t xml:space="preserve">Organe subsidiaire chargé de fournir des avis scientifiques, techniques et technologiques </w:t>
            </w:r>
            <w:r w:rsidRPr="00AF269B">
              <w:rPr>
                <w:rFonts w:ascii="Times New Roman" w:hAnsi="Times New Roman" w:cs="Times New Roman"/>
                <w:color w:val="000000" w:themeColor="text1"/>
                <w:kern w:val="22"/>
                <w:szCs w:val="22"/>
                <w:lang w:val="fr-CA"/>
              </w:rPr>
              <w:t xml:space="preserve"> )</w:t>
            </w:r>
          </w:p>
        </w:tc>
        <w:tc>
          <w:tcPr>
            <w:tcW w:w="2157" w:type="dxa"/>
            <w:tcBorders>
              <w:bottom w:val="single" w:sz="4" w:space="0" w:color="auto"/>
            </w:tcBorders>
            <w:shd w:val="clear" w:color="auto" w:fill="auto"/>
          </w:tcPr>
          <w:p w14:paraId="6B547FF0"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Séance d’information informelle des coprésidents du Groupe de travail</w:t>
            </w:r>
          </w:p>
        </w:tc>
        <w:tc>
          <w:tcPr>
            <w:tcW w:w="3016" w:type="dxa"/>
            <w:tcBorders>
              <w:bottom w:val="single" w:sz="4" w:space="0" w:color="auto"/>
            </w:tcBorders>
            <w:shd w:val="clear" w:color="auto" w:fill="auto"/>
          </w:tcPr>
          <w:p w14:paraId="23BD00C4" w14:textId="0EF5EAE6" w:rsidR="005836BE" w:rsidRPr="00A7481E" w:rsidRDefault="005148CB"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Processus préparatoire</w:t>
            </w:r>
          </w:p>
        </w:tc>
        <w:tc>
          <w:tcPr>
            <w:tcW w:w="1297" w:type="dxa"/>
            <w:tcBorders>
              <w:bottom w:val="single" w:sz="4" w:space="0" w:color="auto"/>
            </w:tcBorders>
            <w:shd w:val="clear" w:color="auto" w:fill="auto"/>
          </w:tcPr>
          <w:p w14:paraId="24D32C4E"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tcBorders>
              <w:bottom w:val="single" w:sz="4" w:space="0" w:color="auto"/>
            </w:tcBorders>
            <w:shd w:val="clear" w:color="auto" w:fill="auto"/>
          </w:tcPr>
          <w:p w14:paraId="545782A7" w14:textId="686954A0"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Les coprésidents du Groupe de travail fourniront de l’information sur les progrès accomplis par le Groupe de travail à sa première réunion et dans ses consultations et conclusions </w:t>
            </w:r>
            <w:r w:rsidR="005148CB">
              <w:rPr>
                <w:rFonts w:ascii="Times New Roman" w:hAnsi="Times New Roman" w:cs="Times New Roman"/>
                <w:color w:val="000000" w:themeColor="text1"/>
                <w:kern w:val="22"/>
                <w:szCs w:val="22"/>
                <w:lang w:val="fr-CA"/>
              </w:rPr>
              <w:t>ultérieures</w:t>
            </w:r>
          </w:p>
        </w:tc>
        <w:tc>
          <w:tcPr>
            <w:tcW w:w="1861" w:type="dxa"/>
            <w:tcBorders>
              <w:bottom w:val="single" w:sz="4" w:space="0" w:color="auto"/>
            </w:tcBorders>
            <w:shd w:val="clear" w:color="auto" w:fill="auto"/>
          </w:tcPr>
          <w:p w14:paraId="3C3C2419"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Consultation thématique</w:t>
            </w:r>
          </w:p>
          <w:p w14:paraId="6A41AE58"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A7481E">
              <w:rPr>
                <w:rFonts w:ascii="Times New Roman" w:hAnsi="Times New Roman" w:cs="Times New Roman"/>
                <w:color w:val="000000" w:themeColor="text1"/>
                <w:kern w:val="22"/>
                <w:szCs w:val="22"/>
                <w:lang w:val="fr-CA"/>
              </w:rPr>
              <w:t>3</w:t>
            </w:r>
          </w:p>
        </w:tc>
      </w:tr>
      <w:tr w:rsidR="005836BE" w:rsidRPr="00A7481E" w14:paraId="669C6125" w14:textId="77777777" w:rsidTr="005836BE">
        <w:tblPrEx>
          <w:jc w:val="center"/>
        </w:tblPrEx>
        <w:trPr>
          <w:cantSplit/>
          <w:jc w:val="center"/>
        </w:trPr>
        <w:tc>
          <w:tcPr>
            <w:tcW w:w="2154" w:type="dxa"/>
            <w:shd w:val="clear" w:color="auto" w:fill="auto"/>
          </w:tcPr>
          <w:p w14:paraId="0F5D6A19"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À déterminer</w:t>
            </w:r>
          </w:p>
        </w:tc>
        <w:tc>
          <w:tcPr>
            <w:tcW w:w="2157" w:type="dxa"/>
            <w:shd w:val="clear" w:color="auto" w:fill="auto"/>
          </w:tcPr>
          <w:p w14:paraId="0DBBF011"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 sur les mesures de conservation fondées sur les aires</w:t>
            </w:r>
          </w:p>
        </w:tc>
        <w:tc>
          <w:tcPr>
            <w:tcW w:w="3016" w:type="dxa"/>
            <w:shd w:val="clear" w:color="auto" w:fill="auto"/>
          </w:tcPr>
          <w:p w14:paraId="7DF56B61"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Aires protégées et autres mesures de gestion des habitats fondées sur les aires</w:t>
            </w:r>
          </w:p>
        </w:tc>
        <w:tc>
          <w:tcPr>
            <w:tcW w:w="1297" w:type="dxa"/>
            <w:shd w:val="clear" w:color="auto" w:fill="auto"/>
          </w:tcPr>
          <w:p w14:paraId="4B2552B6"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shd w:val="clear" w:color="auto" w:fill="auto"/>
          </w:tcPr>
          <w:p w14:paraId="71E2EE4D"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423CFE">
              <w:rPr>
                <w:rFonts w:ascii="Times New Roman" w:hAnsi="Times New Roman" w:cs="Times New Roman"/>
                <w:color w:val="000000" w:themeColor="text1"/>
                <w:kern w:val="22"/>
                <w:szCs w:val="22"/>
                <w:lang w:val="fr-CA"/>
              </w:rPr>
              <w:t>Un rapport de l’atelier sera mis à la disposition de la deuxi</w:t>
            </w:r>
            <w:r>
              <w:rPr>
                <w:rFonts w:ascii="Times New Roman" w:hAnsi="Times New Roman" w:cs="Times New Roman"/>
                <w:color w:val="000000" w:themeColor="text1"/>
                <w:kern w:val="22"/>
                <w:szCs w:val="22"/>
                <w:lang w:val="fr-CA"/>
              </w:rPr>
              <w:t>ème réunion du Groupe de travail.</w:t>
            </w:r>
            <w:r w:rsidRPr="00A7481E">
              <w:rPr>
                <w:rFonts w:ascii="Times New Roman" w:hAnsi="Times New Roman" w:cs="Times New Roman"/>
                <w:color w:val="000000" w:themeColor="text1"/>
                <w:kern w:val="22"/>
                <w:szCs w:val="22"/>
                <w:lang w:val="fr-CA"/>
              </w:rPr>
              <w:t>.</w:t>
            </w:r>
          </w:p>
        </w:tc>
        <w:tc>
          <w:tcPr>
            <w:tcW w:w="1861" w:type="dxa"/>
            <w:shd w:val="clear" w:color="auto" w:fill="auto"/>
          </w:tcPr>
          <w:p w14:paraId="29DCE62D"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w:t>
            </w:r>
          </w:p>
          <w:p w14:paraId="1A771CE6"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A7481E">
              <w:rPr>
                <w:rFonts w:ascii="Times New Roman" w:hAnsi="Times New Roman" w:cs="Times New Roman"/>
                <w:color w:val="000000" w:themeColor="text1"/>
                <w:kern w:val="22"/>
                <w:szCs w:val="22"/>
                <w:lang w:val="fr-CA"/>
              </w:rPr>
              <w:t>4</w:t>
            </w:r>
          </w:p>
        </w:tc>
      </w:tr>
      <w:tr w:rsidR="005836BE" w:rsidRPr="00A7481E" w14:paraId="60D7D90D" w14:textId="77777777" w:rsidTr="005836BE">
        <w:tblPrEx>
          <w:jc w:val="center"/>
        </w:tblPrEx>
        <w:trPr>
          <w:cantSplit/>
          <w:jc w:val="center"/>
        </w:trPr>
        <w:tc>
          <w:tcPr>
            <w:tcW w:w="2154" w:type="dxa"/>
            <w:shd w:val="clear" w:color="auto" w:fill="auto"/>
          </w:tcPr>
          <w:p w14:paraId="1847AE1F"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Janvier 2020 (à confirmer)</w:t>
            </w:r>
          </w:p>
        </w:tc>
        <w:tc>
          <w:tcPr>
            <w:tcW w:w="2157" w:type="dxa"/>
            <w:shd w:val="clear" w:color="auto" w:fill="auto"/>
          </w:tcPr>
          <w:p w14:paraId="10EFA166"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et/ou consultations en lignes sur les méthodes et les mécanismes d’examen</w:t>
            </w:r>
          </w:p>
        </w:tc>
        <w:tc>
          <w:tcPr>
            <w:tcW w:w="3016" w:type="dxa"/>
            <w:shd w:val="clear" w:color="auto" w:fill="auto"/>
          </w:tcPr>
          <w:p w14:paraId="540F7A21"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Mécanismes d’examen de la mise en œuvre </w:t>
            </w:r>
          </w:p>
        </w:tc>
        <w:tc>
          <w:tcPr>
            <w:tcW w:w="1297" w:type="dxa"/>
            <w:shd w:val="clear" w:color="auto" w:fill="auto"/>
          </w:tcPr>
          <w:p w14:paraId="70CD270A"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Dé</w:t>
            </w:r>
            <w:r w:rsidRPr="00A7481E">
              <w:rPr>
                <w:rFonts w:ascii="Times New Roman" w:hAnsi="Times New Roman" w:cs="Times New Roman"/>
                <w:color w:val="000000" w:themeColor="text1"/>
                <w:kern w:val="22"/>
                <w:szCs w:val="22"/>
                <w:lang w:val="fr-CA"/>
              </w:rPr>
              <w:t xml:space="preserve">cision </w:t>
            </w:r>
            <w:hyperlink r:id="rId31" w:history="1">
              <w:r w:rsidRPr="00A7481E">
                <w:rPr>
                  <w:rStyle w:val="Hyperlink"/>
                  <w:rFonts w:ascii="Times New Roman" w:hAnsi="Times New Roman" w:cs="Times New Roman"/>
                  <w:color w:val="000000" w:themeColor="text1"/>
                  <w:kern w:val="22"/>
                  <w:szCs w:val="22"/>
                  <w:u w:val="none"/>
                  <w:lang w:val="fr-CA"/>
                </w:rPr>
                <w:t>14/29</w:t>
              </w:r>
            </w:hyperlink>
          </w:p>
        </w:tc>
        <w:tc>
          <w:tcPr>
            <w:tcW w:w="3644" w:type="dxa"/>
            <w:shd w:val="clear" w:color="auto" w:fill="auto"/>
          </w:tcPr>
          <w:p w14:paraId="095FAFC9"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L’atelier élaborera des choix de mécanismes d’examen de la mise en œuvre aux fins d’examen et de </w:t>
            </w:r>
            <w:r w:rsidRPr="00D432E0">
              <w:rPr>
                <w:rFonts w:ascii="Times New Roman" w:hAnsi="Times New Roman" w:cs="Times New Roman"/>
                <w:color w:val="000000" w:themeColor="text1"/>
                <w:kern w:val="22"/>
                <w:szCs w:val="22"/>
                <w:lang w:val="fr-CA"/>
              </w:rPr>
              <w:t xml:space="preserve">consultation par la deuxième réunion du </w:t>
            </w:r>
            <w:r w:rsidRPr="00D432E0">
              <w:rPr>
                <w:rFonts w:ascii="Times New Roman" w:eastAsia="Times New Roman" w:hAnsi="Times New Roman" w:cs="Times New Roman"/>
                <w:color w:val="000000" w:themeColor="text1"/>
                <w:kern w:val="22"/>
                <w:szCs w:val="22"/>
                <w:lang w:val="fr-CA"/>
              </w:rPr>
              <w:t>Groupe</w:t>
            </w:r>
            <w:r w:rsidRPr="00D432E0">
              <w:rPr>
                <w:rFonts w:ascii="Times New Roman" w:hAnsi="Times New Roman" w:cs="Times New Roman"/>
                <w:color w:val="000000" w:themeColor="text1"/>
                <w:kern w:val="22"/>
                <w:szCs w:val="22"/>
                <w:lang w:val="fr-CA"/>
              </w:rPr>
              <w:t xml:space="preserve"> de travail et la troisième réunion de l’Organe subsidiaire chargé de l'application</w:t>
            </w:r>
            <w:r>
              <w:rPr>
                <w:rFonts w:ascii="Times New Roman" w:hAnsi="Times New Roman" w:cs="Times New Roman"/>
                <w:color w:val="000000" w:themeColor="text1"/>
                <w:kern w:val="22"/>
                <w:szCs w:val="22"/>
                <w:lang w:val="fr-CA"/>
              </w:rPr>
              <w:t xml:space="preserve"> </w:t>
            </w:r>
          </w:p>
        </w:tc>
        <w:tc>
          <w:tcPr>
            <w:tcW w:w="1861" w:type="dxa"/>
            <w:shd w:val="clear" w:color="auto" w:fill="auto"/>
          </w:tcPr>
          <w:p w14:paraId="36E75CF4"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w:t>
            </w:r>
          </w:p>
          <w:p w14:paraId="64E5D98D"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A7481E">
              <w:rPr>
                <w:rFonts w:ascii="Times New Roman" w:hAnsi="Times New Roman" w:cs="Times New Roman"/>
                <w:color w:val="000000" w:themeColor="text1"/>
                <w:kern w:val="22"/>
                <w:szCs w:val="22"/>
                <w:lang w:val="fr-CA"/>
              </w:rPr>
              <w:t>4</w:t>
            </w:r>
          </w:p>
        </w:tc>
      </w:tr>
      <w:tr w:rsidR="005836BE" w:rsidRPr="00A7481E" w14:paraId="1E70B619" w14:textId="77777777" w:rsidTr="005836BE">
        <w:tblPrEx>
          <w:jc w:val="center"/>
        </w:tblPrEx>
        <w:trPr>
          <w:cantSplit/>
          <w:jc w:val="center"/>
        </w:trPr>
        <w:tc>
          <w:tcPr>
            <w:tcW w:w="2154" w:type="dxa"/>
            <w:tcBorders>
              <w:bottom w:val="single" w:sz="4" w:space="0" w:color="auto"/>
            </w:tcBorders>
            <w:shd w:val="clear" w:color="auto" w:fill="auto"/>
          </w:tcPr>
          <w:p w14:paraId="53AEB7F7"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Janvier-février 2020 (à confirmer)</w:t>
            </w:r>
          </w:p>
        </w:tc>
        <w:tc>
          <w:tcPr>
            <w:tcW w:w="2157" w:type="dxa"/>
            <w:tcBorders>
              <w:bottom w:val="single" w:sz="4" w:space="0" w:color="auto"/>
            </w:tcBorders>
            <w:shd w:val="clear" w:color="auto" w:fill="auto"/>
          </w:tcPr>
          <w:p w14:paraId="70D45C50"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Consultation sur la mobilisation des ressources</w:t>
            </w:r>
          </w:p>
        </w:tc>
        <w:tc>
          <w:tcPr>
            <w:tcW w:w="3016" w:type="dxa"/>
            <w:tcBorders>
              <w:bottom w:val="single" w:sz="4" w:space="0" w:color="auto"/>
            </w:tcBorders>
            <w:shd w:val="clear" w:color="auto" w:fill="auto"/>
          </w:tcPr>
          <w:p w14:paraId="1DE6643F"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Mobilisation des ressources</w:t>
            </w:r>
          </w:p>
        </w:tc>
        <w:tc>
          <w:tcPr>
            <w:tcW w:w="1297" w:type="dxa"/>
            <w:tcBorders>
              <w:bottom w:val="single" w:sz="4" w:space="0" w:color="auto"/>
            </w:tcBorders>
            <w:shd w:val="clear" w:color="auto" w:fill="auto"/>
          </w:tcPr>
          <w:p w14:paraId="2AA0900B"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tcBorders>
              <w:bottom w:val="single" w:sz="4" w:space="0" w:color="auto"/>
            </w:tcBorders>
            <w:shd w:val="clear" w:color="auto" w:fill="auto"/>
          </w:tcPr>
          <w:p w14:paraId="6CC2B096"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423CFE">
              <w:rPr>
                <w:rFonts w:ascii="Times New Roman" w:hAnsi="Times New Roman" w:cs="Times New Roman"/>
                <w:color w:val="000000" w:themeColor="text1"/>
                <w:kern w:val="22"/>
                <w:szCs w:val="22"/>
                <w:lang w:val="fr-CA"/>
              </w:rPr>
              <w:t xml:space="preserve">Un rapport de </w:t>
            </w:r>
            <w:r>
              <w:rPr>
                <w:rFonts w:ascii="Times New Roman" w:hAnsi="Times New Roman" w:cs="Times New Roman"/>
                <w:color w:val="000000" w:themeColor="text1"/>
                <w:kern w:val="22"/>
                <w:szCs w:val="22"/>
                <w:lang w:val="fr-CA"/>
              </w:rPr>
              <w:t>la consultation</w:t>
            </w:r>
            <w:r w:rsidRPr="00423CFE">
              <w:rPr>
                <w:rFonts w:ascii="Times New Roman" w:hAnsi="Times New Roman" w:cs="Times New Roman"/>
                <w:color w:val="000000" w:themeColor="text1"/>
                <w:kern w:val="22"/>
                <w:szCs w:val="22"/>
                <w:lang w:val="fr-CA"/>
              </w:rPr>
              <w:t xml:space="preserve"> sera mis à la disposition de la deuxi</w:t>
            </w:r>
            <w:r>
              <w:rPr>
                <w:rFonts w:ascii="Times New Roman" w:hAnsi="Times New Roman" w:cs="Times New Roman"/>
                <w:color w:val="000000" w:themeColor="text1"/>
                <w:kern w:val="22"/>
                <w:szCs w:val="22"/>
                <w:lang w:val="fr-CA"/>
              </w:rPr>
              <w:t>ème réunion du Groupe de travail.</w:t>
            </w:r>
          </w:p>
        </w:tc>
        <w:tc>
          <w:tcPr>
            <w:tcW w:w="1861" w:type="dxa"/>
            <w:tcBorders>
              <w:bottom w:val="single" w:sz="4" w:space="0" w:color="auto"/>
            </w:tcBorders>
            <w:shd w:val="clear" w:color="auto" w:fill="auto"/>
          </w:tcPr>
          <w:p w14:paraId="03FD6C59"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Atelier thématique</w:t>
            </w:r>
          </w:p>
          <w:p w14:paraId="2C323D91"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A7481E">
              <w:rPr>
                <w:rFonts w:ascii="Times New Roman" w:hAnsi="Times New Roman" w:cs="Times New Roman"/>
                <w:color w:val="000000" w:themeColor="text1"/>
                <w:kern w:val="22"/>
                <w:szCs w:val="22"/>
                <w:lang w:val="fr-CA"/>
              </w:rPr>
              <w:t>4</w:t>
            </w:r>
          </w:p>
        </w:tc>
      </w:tr>
      <w:tr w:rsidR="005836BE" w:rsidRPr="00A7481E" w14:paraId="25D07675" w14:textId="77777777" w:rsidTr="005836BE">
        <w:tblPrEx>
          <w:jc w:val="center"/>
        </w:tblPrEx>
        <w:trPr>
          <w:cantSplit/>
          <w:jc w:val="center"/>
        </w:trPr>
        <w:tc>
          <w:tcPr>
            <w:tcW w:w="2154" w:type="dxa"/>
            <w:tcBorders>
              <w:bottom w:val="single" w:sz="4" w:space="0" w:color="auto"/>
            </w:tcBorders>
            <w:shd w:val="clear" w:color="auto" w:fill="auto"/>
          </w:tcPr>
          <w:p w14:paraId="6506AF6D"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21-22 février 2020 (à confirmer)</w:t>
            </w:r>
            <w:r w:rsidRPr="00A7481E">
              <w:rPr>
                <w:rFonts w:ascii="Times New Roman" w:hAnsi="Times New Roman" w:cs="Times New Roman"/>
                <w:color w:val="000000" w:themeColor="text1"/>
                <w:kern w:val="22"/>
                <w:szCs w:val="22"/>
                <w:lang w:val="fr-CA"/>
              </w:rPr>
              <w:t>, Kunming, Chin</w:t>
            </w:r>
            <w:r>
              <w:rPr>
                <w:rFonts w:ascii="Times New Roman" w:hAnsi="Times New Roman" w:cs="Times New Roman"/>
                <w:color w:val="000000" w:themeColor="text1"/>
                <w:kern w:val="22"/>
                <w:szCs w:val="22"/>
                <w:lang w:val="fr-CA"/>
              </w:rPr>
              <w:t>e</w:t>
            </w:r>
          </w:p>
        </w:tc>
        <w:tc>
          <w:tcPr>
            <w:tcW w:w="2157" w:type="dxa"/>
            <w:tcBorders>
              <w:bottom w:val="single" w:sz="4" w:space="0" w:color="auto"/>
            </w:tcBorders>
            <w:shd w:val="clear" w:color="auto" w:fill="auto"/>
          </w:tcPr>
          <w:p w14:paraId="4C84DA57"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iCs/>
                <w:snapToGrid w:val="0"/>
                <w:color w:val="000000" w:themeColor="text1"/>
                <w:kern w:val="22"/>
                <w:szCs w:val="22"/>
                <w:lang w:val="fr-CA"/>
              </w:rPr>
              <w:t>Consultation sur les méthodes et mécanismes d’examen</w:t>
            </w:r>
          </w:p>
        </w:tc>
        <w:tc>
          <w:tcPr>
            <w:tcW w:w="3016" w:type="dxa"/>
            <w:tcBorders>
              <w:bottom w:val="single" w:sz="4" w:space="0" w:color="auto"/>
            </w:tcBorders>
            <w:shd w:val="clear" w:color="auto" w:fill="auto"/>
          </w:tcPr>
          <w:p w14:paraId="1FB90B1B" w14:textId="77777777" w:rsidR="005836BE" w:rsidRPr="00A7481E" w:rsidRDefault="005836BE" w:rsidP="00746773">
            <w:pPr>
              <w:spacing w:before="40" w:after="40"/>
              <w:jc w:val="left"/>
              <w:rPr>
                <w:rFonts w:ascii="Times New Roman" w:hAnsi="Times New Roman" w:cs="Times New Roman"/>
                <w:color w:val="000000" w:themeColor="text1"/>
                <w:kern w:val="22"/>
                <w:szCs w:val="22"/>
                <w:shd w:val="clear" w:color="auto" w:fill="FFFFFF"/>
                <w:lang w:val="fr-CA"/>
              </w:rPr>
            </w:pPr>
            <w:r>
              <w:rPr>
                <w:rFonts w:ascii="Times New Roman" w:hAnsi="Times New Roman" w:cs="Times New Roman"/>
                <w:color w:val="000000" w:themeColor="text1"/>
                <w:kern w:val="22"/>
                <w:szCs w:val="22"/>
                <w:lang w:val="fr-CA"/>
              </w:rPr>
              <w:t xml:space="preserve">Mécanismes d’examen de la mise en œuvre </w:t>
            </w:r>
          </w:p>
        </w:tc>
        <w:tc>
          <w:tcPr>
            <w:tcW w:w="1297" w:type="dxa"/>
            <w:tcBorders>
              <w:bottom w:val="single" w:sz="4" w:space="0" w:color="auto"/>
            </w:tcBorders>
            <w:shd w:val="clear" w:color="auto" w:fill="auto"/>
          </w:tcPr>
          <w:p w14:paraId="18EBD9F0"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Déc</w:t>
            </w:r>
            <w:r w:rsidRPr="00A7481E">
              <w:rPr>
                <w:rFonts w:ascii="Times New Roman" w:hAnsi="Times New Roman" w:cs="Times New Roman"/>
                <w:color w:val="000000" w:themeColor="text1"/>
                <w:kern w:val="22"/>
                <w:szCs w:val="22"/>
                <w:lang w:val="fr-CA"/>
              </w:rPr>
              <w:t xml:space="preserve">ision </w:t>
            </w:r>
            <w:hyperlink r:id="rId32" w:history="1">
              <w:r w:rsidRPr="00A7481E">
                <w:rPr>
                  <w:rStyle w:val="Hyperlink"/>
                  <w:rFonts w:ascii="Times New Roman" w:hAnsi="Times New Roman" w:cs="Times New Roman"/>
                  <w:color w:val="000000" w:themeColor="text1"/>
                  <w:kern w:val="22"/>
                  <w:szCs w:val="22"/>
                  <w:u w:val="none"/>
                  <w:lang w:val="fr-CA"/>
                </w:rPr>
                <w:t>14/29</w:t>
              </w:r>
            </w:hyperlink>
          </w:p>
        </w:tc>
        <w:tc>
          <w:tcPr>
            <w:tcW w:w="3644" w:type="dxa"/>
            <w:tcBorders>
              <w:bottom w:val="single" w:sz="4" w:space="0" w:color="auto"/>
            </w:tcBorders>
            <w:shd w:val="clear" w:color="auto" w:fill="auto"/>
          </w:tcPr>
          <w:p w14:paraId="2B147879"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L’atelier se penchera sur des choix de mécanismes d’examen de la mise en œuvre aux fins d’examen approfondi par </w:t>
            </w:r>
            <w:r w:rsidRPr="00D432E0">
              <w:rPr>
                <w:rFonts w:ascii="Times New Roman" w:hAnsi="Times New Roman" w:cs="Times New Roman"/>
                <w:color w:val="000000" w:themeColor="text1"/>
                <w:kern w:val="22"/>
                <w:szCs w:val="22"/>
                <w:lang w:val="fr-CA"/>
              </w:rPr>
              <w:t xml:space="preserve">la deuxième réunion du </w:t>
            </w:r>
            <w:r w:rsidRPr="00D432E0">
              <w:rPr>
                <w:rFonts w:ascii="Times New Roman" w:eastAsia="Times New Roman" w:hAnsi="Times New Roman" w:cs="Times New Roman"/>
                <w:color w:val="000000" w:themeColor="text1"/>
                <w:kern w:val="22"/>
                <w:szCs w:val="22"/>
                <w:lang w:val="fr-CA"/>
              </w:rPr>
              <w:t>Groupe</w:t>
            </w:r>
            <w:r w:rsidRPr="00D432E0">
              <w:rPr>
                <w:rFonts w:ascii="Times New Roman" w:hAnsi="Times New Roman" w:cs="Times New Roman"/>
                <w:color w:val="000000" w:themeColor="text1"/>
                <w:kern w:val="22"/>
                <w:szCs w:val="22"/>
                <w:lang w:val="fr-CA"/>
              </w:rPr>
              <w:t xml:space="preserve"> de travail et la troisième réunion de l’Organe subsidiaire chargé de l'application</w:t>
            </w:r>
            <w:r>
              <w:rPr>
                <w:rFonts w:ascii="Times New Roman" w:hAnsi="Times New Roman" w:cs="Times New Roman"/>
                <w:color w:val="000000" w:themeColor="text1"/>
                <w:kern w:val="22"/>
                <w:szCs w:val="22"/>
                <w:lang w:val="fr-CA"/>
              </w:rPr>
              <w:t xml:space="preserve"> </w:t>
            </w:r>
          </w:p>
        </w:tc>
        <w:tc>
          <w:tcPr>
            <w:tcW w:w="1861" w:type="dxa"/>
            <w:tcBorders>
              <w:bottom w:val="single" w:sz="4" w:space="0" w:color="auto"/>
            </w:tcBorders>
            <w:shd w:val="clear" w:color="auto" w:fill="auto"/>
          </w:tcPr>
          <w:p w14:paraId="4B5E7AD8"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Consultation thématique</w:t>
            </w:r>
          </w:p>
          <w:p w14:paraId="029B95DA"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A7481E">
              <w:rPr>
                <w:rFonts w:ascii="Times New Roman" w:hAnsi="Times New Roman" w:cs="Times New Roman"/>
                <w:color w:val="000000" w:themeColor="text1"/>
                <w:kern w:val="22"/>
                <w:szCs w:val="22"/>
                <w:lang w:val="fr-CA"/>
              </w:rPr>
              <w:t>3</w:t>
            </w:r>
          </w:p>
        </w:tc>
      </w:tr>
      <w:tr w:rsidR="005836BE" w:rsidRPr="00A7481E" w14:paraId="3DF035E2" w14:textId="77777777" w:rsidTr="005836BE">
        <w:tblPrEx>
          <w:jc w:val="center"/>
        </w:tblPrEx>
        <w:trPr>
          <w:cantSplit/>
          <w:jc w:val="center"/>
        </w:trPr>
        <w:tc>
          <w:tcPr>
            <w:tcW w:w="2154" w:type="dxa"/>
            <w:tcBorders>
              <w:bottom w:val="single" w:sz="4" w:space="0" w:color="auto"/>
            </w:tcBorders>
            <w:shd w:val="clear" w:color="auto" w:fill="auto"/>
          </w:tcPr>
          <w:p w14:paraId="495D2B11"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lastRenderedPageBreak/>
              <w:t>1</w:t>
            </w:r>
            <w:r w:rsidRPr="004F006D">
              <w:rPr>
                <w:rFonts w:ascii="Times New Roman" w:hAnsi="Times New Roman" w:cs="Times New Roman"/>
                <w:color w:val="000000" w:themeColor="text1"/>
                <w:kern w:val="22"/>
                <w:szCs w:val="22"/>
                <w:vertAlign w:val="superscript"/>
                <w:lang w:val="fr-CA"/>
              </w:rPr>
              <w:t>er</w:t>
            </w:r>
            <w:r>
              <w:rPr>
                <w:rFonts w:ascii="Times New Roman" w:hAnsi="Times New Roman" w:cs="Times New Roman"/>
                <w:color w:val="000000" w:themeColor="text1"/>
                <w:kern w:val="22"/>
                <w:szCs w:val="22"/>
                <w:lang w:val="fr-CA"/>
              </w:rPr>
              <w:t xml:space="preserve"> mars 2020</w:t>
            </w:r>
            <w:r w:rsidRPr="00A7481E">
              <w:rPr>
                <w:rFonts w:ascii="Times New Roman" w:hAnsi="Times New Roman" w:cs="Times New Roman"/>
                <w:color w:val="000000" w:themeColor="text1"/>
                <w:kern w:val="22"/>
                <w:szCs w:val="22"/>
                <w:lang w:val="fr-CA"/>
              </w:rPr>
              <w:t>, Kunming, Chin</w:t>
            </w:r>
            <w:r>
              <w:rPr>
                <w:rFonts w:ascii="Times New Roman" w:hAnsi="Times New Roman" w:cs="Times New Roman"/>
                <w:color w:val="000000" w:themeColor="text1"/>
                <w:kern w:val="22"/>
                <w:szCs w:val="22"/>
                <w:lang w:val="fr-CA"/>
              </w:rPr>
              <w:t>e</w:t>
            </w:r>
          </w:p>
        </w:tc>
        <w:tc>
          <w:tcPr>
            <w:tcW w:w="2157" w:type="dxa"/>
            <w:tcBorders>
              <w:bottom w:val="single" w:sz="4" w:space="0" w:color="auto"/>
            </w:tcBorders>
            <w:shd w:val="clear" w:color="auto" w:fill="auto"/>
          </w:tcPr>
          <w:p w14:paraId="1649FD60"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Consultation sur le renforcement des capacités</w:t>
            </w:r>
          </w:p>
        </w:tc>
        <w:tc>
          <w:tcPr>
            <w:tcW w:w="3016" w:type="dxa"/>
            <w:tcBorders>
              <w:bottom w:val="single" w:sz="4" w:space="0" w:color="auto"/>
            </w:tcBorders>
            <w:shd w:val="clear" w:color="auto" w:fill="auto"/>
          </w:tcPr>
          <w:p w14:paraId="2F8A0951"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Renforcement des capacités</w:t>
            </w:r>
          </w:p>
        </w:tc>
        <w:tc>
          <w:tcPr>
            <w:tcW w:w="1297" w:type="dxa"/>
            <w:tcBorders>
              <w:bottom w:val="single" w:sz="4" w:space="0" w:color="auto"/>
            </w:tcBorders>
            <w:shd w:val="clear" w:color="auto" w:fill="auto"/>
          </w:tcPr>
          <w:p w14:paraId="5D94402A"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tcBorders>
              <w:bottom w:val="single" w:sz="4" w:space="0" w:color="auto"/>
            </w:tcBorders>
            <w:shd w:val="clear" w:color="auto" w:fill="auto"/>
          </w:tcPr>
          <w:p w14:paraId="1B6E8000"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Le rapport de la consultation sera mis à la disposition de </w:t>
            </w:r>
            <w:r w:rsidRPr="00D432E0">
              <w:rPr>
                <w:rFonts w:ascii="Times New Roman" w:hAnsi="Times New Roman" w:cs="Times New Roman"/>
                <w:color w:val="000000" w:themeColor="text1"/>
                <w:kern w:val="22"/>
                <w:szCs w:val="22"/>
                <w:lang w:val="fr-CA"/>
              </w:rPr>
              <w:t>la troisième réunion de l’Organe subsidiaire chargé de l'application</w:t>
            </w:r>
            <w:r>
              <w:rPr>
                <w:rFonts w:ascii="Times New Roman" w:hAnsi="Times New Roman" w:cs="Times New Roman"/>
                <w:color w:val="000000" w:themeColor="text1"/>
                <w:kern w:val="22"/>
                <w:szCs w:val="22"/>
                <w:lang w:val="fr-CA"/>
              </w:rPr>
              <w:t xml:space="preserve"> et </w:t>
            </w:r>
            <w:r w:rsidRPr="00D432E0">
              <w:rPr>
                <w:rFonts w:ascii="Times New Roman" w:hAnsi="Times New Roman" w:cs="Times New Roman"/>
                <w:color w:val="000000" w:themeColor="text1"/>
                <w:kern w:val="22"/>
                <w:szCs w:val="22"/>
                <w:lang w:val="fr-CA"/>
              </w:rPr>
              <w:t xml:space="preserve">la </w:t>
            </w:r>
            <w:r>
              <w:rPr>
                <w:rFonts w:ascii="Times New Roman" w:hAnsi="Times New Roman" w:cs="Times New Roman"/>
                <w:color w:val="000000" w:themeColor="text1"/>
                <w:kern w:val="22"/>
                <w:szCs w:val="22"/>
                <w:lang w:val="fr-CA"/>
              </w:rPr>
              <w:t>troisième</w:t>
            </w:r>
            <w:r w:rsidRPr="00D432E0">
              <w:rPr>
                <w:rFonts w:ascii="Times New Roman" w:hAnsi="Times New Roman" w:cs="Times New Roman"/>
                <w:color w:val="000000" w:themeColor="text1"/>
                <w:kern w:val="22"/>
                <w:szCs w:val="22"/>
                <w:lang w:val="fr-CA"/>
              </w:rPr>
              <w:t xml:space="preserve"> réunion du </w:t>
            </w:r>
            <w:r w:rsidRPr="00D432E0">
              <w:rPr>
                <w:rFonts w:ascii="Times New Roman" w:eastAsia="Times New Roman" w:hAnsi="Times New Roman" w:cs="Times New Roman"/>
                <w:color w:val="000000" w:themeColor="text1"/>
                <w:kern w:val="22"/>
                <w:szCs w:val="22"/>
                <w:lang w:val="fr-CA"/>
              </w:rPr>
              <w:t>Groupe</w:t>
            </w:r>
            <w:r w:rsidRPr="00D432E0">
              <w:rPr>
                <w:rFonts w:ascii="Times New Roman" w:hAnsi="Times New Roman" w:cs="Times New Roman"/>
                <w:color w:val="000000" w:themeColor="text1"/>
                <w:kern w:val="22"/>
                <w:szCs w:val="22"/>
                <w:lang w:val="fr-CA"/>
              </w:rPr>
              <w:t xml:space="preserve"> de tra</w:t>
            </w:r>
            <w:r>
              <w:rPr>
                <w:rFonts w:ascii="Times New Roman" w:hAnsi="Times New Roman" w:cs="Times New Roman"/>
                <w:color w:val="000000" w:themeColor="text1"/>
                <w:kern w:val="22"/>
                <w:szCs w:val="22"/>
                <w:lang w:val="fr-CA"/>
              </w:rPr>
              <w:t xml:space="preserve">vail </w:t>
            </w:r>
          </w:p>
        </w:tc>
        <w:tc>
          <w:tcPr>
            <w:tcW w:w="1861" w:type="dxa"/>
            <w:tcBorders>
              <w:bottom w:val="single" w:sz="4" w:space="0" w:color="auto"/>
            </w:tcBorders>
            <w:shd w:val="clear" w:color="auto" w:fill="auto"/>
          </w:tcPr>
          <w:p w14:paraId="79313353"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Consultation thématique</w:t>
            </w:r>
          </w:p>
          <w:p w14:paraId="6F8AE140" w14:textId="77777777" w:rsidR="005836BE" w:rsidRPr="00A7481E" w:rsidRDefault="005836BE" w:rsidP="00746773">
            <w:pPr>
              <w:spacing w:before="40" w:after="40"/>
              <w:jc w:val="left"/>
              <w:rPr>
                <w:rFonts w:ascii="Times New Roman" w:hAnsi="Times New Roman" w:cs="Times New Roman"/>
                <w:color w:val="000000" w:themeColor="text1"/>
                <w:kern w:val="22"/>
                <w:szCs w:val="22"/>
                <w:lang w:val="fr-CA"/>
              </w:rPr>
            </w:pPr>
            <w:r w:rsidRPr="00A7481E">
              <w:rPr>
                <w:rFonts w:ascii="Times New Roman" w:hAnsi="Times New Roman" w:cs="Times New Roman"/>
                <w:color w:val="000000" w:themeColor="text1"/>
                <w:kern w:val="22"/>
                <w:szCs w:val="22"/>
                <w:lang w:val="fr-CA"/>
              </w:rPr>
              <w:t>3</w:t>
            </w:r>
          </w:p>
        </w:tc>
      </w:tr>
    </w:tbl>
    <w:p w14:paraId="6C369C6E" w14:textId="12624971" w:rsidR="005836BE" w:rsidRDefault="005836BE" w:rsidP="005836BE">
      <w:pPr>
        <w:jc w:val="left"/>
        <w:rPr>
          <w:snapToGrid w:val="0"/>
          <w:kern w:val="22"/>
          <w:szCs w:val="22"/>
          <w:lang w:val="fr-CA"/>
        </w:rPr>
      </w:pPr>
    </w:p>
    <w:p w14:paraId="316069CF" w14:textId="2F5293AE" w:rsidR="005836BE" w:rsidRPr="00BD1337" w:rsidRDefault="00BD1337" w:rsidP="00BD1337">
      <w:pPr>
        <w:pStyle w:val="Para10"/>
        <w:numPr>
          <w:ilvl w:val="0"/>
          <w:numId w:val="0"/>
        </w:numPr>
        <w:suppressLineNumbers/>
        <w:tabs>
          <w:tab w:val="left" w:pos="4908"/>
        </w:tabs>
        <w:suppressAutoHyphens/>
        <w:jc w:val="left"/>
        <w:rPr>
          <w:b/>
          <w:bCs/>
          <w:szCs w:val="22"/>
          <w:lang w:val="fr-CA"/>
        </w:rPr>
      </w:pPr>
      <w:r>
        <w:rPr>
          <w:kern w:val="22"/>
          <w:szCs w:val="22"/>
          <w:lang w:val="fr-CA"/>
        </w:rPr>
        <w:tab/>
      </w:r>
      <w:r w:rsidR="005836BE" w:rsidRPr="00BD1337">
        <w:rPr>
          <w:b/>
          <w:bCs/>
          <w:szCs w:val="22"/>
          <w:lang w:val="fr-CA"/>
        </w:rPr>
        <w:t>Tableau 3</w:t>
      </w:r>
      <w:r>
        <w:rPr>
          <w:b/>
          <w:bCs/>
          <w:szCs w:val="22"/>
          <w:lang w:val="fr-CA"/>
        </w:rPr>
        <w:t xml:space="preserve">.  </w:t>
      </w:r>
      <w:r w:rsidR="005836BE" w:rsidRPr="00BD1337">
        <w:rPr>
          <w:b/>
          <w:bCs/>
          <w:szCs w:val="22"/>
          <w:lang w:val="fr-CA"/>
        </w:rPr>
        <w:t>Réunions organisées par les partenaires</w:t>
      </w:r>
    </w:p>
    <w:tbl>
      <w:tblPr>
        <w:tblStyle w:val="TableGrid"/>
        <w:tblW w:w="5000" w:type="pct"/>
        <w:tblLayout w:type="fixed"/>
        <w:tblLook w:val="04A0" w:firstRow="1" w:lastRow="0" w:firstColumn="1" w:lastColumn="0" w:noHBand="0" w:noVBand="1"/>
      </w:tblPr>
      <w:tblGrid>
        <w:gridCol w:w="2154"/>
        <w:gridCol w:w="2157"/>
        <w:gridCol w:w="3016"/>
        <w:gridCol w:w="1297"/>
        <w:gridCol w:w="3644"/>
        <w:gridCol w:w="1861"/>
      </w:tblGrid>
      <w:tr w:rsidR="005836BE" w:rsidRPr="00A7481E" w14:paraId="61F26EF2" w14:textId="77777777" w:rsidTr="00746773">
        <w:tc>
          <w:tcPr>
            <w:tcW w:w="2154" w:type="dxa"/>
          </w:tcPr>
          <w:p w14:paraId="5AC7F55A" w14:textId="77777777" w:rsidR="005836BE" w:rsidRPr="00A7481E" w:rsidRDefault="005836BE" w:rsidP="00746773">
            <w:pPr>
              <w:spacing w:before="40" w:after="40"/>
              <w:jc w:val="center"/>
              <w:rPr>
                <w:rFonts w:ascii="Times New Roman" w:hAnsi="Times New Roman" w:cs="Times New Roman"/>
                <w:i/>
                <w:color w:val="000000" w:themeColor="text1"/>
                <w:kern w:val="22"/>
                <w:szCs w:val="22"/>
                <w:lang w:val="fr-CA"/>
              </w:rPr>
            </w:pPr>
            <w:r w:rsidRPr="009C60E7">
              <w:rPr>
                <w:i/>
                <w:color w:val="000000" w:themeColor="text1"/>
                <w:kern w:val="22"/>
                <w:szCs w:val="22"/>
                <w:lang w:val="fr-CA"/>
              </w:rPr>
              <w:t>Date et lieu</w:t>
            </w:r>
          </w:p>
        </w:tc>
        <w:tc>
          <w:tcPr>
            <w:tcW w:w="2157" w:type="dxa"/>
          </w:tcPr>
          <w:p w14:paraId="441C5EA7" w14:textId="77777777" w:rsidR="005836BE" w:rsidRPr="00A7481E" w:rsidRDefault="005836BE" w:rsidP="00746773">
            <w:pPr>
              <w:spacing w:before="40" w:after="40"/>
              <w:jc w:val="center"/>
              <w:rPr>
                <w:rFonts w:ascii="Times New Roman" w:hAnsi="Times New Roman" w:cs="Times New Roman"/>
                <w:i/>
                <w:color w:val="000000" w:themeColor="text1"/>
                <w:kern w:val="22"/>
                <w:szCs w:val="22"/>
                <w:lang w:val="fr-CA"/>
              </w:rPr>
            </w:pPr>
            <w:r w:rsidRPr="009C60E7">
              <w:rPr>
                <w:i/>
                <w:color w:val="000000" w:themeColor="text1"/>
                <w:kern w:val="22"/>
                <w:szCs w:val="22"/>
                <w:lang w:val="fr-CA"/>
              </w:rPr>
              <w:t>Réunion</w:t>
            </w:r>
          </w:p>
        </w:tc>
        <w:tc>
          <w:tcPr>
            <w:tcW w:w="3016" w:type="dxa"/>
          </w:tcPr>
          <w:p w14:paraId="0F680829" w14:textId="77777777" w:rsidR="005836BE" w:rsidRPr="00A7481E" w:rsidRDefault="005836BE" w:rsidP="00746773">
            <w:pPr>
              <w:spacing w:before="40" w:after="40"/>
              <w:jc w:val="center"/>
              <w:rPr>
                <w:rFonts w:ascii="Times New Roman" w:hAnsi="Times New Roman" w:cs="Times New Roman"/>
                <w:i/>
                <w:color w:val="000000" w:themeColor="text1"/>
                <w:kern w:val="22"/>
                <w:szCs w:val="22"/>
                <w:lang w:val="fr-CA"/>
              </w:rPr>
            </w:pPr>
            <w:r w:rsidRPr="009C60E7">
              <w:rPr>
                <w:i/>
                <w:color w:val="000000" w:themeColor="text1"/>
                <w:kern w:val="22"/>
                <w:szCs w:val="22"/>
                <w:lang w:val="fr-CA"/>
              </w:rPr>
              <w:t>Élément du cadre mondial de la biodiversité pour l</w:t>
            </w:r>
            <w:r>
              <w:rPr>
                <w:i/>
                <w:color w:val="000000" w:themeColor="text1"/>
                <w:kern w:val="22"/>
                <w:szCs w:val="22"/>
                <w:lang w:val="fr-CA"/>
              </w:rPr>
              <w:t>’</w:t>
            </w:r>
            <w:r w:rsidRPr="009C60E7">
              <w:rPr>
                <w:i/>
                <w:color w:val="000000" w:themeColor="text1"/>
                <w:kern w:val="22"/>
                <w:szCs w:val="22"/>
                <w:lang w:val="fr-CA"/>
              </w:rPr>
              <w:t>après</w:t>
            </w:r>
            <w:r>
              <w:rPr>
                <w:i/>
                <w:color w:val="000000" w:themeColor="text1"/>
                <w:kern w:val="22"/>
                <w:szCs w:val="22"/>
                <w:lang w:val="fr-CA"/>
              </w:rPr>
              <w:noBreakHyphen/>
            </w:r>
            <w:r w:rsidRPr="009C60E7">
              <w:rPr>
                <w:i/>
                <w:color w:val="000000" w:themeColor="text1"/>
                <w:kern w:val="22"/>
                <w:szCs w:val="22"/>
                <w:lang w:val="fr-CA"/>
              </w:rPr>
              <w:t>2020</w:t>
            </w:r>
          </w:p>
        </w:tc>
        <w:tc>
          <w:tcPr>
            <w:tcW w:w="1297" w:type="dxa"/>
          </w:tcPr>
          <w:p w14:paraId="250DB80E" w14:textId="77777777" w:rsidR="005836BE" w:rsidRPr="00A7481E" w:rsidRDefault="005836BE" w:rsidP="00746773">
            <w:pPr>
              <w:spacing w:before="40" w:after="40"/>
              <w:jc w:val="center"/>
              <w:rPr>
                <w:rFonts w:ascii="Times New Roman" w:hAnsi="Times New Roman" w:cs="Times New Roman"/>
                <w:i/>
                <w:color w:val="000000" w:themeColor="text1"/>
                <w:kern w:val="22"/>
                <w:szCs w:val="22"/>
                <w:lang w:val="fr-CA"/>
              </w:rPr>
            </w:pPr>
            <w:r w:rsidRPr="009C60E7">
              <w:rPr>
                <w:rFonts w:ascii="Times New Roman" w:hAnsi="Times New Roman" w:cs="Times New Roman"/>
                <w:i/>
                <w:color w:val="000000" w:themeColor="text1"/>
                <w:kern w:val="22"/>
                <w:szCs w:val="22"/>
                <w:lang w:val="fr-CA"/>
              </w:rPr>
              <w:t>Mandat</w:t>
            </w:r>
          </w:p>
        </w:tc>
        <w:tc>
          <w:tcPr>
            <w:tcW w:w="3644" w:type="dxa"/>
          </w:tcPr>
          <w:p w14:paraId="1A5ABC8B" w14:textId="77777777" w:rsidR="005836BE" w:rsidRPr="00A7481E" w:rsidRDefault="005836BE" w:rsidP="00746773">
            <w:pPr>
              <w:spacing w:before="40" w:after="40"/>
              <w:jc w:val="center"/>
              <w:rPr>
                <w:rFonts w:ascii="Times New Roman" w:hAnsi="Times New Roman" w:cs="Times New Roman"/>
                <w:i/>
                <w:color w:val="000000" w:themeColor="text1"/>
                <w:kern w:val="22"/>
                <w:szCs w:val="22"/>
                <w:lang w:val="fr-CA"/>
              </w:rPr>
            </w:pPr>
            <w:r w:rsidRPr="009C60E7">
              <w:rPr>
                <w:i/>
                <w:color w:val="000000" w:themeColor="text1"/>
                <w:kern w:val="22"/>
                <w:szCs w:val="22"/>
                <w:lang w:val="fr-CA"/>
              </w:rPr>
              <w:t>Rôle/modalité</w:t>
            </w:r>
          </w:p>
        </w:tc>
        <w:tc>
          <w:tcPr>
            <w:tcW w:w="1861" w:type="dxa"/>
          </w:tcPr>
          <w:p w14:paraId="25FFD09A" w14:textId="77777777" w:rsidR="005836BE" w:rsidRPr="00A7481E" w:rsidRDefault="005836BE" w:rsidP="00746773">
            <w:pPr>
              <w:spacing w:before="40" w:after="40"/>
              <w:jc w:val="center"/>
              <w:rPr>
                <w:rFonts w:ascii="Times New Roman" w:hAnsi="Times New Roman" w:cs="Times New Roman"/>
                <w:i/>
                <w:color w:val="000000" w:themeColor="text1"/>
                <w:kern w:val="22"/>
                <w:szCs w:val="22"/>
                <w:lang w:val="fr-CA"/>
              </w:rPr>
            </w:pPr>
            <w:r w:rsidRPr="009C60E7">
              <w:rPr>
                <w:rFonts w:ascii="Times New Roman" w:hAnsi="Times New Roman" w:cs="Times New Roman"/>
                <w:i/>
                <w:color w:val="000000" w:themeColor="text1"/>
                <w:kern w:val="22"/>
                <w:szCs w:val="22"/>
                <w:lang w:val="fr-CA"/>
              </w:rPr>
              <w:t>Type</w:t>
            </w:r>
          </w:p>
        </w:tc>
      </w:tr>
      <w:tr w:rsidR="005836BE" w:rsidRPr="00A7481E" w14:paraId="5BB4BBDD" w14:textId="77777777" w:rsidTr="00BD1337">
        <w:tblPrEx>
          <w:jc w:val="center"/>
        </w:tblPrEx>
        <w:trPr>
          <w:cantSplit/>
          <w:jc w:val="center"/>
        </w:trPr>
        <w:tc>
          <w:tcPr>
            <w:tcW w:w="2154" w:type="dxa"/>
            <w:shd w:val="clear" w:color="auto" w:fill="auto"/>
          </w:tcPr>
          <w:p w14:paraId="2C97334D"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4-6 septembre 2019, Japon</w:t>
            </w:r>
          </w:p>
        </w:tc>
        <w:tc>
          <w:tcPr>
            <w:tcW w:w="2157" w:type="dxa"/>
            <w:shd w:val="clear" w:color="auto" w:fill="auto"/>
          </w:tcPr>
          <w:p w14:paraId="3F97CE57"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kern w:val="22"/>
                <w:szCs w:val="22"/>
                <w:lang w:val="fr-CA"/>
              </w:rPr>
              <w:t>Atelier de l’Université des Nations Unies sur les démarches portant sur les paysages terrestres et marins</w:t>
            </w:r>
          </w:p>
        </w:tc>
        <w:tc>
          <w:tcPr>
            <w:tcW w:w="3016" w:type="dxa"/>
            <w:shd w:val="clear" w:color="auto" w:fill="auto"/>
          </w:tcPr>
          <w:p w14:paraId="3DD3B061"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Démarches possibles portant sur les paysages terrestres et marins</w:t>
            </w:r>
          </w:p>
        </w:tc>
        <w:tc>
          <w:tcPr>
            <w:tcW w:w="1297" w:type="dxa"/>
            <w:shd w:val="clear" w:color="auto" w:fill="auto"/>
          </w:tcPr>
          <w:p w14:paraId="7D224BBB"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shd w:val="clear" w:color="auto" w:fill="auto"/>
          </w:tcPr>
          <w:p w14:paraId="27C0449D" w14:textId="15F65F56"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Un rapport de l’atelier sera mis à la disposition de la deuxième réunion du Groupe de travail</w:t>
            </w:r>
          </w:p>
        </w:tc>
        <w:tc>
          <w:tcPr>
            <w:tcW w:w="1861" w:type="dxa"/>
            <w:shd w:val="clear" w:color="auto" w:fill="auto"/>
          </w:tcPr>
          <w:p w14:paraId="1615024B"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Partenaires</w:t>
            </w:r>
          </w:p>
          <w:p w14:paraId="3F05C71F"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5</w:t>
            </w:r>
          </w:p>
        </w:tc>
      </w:tr>
      <w:tr w:rsidR="005836BE" w:rsidRPr="00A7481E" w14:paraId="2B807027" w14:textId="77777777" w:rsidTr="00BD1337">
        <w:tblPrEx>
          <w:jc w:val="center"/>
        </w:tblPrEx>
        <w:trPr>
          <w:cantSplit/>
          <w:jc w:val="center"/>
        </w:trPr>
        <w:tc>
          <w:tcPr>
            <w:tcW w:w="2154" w:type="dxa"/>
            <w:shd w:val="clear" w:color="auto" w:fill="auto"/>
          </w:tcPr>
          <w:p w14:paraId="3F97F1B0" w14:textId="2026066F" w:rsidR="005836BE" w:rsidRPr="00BD1337" w:rsidRDefault="00BD1337"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 xml:space="preserve">1-3 avril 2020, </w:t>
            </w:r>
            <w:r w:rsidR="005836BE" w:rsidRPr="00BD1337">
              <w:rPr>
                <w:rFonts w:ascii="Times New Roman" w:hAnsi="Times New Roman" w:cs="Times New Roman"/>
                <w:color w:val="000000" w:themeColor="text1"/>
                <w:kern w:val="22"/>
                <w:szCs w:val="22"/>
                <w:lang w:val="fr-CA"/>
              </w:rPr>
              <w:t>É</w:t>
            </w:r>
            <w:r w:rsidRPr="00BD1337">
              <w:rPr>
                <w:rFonts w:ascii="Times New Roman" w:hAnsi="Times New Roman" w:cs="Times New Roman"/>
                <w:color w:val="000000" w:themeColor="text1"/>
                <w:kern w:val="22"/>
                <w:szCs w:val="22"/>
                <w:lang w:val="fr-CA"/>
              </w:rPr>
              <w:t>dinbourg</w:t>
            </w:r>
            <w:r w:rsidR="005836BE" w:rsidRPr="00BD1337">
              <w:rPr>
                <w:rFonts w:ascii="Times New Roman" w:hAnsi="Times New Roman" w:cs="Times New Roman"/>
                <w:color w:val="000000" w:themeColor="text1"/>
                <w:kern w:val="22"/>
                <w:szCs w:val="22"/>
                <w:lang w:val="fr-CA"/>
              </w:rPr>
              <w:t>, Royaume-Uni</w:t>
            </w:r>
          </w:p>
        </w:tc>
        <w:tc>
          <w:tcPr>
            <w:tcW w:w="2157" w:type="dxa"/>
            <w:shd w:val="clear" w:color="auto" w:fill="auto"/>
          </w:tcPr>
          <w:p w14:paraId="431FD610" w14:textId="77777777" w:rsidR="005836BE" w:rsidRPr="00BD1337" w:rsidRDefault="005836BE" w:rsidP="00746773">
            <w:pPr>
              <w:spacing w:before="40" w:after="40"/>
              <w:jc w:val="left"/>
              <w:rPr>
                <w:rFonts w:ascii="Times New Roman" w:hAnsi="Times New Roman" w:cs="Times New Roman"/>
                <w:kern w:val="22"/>
                <w:szCs w:val="22"/>
                <w:lang w:val="fr-CA"/>
              </w:rPr>
            </w:pPr>
            <w:r w:rsidRPr="00BD1337">
              <w:rPr>
                <w:rFonts w:ascii="Times New Roman" w:hAnsi="Times New Roman" w:cs="Times New Roman"/>
                <w:kern w:val="22"/>
                <w:szCs w:val="22"/>
                <w:lang w:val="fr-CA"/>
              </w:rPr>
              <w:t>Gouvernements infranationaux</w:t>
            </w:r>
          </w:p>
        </w:tc>
        <w:tc>
          <w:tcPr>
            <w:tcW w:w="3016" w:type="dxa"/>
            <w:shd w:val="clear" w:color="auto" w:fill="auto"/>
          </w:tcPr>
          <w:p w14:paraId="3763F795" w14:textId="073267C0" w:rsidR="005836BE" w:rsidRPr="00BD1337" w:rsidRDefault="005148CB"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Rôle potentiel des gouvernements infranationaux, des municipalités et autorités locales </w:t>
            </w:r>
            <w:r w:rsidR="00BD1337" w:rsidRPr="00BD1337">
              <w:rPr>
                <w:rFonts w:ascii="Times New Roman" w:hAnsi="Times New Roman" w:cs="Times New Roman"/>
                <w:color w:val="000000" w:themeColor="text1"/>
                <w:kern w:val="22"/>
                <w:szCs w:val="22"/>
                <w:lang w:val="fr-CA"/>
              </w:rPr>
              <w:t>d</w:t>
            </w:r>
            <w:r>
              <w:rPr>
                <w:rFonts w:ascii="Times New Roman" w:hAnsi="Times New Roman" w:cs="Times New Roman"/>
                <w:color w:val="000000" w:themeColor="text1"/>
                <w:kern w:val="22"/>
                <w:szCs w:val="22"/>
                <w:lang w:val="fr-CA"/>
              </w:rPr>
              <w:t>ans le</w:t>
            </w:r>
            <w:r w:rsidR="00BD1337" w:rsidRPr="00BD1337">
              <w:rPr>
                <w:rFonts w:ascii="Times New Roman" w:hAnsi="Times New Roman" w:cs="Times New Roman"/>
                <w:color w:val="000000" w:themeColor="text1"/>
                <w:kern w:val="22"/>
                <w:szCs w:val="22"/>
                <w:lang w:val="fr-CA"/>
              </w:rPr>
              <w:t xml:space="preserve"> cadre mondial de la biodiversité pour l’après-2020</w:t>
            </w:r>
          </w:p>
        </w:tc>
        <w:tc>
          <w:tcPr>
            <w:tcW w:w="1297" w:type="dxa"/>
            <w:shd w:val="clear" w:color="auto" w:fill="auto"/>
          </w:tcPr>
          <w:p w14:paraId="111DEBD2"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shd w:val="clear" w:color="auto" w:fill="auto"/>
          </w:tcPr>
          <w:p w14:paraId="10438441" w14:textId="77777777" w:rsidR="005836BE" w:rsidRDefault="00AC2B8E"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 xml:space="preserve">Cet atelier visera à obtenir des contributions </w:t>
            </w:r>
            <w:r w:rsidR="009B51CF">
              <w:rPr>
                <w:rFonts w:ascii="Times New Roman" w:hAnsi="Times New Roman" w:cs="Times New Roman"/>
                <w:color w:val="000000" w:themeColor="text1"/>
                <w:kern w:val="22"/>
                <w:szCs w:val="22"/>
                <w:lang w:val="fr-CA"/>
              </w:rPr>
              <w:t xml:space="preserve">de gouvernements infranationaux, de </w:t>
            </w:r>
            <w:r w:rsidR="005C239B">
              <w:rPr>
                <w:rFonts w:ascii="Times New Roman" w:hAnsi="Times New Roman" w:cs="Times New Roman"/>
                <w:color w:val="000000" w:themeColor="text1"/>
                <w:kern w:val="22"/>
                <w:szCs w:val="22"/>
                <w:lang w:val="fr-CA"/>
              </w:rPr>
              <w:t>municipalités</w:t>
            </w:r>
            <w:r w:rsidR="009B51CF">
              <w:rPr>
                <w:rFonts w:ascii="Times New Roman" w:hAnsi="Times New Roman" w:cs="Times New Roman"/>
                <w:color w:val="000000" w:themeColor="text1"/>
                <w:kern w:val="22"/>
                <w:szCs w:val="22"/>
                <w:lang w:val="fr-CA"/>
              </w:rPr>
              <w:t xml:space="preserve"> et </w:t>
            </w:r>
            <w:r w:rsidR="005C239B">
              <w:rPr>
                <w:rFonts w:ascii="Times New Roman" w:hAnsi="Times New Roman" w:cs="Times New Roman"/>
                <w:color w:val="000000" w:themeColor="text1"/>
                <w:kern w:val="22"/>
                <w:szCs w:val="22"/>
                <w:lang w:val="fr-CA"/>
              </w:rPr>
              <w:t xml:space="preserve">autres </w:t>
            </w:r>
            <w:r w:rsidR="009B51CF">
              <w:rPr>
                <w:rFonts w:ascii="Times New Roman" w:hAnsi="Times New Roman" w:cs="Times New Roman"/>
                <w:color w:val="000000" w:themeColor="text1"/>
                <w:kern w:val="22"/>
                <w:szCs w:val="22"/>
                <w:lang w:val="fr-CA"/>
              </w:rPr>
              <w:t>autorités locales sur le champ d’application, le contenu et la mise en œuvre du cadre mondial de la biodiversité pour l’après-2020</w:t>
            </w:r>
            <w:r w:rsidR="005C239B">
              <w:rPr>
                <w:rFonts w:ascii="Times New Roman" w:hAnsi="Times New Roman" w:cs="Times New Roman"/>
                <w:color w:val="000000" w:themeColor="text1"/>
                <w:kern w:val="22"/>
                <w:szCs w:val="22"/>
                <w:lang w:val="fr-CA"/>
              </w:rPr>
              <w:t>.</w:t>
            </w:r>
          </w:p>
          <w:p w14:paraId="43EC7EDA" w14:textId="5745C763" w:rsidR="005C239B" w:rsidRPr="00BD1337" w:rsidRDefault="005C239B"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Un rapport de l’atelier sera mis à la disposition de la troisième réunion du Groupe de travail</w:t>
            </w:r>
          </w:p>
        </w:tc>
        <w:tc>
          <w:tcPr>
            <w:tcW w:w="1861" w:type="dxa"/>
            <w:shd w:val="clear" w:color="auto" w:fill="auto"/>
          </w:tcPr>
          <w:p w14:paraId="62CB4770"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Partenaires, 5</w:t>
            </w:r>
          </w:p>
        </w:tc>
      </w:tr>
      <w:tr w:rsidR="005836BE" w:rsidRPr="00A7481E" w14:paraId="32EA76CA" w14:textId="77777777" w:rsidTr="00BD1337">
        <w:tblPrEx>
          <w:jc w:val="center"/>
        </w:tblPrEx>
        <w:trPr>
          <w:cantSplit/>
          <w:jc w:val="center"/>
        </w:trPr>
        <w:tc>
          <w:tcPr>
            <w:tcW w:w="2154" w:type="dxa"/>
            <w:shd w:val="clear" w:color="auto" w:fill="auto"/>
          </w:tcPr>
          <w:p w14:paraId="795B412F"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Suisse, date et lieu à déterminer</w:t>
            </w:r>
          </w:p>
        </w:tc>
        <w:tc>
          <w:tcPr>
            <w:tcW w:w="2157" w:type="dxa"/>
            <w:shd w:val="clear" w:color="auto" w:fill="auto"/>
          </w:tcPr>
          <w:p w14:paraId="3CE0B10B" w14:textId="77777777" w:rsidR="005836BE" w:rsidRPr="00BD1337" w:rsidRDefault="005836BE" w:rsidP="00746773">
            <w:pPr>
              <w:spacing w:before="40" w:after="40"/>
              <w:jc w:val="left"/>
              <w:rPr>
                <w:rFonts w:ascii="Times New Roman" w:hAnsi="Times New Roman" w:cs="Times New Roman"/>
                <w:kern w:val="22"/>
                <w:szCs w:val="22"/>
                <w:lang w:val="fr-CA"/>
              </w:rPr>
            </w:pPr>
            <w:r w:rsidRPr="00BD1337">
              <w:rPr>
                <w:rFonts w:ascii="Times New Roman" w:hAnsi="Times New Roman" w:cs="Times New Roman"/>
                <w:kern w:val="22"/>
                <w:szCs w:val="22"/>
                <w:lang w:val="fr-CA"/>
              </w:rPr>
              <w:t>Synergies</w:t>
            </w:r>
          </w:p>
        </w:tc>
        <w:tc>
          <w:tcPr>
            <w:tcW w:w="3016" w:type="dxa"/>
            <w:shd w:val="clear" w:color="auto" w:fill="auto"/>
          </w:tcPr>
          <w:p w14:paraId="12F4CE56" w14:textId="3E69DC06" w:rsidR="005836BE" w:rsidRPr="00BD1337" w:rsidRDefault="005148CB"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Synergies potentielles avec d’autres AME et organisations intern</w:t>
            </w:r>
            <w:r w:rsidR="00014159">
              <w:rPr>
                <w:rFonts w:ascii="Times New Roman" w:hAnsi="Times New Roman" w:cs="Times New Roman"/>
                <w:color w:val="000000" w:themeColor="text1"/>
                <w:kern w:val="22"/>
                <w:szCs w:val="22"/>
                <w:lang w:val="fr-CA"/>
              </w:rPr>
              <w:t>a</w:t>
            </w:r>
            <w:r>
              <w:rPr>
                <w:rFonts w:ascii="Times New Roman" w:hAnsi="Times New Roman" w:cs="Times New Roman"/>
                <w:color w:val="000000" w:themeColor="text1"/>
                <w:kern w:val="22"/>
                <w:szCs w:val="22"/>
                <w:lang w:val="fr-CA"/>
              </w:rPr>
              <w:t>tionales</w:t>
            </w:r>
          </w:p>
        </w:tc>
        <w:tc>
          <w:tcPr>
            <w:tcW w:w="1297" w:type="dxa"/>
            <w:shd w:val="clear" w:color="auto" w:fill="auto"/>
          </w:tcPr>
          <w:p w14:paraId="549C7CD4"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shd w:val="clear" w:color="auto" w:fill="auto"/>
          </w:tcPr>
          <w:p w14:paraId="126DA4B7" w14:textId="2CDABE1A" w:rsidR="005836BE" w:rsidRPr="00BD1337" w:rsidRDefault="005148CB"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À déterminer.</w:t>
            </w:r>
            <w:r w:rsidR="00014159">
              <w:rPr>
                <w:rFonts w:ascii="Times New Roman" w:hAnsi="Times New Roman" w:cs="Times New Roman"/>
                <w:color w:val="000000" w:themeColor="text1"/>
                <w:kern w:val="22"/>
                <w:szCs w:val="22"/>
                <w:lang w:val="fr-CA"/>
              </w:rPr>
              <w:t xml:space="preserve"> Suite donnée à la consultation des conventions relatives à la biodiversité sur le cadre mondial de la biodiversité pour l’après-2020 à Berne, du 10 au 12 juin 2019</w:t>
            </w:r>
            <w:r>
              <w:rPr>
                <w:rFonts w:ascii="Times New Roman" w:hAnsi="Times New Roman" w:cs="Times New Roman"/>
                <w:color w:val="000000" w:themeColor="text1"/>
                <w:kern w:val="22"/>
                <w:szCs w:val="22"/>
                <w:lang w:val="fr-CA"/>
              </w:rPr>
              <w:t xml:space="preserve"> </w:t>
            </w:r>
          </w:p>
        </w:tc>
        <w:tc>
          <w:tcPr>
            <w:tcW w:w="1861" w:type="dxa"/>
            <w:shd w:val="clear" w:color="auto" w:fill="auto"/>
          </w:tcPr>
          <w:p w14:paraId="1354AFD7"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Partenaires, 5</w:t>
            </w:r>
          </w:p>
        </w:tc>
      </w:tr>
      <w:tr w:rsidR="005836BE" w:rsidRPr="00A7481E" w14:paraId="0F18F6B6" w14:textId="77777777" w:rsidTr="00BD1337">
        <w:tblPrEx>
          <w:jc w:val="center"/>
        </w:tblPrEx>
        <w:trPr>
          <w:cantSplit/>
          <w:jc w:val="center"/>
        </w:trPr>
        <w:tc>
          <w:tcPr>
            <w:tcW w:w="2154" w:type="dxa"/>
            <w:shd w:val="clear" w:color="auto" w:fill="auto"/>
          </w:tcPr>
          <w:p w14:paraId="67DBF940"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À déterminer</w:t>
            </w:r>
          </w:p>
        </w:tc>
        <w:tc>
          <w:tcPr>
            <w:tcW w:w="2157" w:type="dxa"/>
            <w:shd w:val="clear" w:color="auto" w:fill="auto"/>
          </w:tcPr>
          <w:p w14:paraId="7CF5EC3B" w14:textId="77777777" w:rsidR="005836BE" w:rsidRPr="00BD1337" w:rsidRDefault="005836BE" w:rsidP="00746773">
            <w:pPr>
              <w:spacing w:before="40" w:after="40"/>
              <w:jc w:val="left"/>
              <w:rPr>
                <w:rFonts w:ascii="Times New Roman" w:hAnsi="Times New Roman" w:cs="Times New Roman"/>
                <w:kern w:val="22"/>
                <w:szCs w:val="22"/>
                <w:lang w:val="fr-CA"/>
              </w:rPr>
            </w:pPr>
            <w:r w:rsidRPr="00BD1337">
              <w:rPr>
                <w:rFonts w:ascii="Times New Roman" w:hAnsi="Times New Roman" w:cs="Times New Roman"/>
                <w:kern w:val="22"/>
                <w:szCs w:val="22"/>
                <w:lang w:val="fr-CA"/>
              </w:rPr>
              <w:t>Consultations de l’UICN</w:t>
            </w:r>
          </w:p>
        </w:tc>
        <w:tc>
          <w:tcPr>
            <w:tcW w:w="3016" w:type="dxa"/>
            <w:shd w:val="clear" w:color="auto" w:fill="auto"/>
          </w:tcPr>
          <w:p w14:paraId="0174876D" w14:textId="3882AFE6" w:rsidR="005836BE" w:rsidRPr="00BD1337" w:rsidRDefault="00014159"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Divers éléments</w:t>
            </w:r>
          </w:p>
        </w:tc>
        <w:tc>
          <w:tcPr>
            <w:tcW w:w="1297" w:type="dxa"/>
            <w:shd w:val="clear" w:color="auto" w:fill="auto"/>
          </w:tcPr>
          <w:p w14:paraId="6E7C1AF7"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shd w:val="clear" w:color="auto" w:fill="auto"/>
          </w:tcPr>
          <w:p w14:paraId="2A2362AE" w14:textId="65D052FA" w:rsidR="005836BE" w:rsidRPr="00BD1337" w:rsidRDefault="00C04CE0"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Consultations parmi les membres de l’UICN, y compris au niveau régional</w:t>
            </w:r>
          </w:p>
        </w:tc>
        <w:tc>
          <w:tcPr>
            <w:tcW w:w="1861" w:type="dxa"/>
            <w:shd w:val="clear" w:color="auto" w:fill="auto"/>
          </w:tcPr>
          <w:p w14:paraId="2A8D7046"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Partenaires, 5</w:t>
            </w:r>
          </w:p>
        </w:tc>
      </w:tr>
      <w:tr w:rsidR="005836BE" w:rsidRPr="00A7481E" w14:paraId="3333C910" w14:textId="77777777" w:rsidTr="00BD1337">
        <w:tblPrEx>
          <w:jc w:val="center"/>
        </w:tblPrEx>
        <w:trPr>
          <w:cantSplit/>
          <w:jc w:val="center"/>
        </w:trPr>
        <w:tc>
          <w:tcPr>
            <w:tcW w:w="2154" w:type="dxa"/>
            <w:shd w:val="clear" w:color="auto" w:fill="auto"/>
          </w:tcPr>
          <w:p w14:paraId="4BBD7052" w14:textId="03DD682F" w:rsidR="005836BE" w:rsidRPr="00BD1337" w:rsidRDefault="009B51CF"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lastRenderedPageBreak/>
              <w:t xml:space="preserve">6-8 novembre 2019, Pretoria, </w:t>
            </w:r>
            <w:r w:rsidR="005836BE" w:rsidRPr="00BD1337">
              <w:rPr>
                <w:rFonts w:ascii="Times New Roman" w:hAnsi="Times New Roman" w:cs="Times New Roman"/>
                <w:color w:val="000000" w:themeColor="text1"/>
                <w:kern w:val="22"/>
                <w:szCs w:val="22"/>
                <w:lang w:val="fr-CA"/>
              </w:rPr>
              <w:t>Afrique du Sud</w:t>
            </w:r>
          </w:p>
        </w:tc>
        <w:tc>
          <w:tcPr>
            <w:tcW w:w="2157" w:type="dxa"/>
            <w:shd w:val="clear" w:color="auto" w:fill="auto"/>
          </w:tcPr>
          <w:p w14:paraId="3D8AC937" w14:textId="1AA79A20" w:rsidR="005836BE" w:rsidRPr="00BD1337" w:rsidRDefault="005836BE" w:rsidP="00746773">
            <w:pPr>
              <w:spacing w:before="40" w:after="40"/>
              <w:jc w:val="left"/>
              <w:rPr>
                <w:rFonts w:ascii="Times New Roman" w:hAnsi="Times New Roman" w:cs="Times New Roman"/>
                <w:kern w:val="22"/>
                <w:szCs w:val="22"/>
                <w:lang w:val="fr-CA"/>
              </w:rPr>
            </w:pPr>
            <w:r w:rsidRPr="00BD1337">
              <w:rPr>
                <w:rFonts w:ascii="Times New Roman" w:hAnsi="Times New Roman" w:cs="Times New Roman"/>
                <w:kern w:val="22"/>
                <w:szCs w:val="22"/>
                <w:lang w:val="fr-CA"/>
              </w:rPr>
              <w:t>Dialogue mondial sur</w:t>
            </w:r>
            <w:r w:rsidR="002960A4">
              <w:rPr>
                <w:rFonts w:ascii="Times New Roman" w:hAnsi="Times New Roman" w:cs="Times New Roman"/>
                <w:kern w:val="22"/>
                <w:szCs w:val="22"/>
                <w:lang w:val="fr-CA"/>
              </w:rPr>
              <w:t xml:space="preserve"> </w:t>
            </w:r>
            <w:r w:rsidR="002960A4">
              <w:rPr>
                <w:rFonts w:ascii="Times New Roman" w:hAnsi="Times New Roman" w:cs="Times New Roman"/>
                <w:color w:val="000000" w:themeColor="text1"/>
                <w:kern w:val="22"/>
                <w:szCs w:val="22"/>
                <w:lang w:val="fr-CA"/>
              </w:rPr>
              <w:t>l’information de séquençage numérique sur les ressources génétiques</w:t>
            </w:r>
            <w:r w:rsidRPr="00BD1337">
              <w:rPr>
                <w:rFonts w:ascii="Times New Roman" w:hAnsi="Times New Roman" w:cs="Times New Roman"/>
                <w:kern w:val="22"/>
                <w:szCs w:val="22"/>
                <w:lang w:val="fr-CA"/>
              </w:rPr>
              <w:t xml:space="preserve"> </w:t>
            </w:r>
          </w:p>
        </w:tc>
        <w:tc>
          <w:tcPr>
            <w:tcW w:w="3016" w:type="dxa"/>
            <w:shd w:val="clear" w:color="auto" w:fill="auto"/>
          </w:tcPr>
          <w:p w14:paraId="10560B24" w14:textId="42F15946" w:rsidR="005836BE" w:rsidRPr="00BD1337" w:rsidRDefault="002960A4"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Information de séquençage numérique</w:t>
            </w:r>
            <w:r w:rsidR="009B51CF">
              <w:rPr>
                <w:rFonts w:ascii="Times New Roman" w:hAnsi="Times New Roman" w:cs="Times New Roman"/>
                <w:color w:val="000000" w:themeColor="text1"/>
                <w:kern w:val="22"/>
                <w:szCs w:val="22"/>
                <w:lang w:val="fr-CA"/>
              </w:rPr>
              <w:t xml:space="preserve"> </w:t>
            </w:r>
          </w:p>
        </w:tc>
        <w:tc>
          <w:tcPr>
            <w:tcW w:w="1297" w:type="dxa"/>
            <w:shd w:val="clear" w:color="auto" w:fill="auto"/>
          </w:tcPr>
          <w:p w14:paraId="4FF6147B"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p>
        </w:tc>
        <w:tc>
          <w:tcPr>
            <w:tcW w:w="3644" w:type="dxa"/>
            <w:shd w:val="clear" w:color="auto" w:fill="auto"/>
          </w:tcPr>
          <w:p w14:paraId="2E7C9990" w14:textId="0FCA703E" w:rsidR="005836BE" w:rsidRPr="00BD1337" w:rsidRDefault="001251BB" w:rsidP="00746773">
            <w:pPr>
              <w:spacing w:before="40" w:after="40"/>
              <w:jc w:val="left"/>
              <w:rPr>
                <w:rFonts w:ascii="Times New Roman" w:hAnsi="Times New Roman" w:cs="Times New Roman"/>
                <w:color w:val="000000" w:themeColor="text1"/>
                <w:kern w:val="22"/>
                <w:szCs w:val="22"/>
                <w:lang w:val="fr-CA"/>
              </w:rPr>
            </w:pPr>
            <w:r>
              <w:rPr>
                <w:rFonts w:ascii="Times New Roman" w:hAnsi="Times New Roman" w:cs="Times New Roman"/>
                <w:color w:val="000000" w:themeColor="text1"/>
                <w:kern w:val="22"/>
                <w:szCs w:val="22"/>
                <w:lang w:val="fr-CA"/>
              </w:rPr>
              <w:t>Dialogue informel visant à accroître la compréhension mutuelle de la question, aider à identifier les questions et les préoccupations centrales et augmenter la capacité de tous les acteurs de participer de manière effective aux débats sur l’information de séquençage numérique sur les ressources génétiques</w:t>
            </w:r>
          </w:p>
        </w:tc>
        <w:tc>
          <w:tcPr>
            <w:tcW w:w="1861" w:type="dxa"/>
            <w:shd w:val="clear" w:color="auto" w:fill="auto"/>
          </w:tcPr>
          <w:p w14:paraId="7D1BEBD8" w14:textId="77777777" w:rsidR="005836BE" w:rsidRPr="00BD1337" w:rsidRDefault="005836BE" w:rsidP="00746773">
            <w:pPr>
              <w:spacing w:before="40" w:after="40"/>
              <w:jc w:val="left"/>
              <w:rPr>
                <w:rFonts w:ascii="Times New Roman" w:hAnsi="Times New Roman" w:cs="Times New Roman"/>
                <w:color w:val="000000" w:themeColor="text1"/>
                <w:kern w:val="22"/>
                <w:szCs w:val="22"/>
                <w:lang w:val="fr-CA"/>
              </w:rPr>
            </w:pPr>
            <w:r w:rsidRPr="00BD1337">
              <w:rPr>
                <w:rFonts w:ascii="Times New Roman" w:hAnsi="Times New Roman" w:cs="Times New Roman"/>
                <w:color w:val="000000" w:themeColor="text1"/>
                <w:kern w:val="22"/>
                <w:szCs w:val="22"/>
                <w:lang w:val="fr-CA"/>
              </w:rPr>
              <w:t>Partenaires, 5</w:t>
            </w:r>
          </w:p>
        </w:tc>
      </w:tr>
    </w:tbl>
    <w:p w14:paraId="64B52D92" w14:textId="5E0B2DA8" w:rsidR="005836BE" w:rsidRDefault="005836BE" w:rsidP="005836BE">
      <w:pPr>
        <w:jc w:val="left"/>
        <w:rPr>
          <w:szCs w:val="22"/>
          <w:lang w:val="fr-CA"/>
        </w:rPr>
      </w:pPr>
    </w:p>
    <w:p w14:paraId="6DE37ED0" w14:textId="14F621B7" w:rsidR="000217A4" w:rsidRDefault="000217A4" w:rsidP="000217A4">
      <w:pPr>
        <w:jc w:val="center"/>
        <w:rPr>
          <w:kern w:val="22"/>
          <w:szCs w:val="22"/>
          <w:lang w:val="fr-FR"/>
        </w:rPr>
      </w:pPr>
      <w:r w:rsidRPr="001C1950">
        <w:rPr>
          <w:kern w:val="22"/>
          <w:szCs w:val="22"/>
          <w:lang w:val="fr-FR"/>
        </w:rPr>
        <w:t>_________</w:t>
      </w:r>
      <w:r>
        <w:rPr>
          <w:kern w:val="22"/>
          <w:szCs w:val="22"/>
          <w:lang w:val="fr-FR"/>
        </w:rPr>
        <w:t>_</w:t>
      </w:r>
    </w:p>
    <w:p w14:paraId="4178202E" w14:textId="77777777" w:rsidR="00CF6832" w:rsidRDefault="00CF6832" w:rsidP="000217A4">
      <w:pPr>
        <w:jc w:val="center"/>
        <w:rPr>
          <w:szCs w:val="22"/>
          <w:lang w:val="fr-CA"/>
        </w:rPr>
      </w:pPr>
    </w:p>
    <w:p w14:paraId="6A1E4A87" w14:textId="2BBD5C21" w:rsidR="005D64DD" w:rsidRPr="001C1950" w:rsidRDefault="005D64DD" w:rsidP="00780276">
      <w:pPr>
        <w:pStyle w:val="Para10"/>
        <w:numPr>
          <w:ilvl w:val="0"/>
          <w:numId w:val="0"/>
        </w:numPr>
        <w:spacing w:before="0" w:after="0"/>
        <w:jc w:val="center"/>
        <w:rPr>
          <w:kern w:val="22"/>
          <w:szCs w:val="22"/>
          <w:lang w:val="fr-FR"/>
        </w:rPr>
      </w:pPr>
    </w:p>
    <w:sectPr w:rsidR="005D64DD" w:rsidRPr="001C1950" w:rsidSect="00CF6832">
      <w:headerReference w:type="first" r:id="rId33"/>
      <w:pgSz w:w="15840" w:h="12240" w:orient="landscape" w:code="1"/>
      <w:pgMar w:top="1440" w:right="1134" w:bottom="1440" w:left="567"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657BA" w14:textId="77777777" w:rsidR="001A172E" w:rsidRDefault="001A172E">
      <w:r>
        <w:separator/>
      </w:r>
    </w:p>
  </w:endnote>
  <w:endnote w:type="continuationSeparator" w:id="0">
    <w:p w14:paraId="4A2EA1DA" w14:textId="77777777" w:rsidR="001A172E" w:rsidRDefault="001A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A2A7" w14:textId="77777777" w:rsidR="00A365D7" w:rsidRDefault="00A365D7" w:rsidP="003B24C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5504" w14:textId="77777777" w:rsidR="00A365D7" w:rsidRDefault="00A365D7" w:rsidP="003B24C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D684" w14:textId="77777777" w:rsidR="001A172E" w:rsidRDefault="001A172E">
      <w:r>
        <w:separator/>
      </w:r>
    </w:p>
  </w:footnote>
  <w:footnote w:type="continuationSeparator" w:id="0">
    <w:p w14:paraId="17BBFA5C" w14:textId="77777777" w:rsidR="001A172E" w:rsidRDefault="001A172E">
      <w:r>
        <w:continuationSeparator/>
      </w:r>
    </w:p>
  </w:footnote>
  <w:footnote w:id="1">
    <w:p w14:paraId="5CBAC0FB" w14:textId="123EDE38" w:rsidR="00A365D7" w:rsidRPr="008912BC" w:rsidRDefault="00A365D7" w:rsidP="000C0008">
      <w:pPr>
        <w:keepLines/>
        <w:spacing w:after="60"/>
        <w:jc w:val="left"/>
        <w:rPr>
          <w:kern w:val="18"/>
          <w:szCs w:val="18"/>
          <w:lang w:val="fr-FR"/>
        </w:rPr>
      </w:pPr>
      <w:r w:rsidRPr="00780276">
        <w:rPr>
          <w:rStyle w:val="FootnoteReference"/>
          <w:kern w:val="18"/>
          <w:sz w:val="18"/>
          <w:szCs w:val="18"/>
        </w:rPr>
        <w:footnoteRef/>
      </w:r>
      <w:r w:rsidRPr="00A365D7">
        <w:rPr>
          <w:kern w:val="18"/>
          <w:sz w:val="18"/>
          <w:szCs w:val="18"/>
          <w:lang w:val="fr-FR"/>
        </w:rPr>
        <w:t xml:space="preserve"> </w:t>
      </w:r>
      <w:r w:rsidRPr="008912BC">
        <w:rPr>
          <w:kern w:val="18"/>
          <w:sz w:val="18"/>
          <w:szCs w:val="18"/>
          <w:lang w:val="fr-FR"/>
        </w:rPr>
        <w:t xml:space="preserve">La présente note, qui n’a pas </w:t>
      </w:r>
      <w:r>
        <w:rPr>
          <w:kern w:val="18"/>
          <w:sz w:val="18"/>
          <w:szCs w:val="18"/>
          <w:lang w:val="fr-FR"/>
        </w:rPr>
        <w:t>fait l’objet de négociations et reflète les efforts des coprésidents du groupe de discussion sur le point 4 de l’ordre du jour de commencer à élaborer des éléments d’un cadre mondial de la biodiversité pour l’après-2020, est sans préjudice des droits des Parties d’y apporter de nouveaux amendements et ajouts. Cette note doit être lue à la lumière des points de vue exprimés par les Parties et les observateurs à la première réunion du Groupe de travail à composition non limitée sur le cadre mondial de la biodiversité pour l’après-2020 qui s’est déroulée du 27 au 30 août à Nairobi, et avec le rapport de cette réunion.</w:t>
      </w:r>
    </w:p>
  </w:footnote>
  <w:footnote w:id="2">
    <w:p w14:paraId="0C87F3BF" w14:textId="77777777" w:rsidR="00A365D7" w:rsidRPr="008912BC" w:rsidRDefault="00A365D7" w:rsidP="00B85058">
      <w:pPr>
        <w:pStyle w:val="FootnoteText"/>
        <w:ind w:firstLine="0"/>
        <w:rPr>
          <w:lang w:val="fr-FR"/>
        </w:rPr>
      </w:pPr>
      <w:r w:rsidRPr="008912BC">
        <w:rPr>
          <w:rStyle w:val="FootnoteReference"/>
          <w:lang w:val="fr-FR"/>
        </w:rPr>
        <w:footnoteRef/>
      </w:r>
      <w:r w:rsidRPr="008912BC">
        <w:rPr>
          <w:vertAlign w:val="superscript"/>
          <w:lang w:val="fr-FR"/>
        </w:rPr>
        <w:t xml:space="preserve"> </w:t>
      </w:r>
      <w:r w:rsidRPr="008912BC">
        <w:rPr>
          <w:lang w:val="fr-FR"/>
        </w:rPr>
        <w:t xml:space="preserve">Certaines Parties ont demandé de préciser clairement la différence entre le changement transformateur et la théorie du changement. </w:t>
      </w:r>
    </w:p>
  </w:footnote>
  <w:footnote w:id="3">
    <w:p w14:paraId="569E8D59" w14:textId="77777777" w:rsidR="00A365D7" w:rsidRPr="008912BC" w:rsidRDefault="00A365D7" w:rsidP="00B85058">
      <w:pPr>
        <w:pStyle w:val="FootnoteText"/>
        <w:ind w:firstLine="0"/>
        <w:jc w:val="left"/>
        <w:rPr>
          <w:szCs w:val="18"/>
          <w:lang w:val="fr-FR"/>
        </w:rPr>
      </w:pPr>
      <w:r w:rsidRPr="008912BC">
        <w:rPr>
          <w:rStyle w:val="FootnoteReference"/>
          <w:szCs w:val="18"/>
          <w:lang w:val="fr-FR"/>
        </w:rPr>
        <w:footnoteRef/>
      </w:r>
      <w:r w:rsidRPr="008912BC">
        <w:rPr>
          <w:szCs w:val="18"/>
          <w:vertAlign w:val="superscript"/>
          <w:lang w:val="fr-FR"/>
        </w:rPr>
        <w:t xml:space="preserve">  </w:t>
      </w:r>
      <w:r w:rsidRPr="008912BC">
        <w:rPr>
          <w:szCs w:val="18"/>
          <w:lang w:val="fr-FR"/>
        </w:rPr>
        <w:t>Certaines Parties n’étaient pas en faveur d’inclure la théorie du changement et/ou ont demandé davantage de précisions sur ce à quoi elle se réfère. Par ailleurs, certaines Parties souhaiteraient exclure la théorie du changement de cette partie du cadre.</w:t>
      </w:r>
    </w:p>
  </w:footnote>
  <w:footnote w:id="4">
    <w:p w14:paraId="1BA17A8F" w14:textId="77777777" w:rsidR="00A365D7" w:rsidRPr="008912BC" w:rsidRDefault="00A365D7" w:rsidP="00B85058">
      <w:pPr>
        <w:pStyle w:val="FootnoteText"/>
        <w:ind w:firstLine="0"/>
        <w:jc w:val="left"/>
        <w:rPr>
          <w:szCs w:val="18"/>
          <w:lang w:val="fr-FR"/>
        </w:rPr>
      </w:pPr>
      <w:r w:rsidRPr="008912BC">
        <w:rPr>
          <w:rStyle w:val="FootnoteReference"/>
          <w:szCs w:val="18"/>
          <w:lang w:val="fr-FR"/>
        </w:rPr>
        <w:footnoteRef/>
      </w:r>
      <w:r w:rsidRPr="008912BC">
        <w:rPr>
          <w:szCs w:val="18"/>
          <w:lang w:val="fr-FR"/>
        </w:rPr>
        <w:t xml:space="preserve"> Certaines Parties n’étaient pas en faveur d’inclure des principes et/ou ont demandé davantage de précisions sur ce que cela impliquerait.</w:t>
      </w:r>
    </w:p>
  </w:footnote>
  <w:footnote w:id="5">
    <w:p w14:paraId="1CE770A8" w14:textId="5046983E"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ont estimé que la Vision 2050 était suffisamment claire et ne nécessitait aucun recadrage. D’autres étaient d’avis que si elle devait être recadrée ou expliquée plus en détail, cela pourrait être accompli dans l’élément du cadre mondial de la biodiversité pour l’après</w:t>
      </w:r>
      <w:r>
        <w:rPr>
          <w:szCs w:val="18"/>
          <w:lang w:val="fr-CA"/>
        </w:rPr>
        <w:noBreakHyphen/>
        <w:t>2020 relatif à la justification et au champ d’application.</w:t>
      </w:r>
    </w:p>
  </w:footnote>
  <w:footnote w:id="6">
    <w:p w14:paraId="75D9930D" w14:textId="2B7A10BC"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rStyle w:val="FootnoteReference"/>
          <w:szCs w:val="18"/>
          <w:lang w:val="fr-CA"/>
        </w:rPr>
        <w:t xml:space="preserve"> </w:t>
      </w:r>
      <w:r>
        <w:rPr>
          <w:szCs w:val="18"/>
          <w:lang w:val="fr-CA"/>
        </w:rPr>
        <w:t>Les Parties ont exprimé une gamme de points de vue sur la question de savoir si le cadre mondial de la biodiversité pour l’après</w:t>
      </w:r>
      <w:r>
        <w:rPr>
          <w:szCs w:val="18"/>
          <w:lang w:val="fr-CA"/>
        </w:rPr>
        <w:noBreakHyphen/>
        <w:t>2020 devait avoir une mission, un objectif principal et/ou des étapes clés, et ont exprimé divers degrés de soutien pour l’une des trois options. D’aucuns étaient d’avis que le cadre mondial de la biodiversité pour l’après</w:t>
      </w:r>
      <w:r>
        <w:rPr>
          <w:szCs w:val="18"/>
          <w:lang w:val="fr-CA"/>
        </w:rPr>
        <w:noBreakHyphen/>
        <w:t>2020 devrait uniquement incorporer l’une de ces options. D’autres estimaient qu’il devrait refléter toutes les trois options, ou une combinaison de deux d’entre elles.</w:t>
      </w:r>
      <w:r w:rsidRPr="009B2468">
        <w:rPr>
          <w:szCs w:val="18"/>
          <w:lang w:val="fr-CA"/>
        </w:rPr>
        <w:t xml:space="preserve"> </w:t>
      </w:r>
    </w:p>
  </w:footnote>
  <w:footnote w:id="7">
    <w:p w14:paraId="36EB5881" w14:textId="28166E0F"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ont noté la nécessité de définir ce que l’on entend par « état » dans le contexte de cet élément du cadre mondial de la biodiversité pour l’après</w:t>
      </w:r>
      <w:r>
        <w:rPr>
          <w:szCs w:val="18"/>
          <w:lang w:val="fr-CA"/>
        </w:rPr>
        <w:noBreakHyphen/>
        <w:t>2020.</w:t>
      </w:r>
    </w:p>
  </w:footnote>
  <w:footnote w:id="8">
    <w:p w14:paraId="7DAF0D39" w14:textId="77777777"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étaient d’avis que les étapes clés, par exemple jusqu’en 2050, pourraient être reflétées dans l'élément du cadre portant sur la justification et le champ d’application. Par ailleurs, certaines Parties souhaiteraient ajouter une adaptation et une atténuation basées sur les écosystèmes pour cet élément du cadre.</w:t>
      </w:r>
    </w:p>
  </w:footnote>
  <w:footnote w:id="9">
    <w:p w14:paraId="3F9B4509" w14:textId="7E131138"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ont estimé que le fait de répéter la Vision 2050 dans cet élément du cadre mondial de la biodiversité pour l’après</w:t>
      </w:r>
      <w:r>
        <w:rPr>
          <w:szCs w:val="18"/>
          <w:lang w:val="fr-CA"/>
        </w:rPr>
        <w:noBreakHyphen/>
        <w:t>2020  pourrait prêter à confusion.</w:t>
      </w:r>
    </w:p>
  </w:footnote>
  <w:footnote w:id="10">
    <w:p w14:paraId="42B43187" w14:textId="3E9284C3"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n’étaient pas en faveur d’inclure cela en tant que partie de la mission et/ou de l’objectif principal et des étapes clés dans le cadre mondial de la biodiversité pour l’après</w:t>
      </w:r>
      <w:r>
        <w:rPr>
          <w:szCs w:val="18"/>
          <w:lang w:val="fr-CA"/>
        </w:rPr>
        <w:noBreakHyphen/>
        <w:t>2020. D'autres Parties voulaient reformuler ceci afin que l'intégration soit aussi incluse.</w:t>
      </w:r>
    </w:p>
  </w:footnote>
  <w:footnote w:id="11">
    <w:p w14:paraId="15DCD7EB" w14:textId="46F710DD"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ne comprenaient pas clairement ce que cela signifiait et/ou comment cela pouvait être reflété au titre de cet élément du cadre mondial de la biodiversité pour l’après</w:t>
      </w:r>
      <w:r>
        <w:rPr>
          <w:szCs w:val="18"/>
          <w:lang w:val="fr-CA"/>
        </w:rPr>
        <w:noBreakHyphen/>
        <w:t>2020.</w:t>
      </w:r>
    </w:p>
  </w:footnote>
  <w:footnote w:id="12">
    <w:p w14:paraId="54541DF9" w14:textId="5F5FC2C4"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vertAlign w:val="superscript"/>
          <w:lang w:val="fr-CA"/>
        </w:rPr>
        <w:t xml:space="preserve"> </w:t>
      </w:r>
      <w:r>
        <w:rPr>
          <w:szCs w:val="18"/>
          <w:lang w:val="fr-CA"/>
        </w:rPr>
        <w:t xml:space="preserve">Certaines Parties ont noté qu’un libellé est nécessaire pour expliquer la relation entre les possibles objectifs, cibles et </w:t>
      </w:r>
      <w:r>
        <w:rPr>
          <w:noProof/>
          <w:szCs w:val="18"/>
          <w:lang w:val="fr-CA"/>
        </w:rPr>
        <w:t>sous</w:t>
      </w:r>
      <w:r>
        <w:rPr>
          <w:noProof/>
          <w:szCs w:val="18"/>
          <w:lang w:val="fr-CA"/>
        </w:rPr>
        <w:noBreakHyphen/>
        <w:t>cibles du cadre</w:t>
      </w:r>
      <w:r>
        <w:rPr>
          <w:szCs w:val="18"/>
          <w:lang w:val="fr-CA"/>
        </w:rPr>
        <w:t xml:space="preserve"> mondial de la biodiversité pour l’après</w:t>
      </w:r>
      <w:r>
        <w:rPr>
          <w:szCs w:val="18"/>
          <w:lang w:val="fr-CA"/>
        </w:rPr>
        <w:noBreakHyphen/>
        <w:t>2020. D’aucuns estimaient que des objectifs pourraient être utilisés pour aider à structurer et à organiser les cibles du Cadre mondial de la biodiversité pour l’après</w:t>
      </w:r>
      <w:r>
        <w:rPr>
          <w:szCs w:val="18"/>
          <w:lang w:val="fr-CA"/>
        </w:rPr>
        <w:noBreakHyphen/>
        <w:t>2020. Il a également été noté que les objectifs et les cibles sont reliés entre eux.</w:t>
      </w:r>
    </w:p>
  </w:footnote>
  <w:footnote w:id="13">
    <w:p w14:paraId="3A0EBDDD" w14:textId="77777777" w:rsidR="00A365D7" w:rsidRPr="00497F40" w:rsidRDefault="00A365D7" w:rsidP="00B85058">
      <w:pPr>
        <w:pStyle w:val="FootnoteText"/>
        <w:ind w:firstLine="0"/>
        <w:rPr>
          <w:lang w:val="fr-FR"/>
        </w:rPr>
      </w:pPr>
      <w:r w:rsidRPr="00F65063">
        <w:rPr>
          <w:rStyle w:val="FootnoteReference"/>
        </w:rPr>
        <w:footnoteRef/>
      </w:r>
      <w:r w:rsidRPr="00497F40">
        <w:rPr>
          <w:lang w:val="fr-FR"/>
        </w:rPr>
        <w:t xml:space="preserve"> Certaines Parties ont demandé d'inclure le concept d'intégration dans cet élément du cadre.</w:t>
      </w:r>
    </w:p>
  </w:footnote>
  <w:footnote w:id="14">
    <w:p w14:paraId="62968A0B" w14:textId="1207CA5E"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étaient d’avis que les causes directes de la perte de biodiversité devraient être reflétées dans l’élément du cadre mondial de la biodiversité pour l’après</w:t>
      </w:r>
      <w:r>
        <w:rPr>
          <w:szCs w:val="18"/>
          <w:lang w:val="fr-CA"/>
        </w:rPr>
        <w:noBreakHyphen/>
        <w:t xml:space="preserve">2020 relatif à la justification et au champ d’application et non pas en tant qu’objectifs. </w:t>
      </w:r>
    </w:p>
  </w:footnote>
  <w:footnote w:id="15">
    <w:p w14:paraId="443AC221" w14:textId="67CE22B3"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estimaient que les causes indirectes de la perte de biodiversité devraient être reflétées dans l’élément du cadre mondial de la biodiversité pour l’après</w:t>
      </w:r>
      <w:r>
        <w:rPr>
          <w:szCs w:val="18"/>
          <w:lang w:val="fr-CA"/>
        </w:rPr>
        <w:noBreakHyphen/>
        <w:t>2020 relatif à la justification et au champ d’application et non pas en tant qu’objectifs, pour ne pas outrepasser le mandat de la Convention.</w:t>
      </w:r>
    </w:p>
  </w:footnote>
  <w:footnote w:id="16">
    <w:p w14:paraId="1D3648AD" w14:textId="77777777" w:rsidR="00A365D7" w:rsidRPr="009B2468" w:rsidRDefault="00A365D7" w:rsidP="00B85058">
      <w:pPr>
        <w:pStyle w:val="FootnoteText"/>
        <w:ind w:firstLine="0"/>
        <w:jc w:val="left"/>
        <w:rPr>
          <w:szCs w:val="18"/>
          <w:lang w:val="fr-CA"/>
        </w:rPr>
      </w:pPr>
      <w:r w:rsidRPr="009B2468">
        <w:rPr>
          <w:rStyle w:val="FootnoteReference"/>
          <w:szCs w:val="18"/>
          <w:lang w:val="fr-CA"/>
        </w:rPr>
        <w:footnoteRef/>
      </w:r>
      <w:r w:rsidRPr="009B2468">
        <w:rPr>
          <w:szCs w:val="18"/>
          <w:lang w:val="fr-CA"/>
        </w:rPr>
        <w:t xml:space="preserve"> </w:t>
      </w:r>
      <w:r>
        <w:rPr>
          <w:szCs w:val="18"/>
          <w:lang w:val="fr-CA"/>
        </w:rPr>
        <w:t>Certaines Parties étaient d’avis que les questions relatives à la mise en œuvre pourraient ne pas devoir être reflétées en tant qu’objectifs dans le Cadre mondial de la biodiversité pour l’après</w:t>
      </w:r>
      <w:r>
        <w:rPr>
          <w:szCs w:val="18"/>
          <w:lang w:val="fr-CA"/>
        </w:rPr>
        <w:noBreakHyphen/>
        <w:t>2020.</w:t>
      </w:r>
    </w:p>
  </w:footnote>
  <w:footnote w:id="17">
    <w:p w14:paraId="468EE2C6" w14:textId="77777777" w:rsidR="00A365D7" w:rsidRPr="009B2468" w:rsidRDefault="00A365D7" w:rsidP="00B85058">
      <w:pPr>
        <w:pStyle w:val="FootnoteText"/>
        <w:ind w:firstLine="0"/>
        <w:jc w:val="left"/>
        <w:rPr>
          <w:noProof/>
          <w:szCs w:val="18"/>
          <w:lang w:val="fr-CA"/>
        </w:rPr>
      </w:pPr>
      <w:r>
        <w:rPr>
          <w:rStyle w:val="FootnoteReference"/>
          <w:szCs w:val="18"/>
        </w:rPr>
        <w:footnoteRef/>
      </w:r>
      <w:r w:rsidRPr="00617BDE">
        <w:rPr>
          <w:szCs w:val="18"/>
          <w:vertAlign w:val="superscript"/>
          <w:lang w:val="fr-FR"/>
        </w:rPr>
        <w:t xml:space="preserve"> </w:t>
      </w:r>
      <w:r w:rsidRPr="00617BDE">
        <w:rPr>
          <w:szCs w:val="18"/>
          <w:lang w:val="fr-FR"/>
        </w:rPr>
        <w:t xml:space="preserve">Certaines Parties ont noté </w:t>
      </w:r>
      <w:r w:rsidRPr="00617BDE">
        <w:rPr>
          <w:noProof/>
          <w:szCs w:val="18"/>
          <w:lang w:val="fr-FR"/>
        </w:rPr>
        <w:t>que les sous</w:t>
      </w:r>
      <w:r w:rsidRPr="00617BDE">
        <w:rPr>
          <w:noProof/>
          <w:szCs w:val="18"/>
          <w:lang w:val="fr-FR"/>
        </w:rPr>
        <w:noBreakHyphen/>
        <w:t>cibles pourraient ne pas s’avérer nécessaires. Cependant, elles ont également noté que si le nombre de cibles est limité, des sous</w:t>
      </w:r>
      <w:r w:rsidRPr="00617BDE">
        <w:rPr>
          <w:noProof/>
          <w:szCs w:val="18"/>
          <w:lang w:val="fr-FR"/>
        </w:rPr>
        <w:noBreakHyphen/>
        <w:t>cibles pourraient devenir nécessaires pour refléter toutes les questions souhaitées.</w:t>
      </w:r>
    </w:p>
  </w:footnote>
  <w:footnote w:id="18">
    <w:p w14:paraId="729E9C2B" w14:textId="5EBD4CBB" w:rsidR="00A365D7" w:rsidRPr="009B2468" w:rsidRDefault="00A365D7" w:rsidP="00B85058">
      <w:pPr>
        <w:pStyle w:val="FootnoteText"/>
        <w:ind w:firstLine="0"/>
        <w:jc w:val="left"/>
        <w:rPr>
          <w:szCs w:val="18"/>
          <w:lang w:val="fr-CA"/>
        </w:rPr>
      </w:pPr>
      <w:r>
        <w:rPr>
          <w:rStyle w:val="FootnoteReference"/>
          <w:noProof/>
          <w:szCs w:val="18"/>
        </w:rPr>
        <w:footnoteRef/>
      </w:r>
      <w:r w:rsidRPr="00617BDE">
        <w:rPr>
          <w:noProof/>
          <w:szCs w:val="18"/>
          <w:lang w:val="fr-FR"/>
        </w:rPr>
        <w:t xml:space="preserve"> Les </w:t>
      </w:r>
      <w:r>
        <w:rPr>
          <w:noProof/>
          <w:szCs w:val="18"/>
          <w:lang w:val="fr-FR"/>
        </w:rPr>
        <w:t>questions éventuelles</w:t>
      </w:r>
      <w:r w:rsidRPr="00617BDE">
        <w:rPr>
          <w:noProof/>
          <w:szCs w:val="18"/>
          <w:lang w:val="fr-FR"/>
        </w:rPr>
        <w:t xml:space="preserve"> identifiées au titre de</w:t>
      </w:r>
      <w:r w:rsidRPr="00617BDE">
        <w:rPr>
          <w:szCs w:val="18"/>
          <w:lang w:val="fr-FR"/>
        </w:rPr>
        <w:t xml:space="preserve"> cet élément pourraient également être pertinentes pour l’élément du cadre relatif aux questions et approches intersectorielles et/ou être reflétées dans les objectifs et cibles selon la manière dont elles sont formulées dans le </w:t>
      </w:r>
      <w:r>
        <w:rPr>
          <w:szCs w:val="18"/>
          <w:lang w:val="fr-FR"/>
        </w:rPr>
        <w:t>c</w:t>
      </w:r>
      <w:r w:rsidRPr="00617BDE">
        <w:rPr>
          <w:szCs w:val="18"/>
          <w:lang w:val="fr-FR"/>
        </w:rPr>
        <w:t>adre mondial de la biodiversité pour l’après</w:t>
      </w:r>
      <w:r w:rsidRPr="00617BDE">
        <w:rPr>
          <w:szCs w:val="18"/>
          <w:lang w:val="fr-FR"/>
        </w:rPr>
        <w:noBreakHyphen/>
        <w:t>2020.</w:t>
      </w:r>
    </w:p>
  </w:footnote>
  <w:footnote w:id="19">
    <w:p w14:paraId="49DA2072" w14:textId="7E6A4C4D" w:rsidR="00A365D7" w:rsidRPr="00617BDE" w:rsidRDefault="00A365D7" w:rsidP="00B85058">
      <w:pPr>
        <w:pStyle w:val="FootnoteText"/>
        <w:ind w:firstLine="0"/>
        <w:jc w:val="left"/>
        <w:rPr>
          <w:szCs w:val="18"/>
          <w:lang w:val="fr-FR"/>
        </w:rPr>
      </w:pPr>
      <w:r>
        <w:rPr>
          <w:rStyle w:val="FootnoteReference"/>
          <w:szCs w:val="18"/>
        </w:rPr>
        <w:footnoteRef/>
      </w:r>
      <w:r w:rsidRPr="00617BDE">
        <w:rPr>
          <w:szCs w:val="18"/>
          <w:vertAlign w:val="superscript"/>
          <w:lang w:val="fr-FR"/>
        </w:rPr>
        <w:t xml:space="preserve"> </w:t>
      </w:r>
      <w:r w:rsidRPr="00617BDE">
        <w:rPr>
          <w:szCs w:val="18"/>
          <w:lang w:val="fr-FR"/>
        </w:rPr>
        <w:t>Certaines Parties étaient</w:t>
      </w:r>
      <w:r>
        <w:rPr>
          <w:szCs w:val="18"/>
          <w:lang w:val="fr-FR"/>
        </w:rPr>
        <w:t xml:space="preserve"> contre</w:t>
      </w:r>
      <w:r w:rsidRPr="00617BDE">
        <w:rPr>
          <w:szCs w:val="18"/>
          <w:lang w:val="fr-FR"/>
        </w:rPr>
        <w:t xml:space="preserve"> l'inclusion de références relatives à la comptabilité du capital naturel.</w:t>
      </w:r>
    </w:p>
  </w:footnote>
  <w:footnote w:id="20">
    <w:p w14:paraId="501B94F2" w14:textId="6BECFC9F" w:rsidR="00A365D7" w:rsidRPr="00617BDE" w:rsidRDefault="00A365D7" w:rsidP="00B85058">
      <w:pPr>
        <w:pStyle w:val="FootnoteText"/>
        <w:ind w:firstLine="0"/>
        <w:jc w:val="left"/>
        <w:rPr>
          <w:szCs w:val="18"/>
          <w:lang w:val="fr-FR"/>
        </w:rPr>
      </w:pPr>
      <w:r>
        <w:rPr>
          <w:rStyle w:val="FootnoteReference"/>
          <w:szCs w:val="18"/>
        </w:rPr>
        <w:footnoteRef/>
      </w:r>
      <w:r w:rsidRPr="00617BDE">
        <w:rPr>
          <w:szCs w:val="18"/>
          <w:lang w:val="fr-FR"/>
        </w:rPr>
        <w:t xml:space="preserve"> Certaines Parties considéraient que c'était trop vaste et étaient opposées à l'intégration de cet élément dans le </w:t>
      </w:r>
      <w:r>
        <w:rPr>
          <w:szCs w:val="18"/>
          <w:lang w:val="fr-FR"/>
        </w:rPr>
        <w:t>c</w:t>
      </w:r>
      <w:r w:rsidRPr="00617BDE">
        <w:rPr>
          <w:szCs w:val="18"/>
          <w:lang w:val="fr-FR"/>
        </w:rPr>
        <w:t>adre mondial de la biodiversité pour l'après-2020.</w:t>
      </w:r>
    </w:p>
  </w:footnote>
  <w:footnote w:id="21">
    <w:p w14:paraId="4D2DF875" w14:textId="46053B5D" w:rsidR="00A365D7" w:rsidRPr="00617BDE" w:rsidRDefault="00A365D7" w:rsidP="00B85058">
      <w:pPr>
        <w:pStyle w:val="FootnoteText"/>
        <w:ind w:firstLine="0"/>
        <w:jc w:val="left"/>
        <w:rPr>
          <w:szCs w:val="18"/>
          <w:lang w:val="fr-FR"/>
        </w:rPr>
      </w:pPr>
      <w:r>
        <w:rPr>
          <w:rStyle w:val="FootnoteReference"/>
          <w:szCs w:val="18"/>
        </w:rPr>
        <w:footnoteRef/>
      </w:r>
      <w:r w:rsidRPr="00617BDE">
        <w:rPr>
          <w:szCs w:val="18"/>
          <w:vertAlign w:val="superscript"/>
          <w:lang w:val="fr-FR"/>
        </w:rPr>
        <w:t xml:space="preserve"> </w:t>
      </w:r>
      <w:r w:rsidRPr="00617BDE">
        <w:rPr>
          <w:szCs w:val="18"/>
          <w:lang w:val="fr-FR"/>
        </w:rPr>
        <w:t xml:space="preserve">Les questions mentionnées dans la présente section peuvent également être prises en compte dans d'autres éléments du </w:t>
      </w:r>
      <w:r>
        <w:rPr>
          <w:szCs w:val="18"/>
          <w:lang w:val="fr-FR"/>
        </w:rPr>
        <w:t>c</w:t>
      </w:r>
      <w:r w:rsidRPr="00617BDE">
        <w:rPr>
          <w:szCs w:val="18"/>
          <w:lang w:val="fr-FR"/>
        </w:rPr>
        <w:t xml:space="preserve">adre mondial de la biodiversité pour l'après-2020, par exemple dans les objectifs ou cibles ou dans la section relative </w:t>
      </w:r>
      <w:r>
        <w:rPr>
          <w:szCs w:val="18"/>
          <w:lang w:val="fr-FR"/>
        </w:rPr>
        <w:t xml:space="preserve"> aux i</w:t>
      </w:r>
      <w:r w:rsidRPr="00617BDE">
        <w:rPr>
          <w:szCs w:val="18"/>
          <w:lang w:val="fr-FR"/>
        </w:rPr>
        <w:t>nstruments de mise en œuvre et conditions propices, selon leur formulation. Certaines Parties ont fait observer que ces questions ne doivent pas être considérées comme des questions accessoires.</w:t>
      </w:r>
    </w:p>
  </w:footnote>
  <w:footnote w:id="22">
    <w:p w14:paraId="77A17399" w14:textId="77777777" w:rsidR="00A365D7" w:rsidRPr="008A23A2" w:rsidRDefault="00A365D7" w:rsidP="00B85058">
      <w:pPr>
        <w:pStyle w:val="CommentText"/>
        <w:rPr>
          <w:lang w:val="fr-FR"/>
        </w:rPr>
      </w:pPr>
      <w:r w:rsidRPr="00F65063">
        <w:rPr>
          <w:rStyle w:val="FootnoteReference"/>
        </w:rPr>
        <w:footnoteRef/>
      </w:r>
      <w:r w:rsidRPr="008A23A2">
        <w:rPr>
          <w:lang w:val="fr-FR"/>
        </w:rPr>
        <w:t xml:space="preserve"> </w:t>
      </w:r>
      <w:r w:rsidRPr="008A23A2">
        <w:rPr>
          <w:sz w:val="18"/>
          <w:szCs w:val="18"/>
          <w:lang w:val="fr-FR"/>
        </w:rPr>
        <w:t>Certaines Parties ont suggéré d'ajouter un mécanisme de collaboration multilatérale à cet élément du cadre.</w:t>
      </w:r>
      <w:r w:rsidRPr="008A23A2">
        <w:rPr>
          <w:lang w:val="fr-FR"/>
        </w:rPr>
        <w:t xml:space="preserve"> </w:t>
      </w:r>
    </w:p>
  </w:footnote>
  <w:footnote w:id="23">
    <w:p w14:paraId="07DC9F49" w14:textId="3A5A716A" w:rsidR="00A365D7" w:rsidRPr="00617BDE" w:rsidRDefault="00A365D7" w:rsidP="00B85058">
      <w:pPr>
        <w:pStyle w:val="FootnoteText"/>
        <w:ind w:firstLine="0"/>
        <w:jc w:val="left"/>
        <w:rPr>
          <w:szCs w:val="18"/>
          <w:lang w:val="fr-FR"/>
        </w:rPr>
      </w:pPr>
      <w:r>
        <w:rPr>
          <w:rStyle w:val="FootnoteReference"/>
          <w:szCs w:val="18"/>
        </w:rPr>
        <w:footnoteRef/>
      </w:r>
      <w:r w:rsidRPr="00617BDE">
        <w:rPr>
          <w:szCs w:val="18"/>
          <w:lang w:val="fr-FR"/>
        </w:rPr>
        <w:t xml:space="preserve"> Il a également été suggéré d'intituler cet élément </w:t>
      </w:r>
      <w:r>
        <w:rPr>
          <w:szCs w:val="18"/>
          <w:lang w:val="fr-FR"/>
        </w:rPr>
        <w:t>« C</w:t>
      </w:r>
      <w:r w:rsidRPr="00617BDE">
        <w:rPr>
          <w:szCs w:val="18"/>
          <w:lang w:val="fr-FR"/>
        </w:rPr>
        <w:t>adre de responsabilisation</w:t>
      </w:r>
      <w:r>
        <w:rPr>
          <w:szCs w:val="18"/>
          <w:lang w:val="fr-FR"/>
        </w:rPr>
        <w:t> »</w:t>
      </w:r>
      <w:r w:rsidRPr="00617BDE">
        <w:rPr>
          <w:szCs w:val="18"/>
          <w:lang w:val="fr-FR"/>
        </w:rPr>
        <w:t xml:space="preserve">. Cependant, certaines Parties n'étaient pas d'accord avec ce terme. Une autre suggestion était </w:t>
      </w:r>
      <w:r>
        <w:rPr>
          <w:szCs w:val="18"/>
          <w:lang w:val="fr-FR"/>
        </w:rPr>
        <w:t>« </w:t>
      </w:r>
      <w:r w:rsidRPr="00617BDE">
        <w:rPr>
          <w:szCs w:val="18"/>
          <w:lang w:val="fr-FR"/>
        </w:rPr>
        <w:t>Structure de mise en œuvre</w:t>
      </w:r>
      <w:r>
        <w:rPr>
          <w:szCs w:val="18"/>
          <w:lang w:val="fr-FR"/>
        </w:rPr>
        <w:t> »</w:t>
      </w:r>
      <w:r w:rsidRPr="00617BDE">
        <w:rPr>
          <w:iCs/>
          <w:kern w:val="22"/>
          <w:szCs w:val="18"/>
          <w:lang w:val="fr-FR"/>
        </w:rPr>
        <w:t>. Il a également été souligné que les mécanismes avaient pour but d'appuyer la mise en œuvre et non de sanctionner.</w:t>
      </w:r>
    </w:p>
  </w:footnote>
  <w:footnote w:id="24">
    <w:p w14:paraId="35D759CF" w14:textId="4F91C490" w:rsidR="00A365D7" w:rsidRPr="00617BDE" w:rsidRDefault="00A365D7" w:rsidP="00B85058">
      <w:pPr>
        <w:pStyle w:val="FootnoteText"/>
        <w:ind w:firstLine="0"/>
        <w:jc w:val="left"/>
        <w:rPr>
          <w:szCs w:val="18"/>
          <w:lang w:val="fr-FR"/>
        </w:rPr>
      </w:pPr>
      <w:r>
        <w:rPr>
          <w:rStyle w:val="FootnoteReference"/>
          <w:szCs w:val="18"/>
        </w:rPr>
        <w:footnoteRef/>
      </w:r>
      <w:r w:rsidRPr="00617BDE">
        <w:rPr>
          <w:szCs w:val="18"/>
          <w:lang w:val="fr-FR"/>
        </w:rPr>
        <w:t xml:space="preserve"> Certaines Parties étaient d'avis que les engagements volontaires seraient mieux pris en compte dans l'élément du </w:t>
      </w:r>
      <w:r>
        <w:rPr>
          <w:szCs w:val="18"/>
          <w:lang w:val="fr-FR"/>
        </w:rPr>
        <w:t>c</w:t>
      </w:r>
      <w:r w:rsidRPr="00617BDE">
        <w:rPr>
          <w:szCs w:val="18"/>
          <w:lang w:val="fr-FR"/>
        </w:rPr>
        <w:t>adre mondial de la biodiversité pour l'après-2020 relatif aux instruments de mise en œuvre et conditions propices. D'autres Parties ont indiqué qu'elles n'étaient pas certaines d'avoir saisi le sens du terme. D'autres Parties ont noté que des orientations claires doivent être fournies pour les engagements volontaires. Certaines Parties ont aussi estimé que les engagements volontaires étaient destinés aux acteurs non étatiques, tandis que d'autres étaient d'avis qu'ils pourraient présenter un intérêt pour les gouvernements nationaux en tant qu'hommage pour les engagements pris dans les stratégies et plans d’action nationaux pour la diversité biologique. D'autres pensaient que les engagements volontaires nationaux risqueraient de compromettre les stratégies et plans d’action nationaux pour la diversité biologique.</w:t>
      </w:r>
    </w:p>
  </w:footnote>
  <w:footnote w:id="25">
    <w:p w14:paraId="219D2D12" w14:textId="5616B98B" w:rsidR="00A365D7" w:rsidRPr="00617BDE" w:rsidRDefault="00A365D7" w:rsidP="00B85058">
      <w:pPr>
        <w:pStyle w:val="FootnoteText"/>
        <w:ind w:firstLine="0"/>
        <w:jc w:val="left"/>
        <w:rPr>
          <w:szCs w:val="18"/>
          <w:lang w:val="fr-FR"/>
        </w:rPr>
      </w:pPr>
      <w:r>
        <w:rPr>
          <w:rStyle w:val="FootnoteReference"/>
          <w:szCs w:val="18"/>
        </w:rPr>
        <w:footnoteRef/>
      </w:r>
      <w:r w:rsidRPr="00617BDE">
        <w:rPr>
          <w:szCs w:val="18"/>
          <w:lang w:val="fr-FR"/>
        </w:rPr>
        <w:t xml:space="preserve"> Certaines Parties ont fait observer que l'objet d'un mécanisme de conformité dans le contexte du </w:t>
      </w:r>
      <w:r>
        <w:rPr>
          <w:szCs w:val="18"/>
          <w:lang w:val="fr-FR"/>
        </w:rPr>
        <w:t>c</w:t>
      </w:r>
      <w:r w:rsidRPr="00617BDE">
        <w:rPr>
          <w:szCs w:val="18"/>
          <w:lang w:val="fr-FR"/>
        </w:rPr>
        <w:t>adre mondial de la biodiversité pour l'après-2020 n'était pas clair. D'autres se sont opposés au terme « conformité ».</w:t>
      </w:r>
    </w:p>
  </w:footnote>
  <w:footnote w:id="26">
    <w:p w14:paraId="25D6E155" w14:textId="39EB065A" w:rsidR="00A365D7" w:rsidRPr="00617BDE" w:rsidRDefault="00A365D7" w:rsidP="00B85058">
      <w:pPr>
        <w:pStyle w:val="FootnoteText"/>
        <w:ind w:firstLine="0"/>
        <w:jc w:val="left"/>
        <w:rPr>
          <w:szCs w:val="18"/>
          <w:lang w:val="fr-FR"/>
        </w:rPr>
      </w:pPr>
      <w:r>
        <w:rPr>
          <w:rStyle w:val="FootnoteReference"/>
          <w:szCs w:val="18"/>
        </w:rPr>
        <w:footnoteRef/>
      </w:r>
      <w:r w:rsidRPr="00617BDE">
        <w:rPr>
          <w:szCs w:val="18"/>
          <w:lang w:val="fr-FR"/>
        </w:rPr>
        <w:t xml:space="preserve"> Certaines Parties ont considéré que la référence au mécanisme d'</w:t>
      </w:r>
      <w:r>
        <w:rPr>
          <w:szCs w:val="18"/>
          <w:lang w:val="fr-FR"/>
        </w:rPr>
        <w:t>augmentation progressive</w:t>
      </w:r>
      <w:r w:rsidRPr="00617BDE">
        <w:rPr>
          <w:szCs w:val="18"/>
          <w:lang w:val="fr-FR"/>
        </w:rPr>
        <w:t xml:space="preserve"> conviendrait mieux dans l'élément concernant les instruments de mise en œuvre et conditions propices. Certaines Parties ont également noté que cette question devrait se limiter aux mesures, à la présentation de rapports et à la vérification.</w:t>
      </w:r>
    </w:p>
  </w:footnote>
  <w:footnote w:id="27">
    <w:p w14:paraId="3F8F52E5" w14:textId="0E63A672" w:rsidR="00A365D7" w:rsidRPr="00617BDE" w:rsidRDefault="00A365D7" w:rsidP="00B85058">
      <w:pPr>
        <w:pStyle w:val="FootnoteText"/>
        <w:ind w:firstLine="0"/>
        <w:jc w:val="left"/>
        <w:rPr>
          <w:szCs w:val="18"/>
          <w:lang w:val="fr-FR"/>
        </w:rPr>
      </w:pPr>
      <w:r w:rsidRPr="00D84F06">
        <w:rPr>
          <w:rStyle w:val="FootnoteReference"/>
          <w:szCs w:val="18"/>
        </w:rPr>
        <w:footnoteRef/>
      </w:r>
      <w:r w:rsidRPr="00617BDE">
        <w:rPr>
          <w:szCs w:val="18"/>
          <w:lang w:val="fr-FR"/>
        </w:rPr>
        <w:t xml:space="preserve"> Certaines Parties étaient d'avis que les questions traitées dans cet </w:t>
      </w:r>
      <w:r>
        <w:rPr>
          <w:szCs w:val="18"/>
          <w:lang w:val="fr-FR"/>
        </w:rPr>
        <w:t>élément</w:t>
      </w:r>
      <w:r w:rsidRPr="00617BDE">
        <w:rPr>
          <w:szCs w:val="18"/>
          <w:lang w:val="fr-FR"/>
        </w:rPr>
        <w:t xml:space="preserve"> pourraient être intégrées </w:t>
      </w:r>
      <w:r>
        <w:rPr>
          <w:szCs w:val="18"/>
          <w:lang w:val="fr-FR"/>
        </w:rPr>
        <w:t>au titre de</w:t>
      </w:r>
      <w:r w:rsidRPr="00617BDE">
        <w:rPr>
          <w:szCs w:val="18"/>
          <w:lang w:val="fr-FR"/>
        </w:rPr>
        <w:t xml:space="preserve"> l'élément du </w:t>
      </w:r>
      <w:r>
        <w:rPr>
          <w:szCs w:val="18"/>
          <w:lang w:val="fr-FR"/>
        </w:rPr>
        <w:t>c</w:t>
      </w:r>
      <w:r w:rsidRPr="00617BDE">
        <w:rPr>
          <w:szCs w:val="18"/>
          <w:lang w:val="fr-FR"/>
        </w:rPr>
        <w:t>adre mondial de la biodiversité pour l'après-2020 concernant les instruments de mise en œuvre et les conditions propices. D'autres ont fait observ</w:t>
      </w:r>
      <w:r>
        <w:rPr>
          <w:szCs w:val="18"/>
          <w:lang w:val="fr-FR"/>
        </w:rPr>
        <w:t>er</w:t>
      </w:r>
      <w:r w:rsidRPr="00617BDE">
        <w:rPr>
          <w:szCs w:val="18"/>
          <w:lang w:val="fr-FR"/>
        </w:rPr>
        <w:t xml:space="preserve"> que des dispositions visant à assurer la communication et la sensibilisation dans le contexte du </w:t>
      </w:r>
      <w:r>
        <w:rPr>
          <w:szCs w:val="18"/>
          <w:lang w:val="fr-FR"/>
        </w:rPr>
        <w:t>c</w:t>
      </w:r>
      <w:r w:rsidRPr="00617BDE">
        <w:rPr>
          <w:szCs w:val="18"/>
          <w:lang w:val="fr-FR"/>
        </w:rPr>
        <w:t>adre mondial de la biodiversité pour l'après-2020 figuraient déjà dans la décision 14/34.</w:t>
      </w:r>
    </w:p>
  </w:footnote>
  <w:footnote w:id="28">
    <w:p w14:paraId="7FF489A5" w14:textId="0700A0CE" w:rsidR="00A365D7" w:rsidRPr="007F6B17" w:rsidRDefault="00A365D7" w:rsidP="00C6326D">
      <w:pPr>
        <w:pStyle w:val="FootnoteText"/>
        <w:ind w:firstLine="0"/>
        <w:jc w:val="left"/>
        <w:rPr>
          <w:lang w:val="fr-CA"/>
        </w:rPr>
      </w:pPr>
      <w:r w:rsidRPr="007F6B17">
        <w:rPr>
          <w:rStyle w:val="FootnoteReference"/>
          <w:lang w:val="fr-CA"/>
        </w:rPr>
        <w:footnoteRef/>
      </w:r>
      <w:r w:rsidRPr="007F6B17">
        <w:rPr>
          <w:lang w:val="fr-CA"/>
        </w:rPr>
        <w:t xml:space="preserve"> </w:t>
      </w:r>
      <w:r>
        <w:rPr>
          <w:lang w:val="fr-CA"/>
        </w:rPr>
        <w:t xml:space="preserve">« Type » désigne le type de réunion planifiée. </w:t>
      </w:r>
      <w:r>
        <w:rPr>
          <w:b/>
          <w:bCs/>
          <w:lang w:val="fr-CA"/>
        </w:rPr>
        <w:t>1 :</w:t>
      </w:r>
      <w:r>
        <w:rPr>
          <w:lang w:val="fr-CA"/>
        </w:rPr>
        <w:t xml:space="preserve"> Réunion intergouvernementale, organes subsidiaires de la Convention (négociations). </w:t>
      </w:r>
      <w:r>
        <w:rPr>
          <w:b/>
          <w:bCs/>
          <w:lang w:val="fr-CA"/>
        </w:rPr>
        <w:t>2 :</w:t>
      </w:r>
      <w:r>
        <w:rPr>
          <w:lang w:val="fr-CA"/>
        </w:rPr>
        <w:t xml:space="preserve"> Comités de la Convention et de ses Protocoles. </w:t>
      </w:r>
      <w:r>
        <w:rPr>
          <w:b/>
          <w:bCs/>
          <w:lang w:val="fr-CA"/>
        </w:rPr>
        <w:t>3 :</w:t>
      </w:r>
      <w:r>
        <w:rPr>
          <w:lang w:val="fr-CA"/>
        </w:rPr>
        <w:t xml:space="preserve"> Consultations thématiques – tenues immédiatement après les principales réunions pour faciliter une pleine participation. </w:t>
      </w:r>
      <w:r>
        <w:rPr>
          <w:b/>
          <w:bCs/>
          <w:lang w:val="fr-CA"/>
        </w:rPr>
        <w:t>4 :</w:t>
      </w:r>
      <w:r>
        <w:rPr>
          <w:lang w:val="fr-CA"/>
        </w:rPr>
        <w:t xml:space="preserve"> Atelier thématique – pour aborder des questions spécifiques avec une participation appropriée et régionalement équilibrée d’experts de Parties et d’observateurs (selon la marche à suivre utilisée par l’Organe subsidiaire chargé de fournir des avis scientifiques, techniques et technologiques pour les groupes spéciaux d’experts techniques et appliquée avec les adaptations nécessaires pour d’autres ateliers). </w:t>
      </w:r>
      <w:r>
        <w:rPr>
          <w:b/>
          <w:bCs/>
          <w:lang w:val="fr-CA"/>
        </w:rPr>
        <w:t>5 :</w:t>
      </w:r>
      <w:r>
        <w:rPr>
          <w:lang w:val="fr-CA"/>
        </w:rPr>
        <w:t xml:space="preserve"> Réunion menée par des partenaires (liste non exhaustive).</w:t>
      </w:r>
    </w:p>
  </w:footnote>
  <w:footnote w:id="29">
    <w:p w14:paraId="635187AF" w14:textId="77777777" w:rsidR="00A365D7" w:rsidRPr="007F6B17" w:rsidRDefault="00A365D7" w:rsidP="00C6326D">
      <w:pPr>
        <w:pStyle w:val="FootnoteText"/>
        <w:ind w:firstLine="0"/>
        <w:jc w:val="left"/>
        <w:rPr>
          <w:noProof/>
          <w:kern w:val="18"/>
          <w:szCs w:val="18"/>
          <w:lang w:val="fr-CA"/>
        </w:rPr>
      </w:pPr>
      <w:r w:rsidRPr="007F6B17">
        <w:rPr>
          <w:rStyle w:val="FootnoteReference"/>
          <w:noProof/>
          <w:kern w:val="18"/>
          <w:szCs w:val="18"/>
          <w:lang w:val="fr-CA"/>
        </w:rPr>
        <w:footnoteRef/>
      </w:r>
      <w:r w:rsidRPr="007F6B17">
        <w:rPr>
          <w:noProof/>
          <w:kern w:val="18"/>
          <w:szCs w:val="18"/>
          <w:lang w:val="fr-CA"/>
        </w:rPr>
        <w:t xml:space="preserve"> La Conférence des Parties siégeant en tant que réunion des Parties au Protocole de Cartagena a également défini un processus d</w:t>
      </w:r>
      <w:r>
        <w:rPr>
          <w:noProof/>
          <w:kern w:val="18"/>
          <w:szCs w:val="18"/>
          <w:lang w:val="fr-CA"/>
        </w:rPr>
        <w:t>’</w:t>
      </w:r>
      <w:r w:rsidRPr="007F6B17">
        <w:rPr>
          <w:noProof/>
          <w:kern w:val="18"/>
          <w:szCs w:val="18"/>
          <w:lang w:val="fr-CA"/>
        </w:rPr>
        <w:t>élaboration d</w:t>
      </w:r>
      <w:r>
        <w:rPr>
          <w:noProof/>
          <w:kern w:val="18"/>
          <w:szCs w:val="18"/>
          <w:lang w:val="fr-CA"/>
        </w:rPr>
        <w:t>’</w:t>
      </w:r>
      <w:r w:rsidRPr="007F6B17">
        <w:rPr>
          <w:noProof/>
          <w:kern w:val="18"/>
          <w:szCs w:val="18"/>
          <w:lang w:val="fr-CA"/>
        </w:rPr>
        <w:t>un plan de mise en œuvre spécifique propre à assurer le</w:t>
      </w:r>
      <w:r w:rsidRPr="007F6B17">
        <w:rPr>
          <w:iCs/>
          <w:noProof/>
          <w:snapToGrid w:val="0"/>
          <w:kern w:val="18"/>
          <w:szCs w:val="18"/>
          <w:lang w:val="fr-CA"/>
        </w:rPr>
        <w:t xml:space="preserve"> suivi du plan stratégique pour le Protocole de Cartagena sur la prévention des risques biotechnologiques pour la période 2011</w:t>
      </w:r>
      <w:r>
        <w:rPr>
          <w:iCs/>
          <w:noProof/>
          <w:snapToGrid w:val="0"/>
          <w:kern w:val="18"/>
          <w:szCs w:val="18"/>
          <w:lang w:val="fr-CA"/>
        </w:rPr>
        <w:noBreakHyphen/>
      </w:r>
      <w:r w:rsidRPr="007F6B17">
        <w:rPr>
          <w:iCs/>
          <w:noProof/>
          <w:snapToGrid w:val="0"/>
          <w:kern w:val="18"/>
          <w:szCs w:val="18"/>
          <w:lang w:val="fr-CA"/>
        </w:rPr>
        <w:t>2020. Ce processus ne prévoit pas l</w:t>
      </w:r>
      <w:r>
        <w:rPr>
          <w:iCs/>
          <w:noProof/>
          <w:snapToGrid w:val="0"/>
          <w:kern w:val="18"/>
          <w:szCs w:val="18"/>
          <w:lang w:val="fr-CA"/>
        </w:rPr>
        <w:t>’</w:t>
      </w:r>
      <w:r w:rsidRPr="007F6B17">
        <w:rPr>
          <w:iCs/>
          <w:noProof/>
          <w:snapToGrid w:val="0"/>
          <w:kern w:val="18"/>
          <w:szCs w:val="18"/>
          <w:lang w:val="fr-CA"/>
        </w:rPr>
        <w:t>examen du plan de mise en œuvre par le Groupe de travail sur le cadre mondial de la biodiversité pour l</w:t>
      </w:r>
      <w:r>
        <w:rPr>
          <w:iCs/>
          <w:noProof/>
          <w:snapToGrid w:val="0"/>
          <w:kern w:val="18"/>
          <w:szCs w:val="18"/>
          <w:lang w:val="fr-CA"/>
        </w:rPr>
        <w:t>’</w:t>
      </w:r>
      <w:r w:rsidRPr="007F6B17">
        <w:rPr>
          <w:iCs/>
          <w:noProof/>
          <w:snapToGrid w:val="0"/>
          <w:kern w:val="18"/>
          <w:szCs w:val="18"/>
          <w:lang w:val="fr-CA"/>
        </w:rPr>
        <w:t>après</w:t>
      </w:r>
      <w:r>
        <w:rPr>
          <w:iCs/>
          <w:noProof/>
          <w:snapToGrid w:val="0"/>
          <w:kern w:val="18"/>
          <w:szCs w:val="18"/>
          <w:lang w:val="fr-CA"/>
        </w:rPr>
        <w:noBreakHyphen/>
      </w:r>
      <w:r w:rsidRPr="007F6B17">
        <w:rPr>
          <w:iCs/>
          <w:noProof/>
          <w:snapToGrid w:val="0"/>
          <w:kern w:val="18"/>
          <w:szCs w:val="18"/>
          <w:lang w:val="fr-CA"/>
        </w:rP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6E3C295E" w14:textId="42FFE894" w:rsidR="00A365D7" w:rsidRDefault="00A365D7" w:rsidP="005440A6">
        <w:pPr>
          <w:pStyle w:val="Header"/>
          <w:tabs>
            <w:tab w:val="clear" w:pos="4320"/>
            <w:tab w:val="clear" w:pos="8640"/>
          </w:tabs>
          <w:jc w:val="left"/>
          <w:rPr>
            <w:noProof/>
            <w:kern w:val="22"/>
          </w:rPr>
        </w:pPr>
        <w:r>
          <w:rPr>
            <w:noProof/>
            <w:kern w:val="22"/>
          </w:rPr>
          <w:t>CBD/WG2020/REC/1/1</w:t>
        </w:r>
      </w:p>
    </w:sdtContent>
  </w:sdt>
  <w:p w14:paraId="150BFB94" w14:textId="77777777" w:rsidR="00A365D7" w:rsidRPr="005440A6" w:rsidRDefault="00A365D7" w:rsidP="005440A6">
    <w:pPr>
      <w:pStyle w:val="Header"/>
      <w:tabs>
        <w:tab w:val="clear" w:pos="4320"/>
        <w:tab w:val="clear" w:pos="8640"/>
      </w:tab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2</w:t>
    </w:r>
    <w:r w:rsidRPr="005440A6">
      <w:rPr>
        <w:noProof/>
        <w:kern w:val="22"/>
      </w:rPr>
      <w:fldChar w:fldCharType="end"/>
    </w:r>
  </w:p>
  <w:p w14:paraId="07BF1D22" w14:textId="77777777" w:rsidR="00A365D7" w:rsidRPr="005440A6" w:rsidRDefault="00A365D7" w:rsidP="005440A6">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14:paraId="656738BF" w14:textId="4811C207" w:rsidR="00A365D7" w:rsidRPr="005440A6" w:rsidRDefault="00A365D7" w:rsidP="00BE45DE">
        <w:pPr>
          <w:pStyle w:val="Header"/>
          <w:tabs>
            <w:tab w:val="clear" w:pos="4320"/>
            <w:tab w:val="clear" w:pos="8640"/>
          </w:tabs>
          <w:jc w:val="right"/>
          <w:rPr>
            <w:noProof/>
            <w:kern w:val="22"/>
          </w:rPr>
        </w:pPr>
        <w:r>
          <w:rPr>
            <w:noProof/>
            <w:kern w:val="22"/>
          </w:rPr>
          <w:t>CBD/WG2020/REC/1/1</w:t>
        </w:r>
      </w:p>
    </w:sdtContent>
  </w:sdt>
  <w:p w14:paraId="43F8DFB0" w14:textId="77777777" w:rsidR="00A365D7" w:rsidRPr="005440A6" w:rsidRDefault="00A365D7" w:rsidP="005440A6">
    <w:pPr>
      <w:pStyle w:val="Header"/>
      <w:tabs>
        <w:tab w:val="clear" w:pos="4320"/>
        <w:tab w:val="clear" w:pos="8640"/>
      </w:tabs>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5</w:t>
    </w:r>
    <w:r w:rsidRPr="005440A6">
      <w:rPr>
        <w:noProof/>
        <w:kern w:val="22"/>
      </w:rPr>
      <w:fldChar w:fldCharType="end"/>
    </w:r>
  </w:p>
  <w:p w14:paraId="3DAA36C8" w14:textId="77777777" w:rsidR="00A365D7" w:rsidRPr="005440A6" w:rsidRDefault="00A365D7" w:rsidP="005440A6">
    <w:pPr>
      <w:pStyle w:val="Header"/>
      <w:tabs>
        <w:tab w:val="clear" w:pos="4320"/>
        <w:tab w:val="clear" w:pos="8640"/>
      </w:tab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30C1" w14:textId="77777777" w:rsidR="00A365D7" w:rsidRDefault="00A36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25D4"/>
    <w:multiLevelType w:val="hybridMultilevel"/>
    <w:tmpl w:val="F4A28C4A"/>
    <w:lvl w:ilvl="0" w:tplc="D4C670E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E4BB0"/>
    <w:multiLevelType w:val="hybridMultilevel"/>
    <w:tmpl w:val="A5821038"/>
    <w:lvl w:ilvl="0" w:tplc="333022F0">
      <w:start w:val="1"/>
      <w:numFmt w:val="upp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22142"/>
    <w:multiLevelType w:val="hybridMultilevel"/>
    <w:tmpl w:val="4B706208"/>
    <w:lvl w:ilvl="0" w:tplc="2482E0E4">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C660E5"/>
    <w:multiLevelType w:val="hybridMultilevel"/>
    <w:tmpl w:val="1B04DA8C"/>
    <w:lvl w:ilvl="0" w:tplc="E9502FBA">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43FA2"/>
    <w:multiLevelType w:val="hybridMultilevel"/>
    <w:tmpl w:val="4986F4F0"/>
    <w:lvl w:ilvl="0" w:tplc="7638AC10">
      <w:start w:val="1"/>
      <w:numFmt w:val="decimal"/>
      <w:lvlText w:val="%1."/>
      <w:lvlJc w:val="left"/>
      <w:pPr>
        <w:ind w:left="720" w:hanging="360"/>
      </w:pPr>
      <w:rPr>
        <w:rFonts w:ascii="Times New Roman" w:eastAsia="Times New Roman" w:hAnsi="Times New Roman" w:cs="Times New Roman" w:hint="default"/>
      </w:rPr>
    </w:lvl>
    <w:lvl w:ilvl="1" w:tplc="0A12AC4C">
      <w:start w:val="1"/>
      <w:numFmt w:val="lowerLetter"/>
      <w:lvlText w:val="%2)"/>
      <w:lvlJc w:val="left"/>
      <w:pPr>
        <w:ind w:left="1440" w:hanging="360"/>
      </w:pPr>
      <w:rPr>
        <w:rFonts w:hint="default"/>
      </w:rPr>
    </w:lvl>
    <w:lvl w:ilvl="2" w:tplc="6442B8FE">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F071E6"/>
    <w:multiLevelType w:val="hybridMultilevel"/>
    <w:tmpl w:val="C8481066"/>
    <w:lvl w:ilvl="0" w:tplc="C6205FD2">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19C2633"/>
    <w:multiLevelType w:val="hybridMultilevel"/>
    <w:tmpl w:val="6B5ADC2A"/>
    <w:lvl w:ilvl="0" w:tplc="B9EE747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92121F"/>
    <w:multiLevelType w:val="hybridMultilevel"/>
    <w:tmpl w:val="302C8256"/>
    <w:lvl w:ilvl="0" w:tplc="A59E31DC">
      <w:start w:val="1"/>
      <w:numFmt w:val="upperRoman"/>
      <w:lvlText w:val="%1."/>
      <w:lvlJc w:val="left"/>
      <w:pPr>
        <w:ind w:left="3131" w:hanging="720"/>
      </w:pPr>
      <w:rPr>
        <w:rFonts w:hint="default"/>
        <w:b/>
      </w:rPr>
    </w:lvl>
    <w:lvl w:ilvl="1" w:tplc="10090019" w:tentative="1">
      <w:start w:val="1"/>
      <w:numFmt w:val="lowerLetter"/>
      <w:lvlText w:val="%2."/>
      <w:lvlJc w:val="left"/>
      <w:pPr>
        <w:ind w:left="3491" w:hanging="360"/>
      </w:pPr>
    </w:lvl>
    <w:lvl w:ilvl="2" w:tplc="1009001B" w:tentative="1">
      <w:start w:val="1"/>
      <w:numFmt w:val="lowerRoman"/>
      <w:lvlText w:val="%3."/>
      <w:lvlJc w:val="right"/>
      <w:pPr>
        <w:ind w:left="4211" w:hanging="180"/>
      </w:pPr>
    </w:lvl>
    <w:lvl w:ilvl="3" w:tplc="1009000F" w:tentative="1">
      <w:start w:val="1"/>
      <w:numFmt w:val="decimal"/>
      <w:lvlText w:val="%4."/>
      <w:lvlJc w:val="left"/>
      <w:pPr>
        <w:ind w:left="4931" w:hanging="360"/>
      </w:pPr>
    </w:lvl>
    <w:lvl w:ilvl="4" w:tplc="10090019" w:tentative="1">
      <w:start w:val="1"/>
      <w:numFmt w:val="lowerLetter"/>
      <w:lvlText w:val="%5."/>
      <w:lvlJc w:val="left"/>
      <w:pPr>
        <w:ind w:left="5651" w:hanging="360"/>
      </w:pPr>
    </w:lvl>
    <w:lvl w:ilvl="5" w:tplc="1009001B" w:tentative="1">
      <w:start w:val="1"/>
      <w:numFmt w:val="lowerRoman"/>
      <w:lvlText w:val="%6."/>
      <w:lvlJc w:val="right"/>
      <w:pPr>
        <w:ind w:left="6371" w:hanging="180"/>
      </w:pPr>
    </w:lvl>
    <w:lvl w:ilvl="6" w:tplc="1009000F" w:tentative="1">
      <w:start w:val="1"/>
      <w:numFmt w:val="decimal"/>
      <w:lvlText w:val="%7."/>
      <w:lvlJc w:val="left"/>
      <w:pPr>
        <w:ind w:left="7091" w:hanging="360"/>
      </w:pPr>
    </w:lvl>
    <w:lvl w:ilvl="7" w:tplc="10090019" w:tentative="1">
      <w:start w:val="1"/>
      <w:numFmt w:val="lowerLetter"/>
      <w:lvlText w:val="%8."/>
      <w:lvlJc w:val="left"/>
      <w:pPr>
        <w:ind w:left="7811" w:hanging="360"/>
      </w:pPr>
    </w:lvl>
    <w:lvl w:ilvl="8" w:tplc="1009001B" w:tentative="1">
      <w:start w:val="1"/>
      <w:numFmt w:val="lowerRoman"/>
      <w:lvlText w:val="%9."/>
      <w:lvlJc w:val="right"/>
      <w:pPr>
        <w:ind w:left="8531" w:hanging="180"/>
      </w:pPr>
    </w:lvl>
  </w:abstractNum>
  <w:abstractNum w:abstractNumId="12" w15:restartNumberingAfterBreak="0">
    <w:nsid w:val="63D65338"/>
    <w:multiLevelType w:val="hybridMultilevel"/>
    <w:tmpl w:val="90769744"/>
    <w:lvl w:ilvl="0" w:tplc="429CE326">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2CC0"/>
    <w:multiLevelType w:val="hybridMultilevel"/>
    <w:tmpl w:val="F6EC8796"/>
    <w:lvl w:ilvl="0" w:tplc="F09C241C">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E76F63"/>
    <w:multiLevelType w:val="hybridMultilevel"/>
    <w:tmpl w:val="43C8DB2A"/>
    <w:lvl w:ilvl="0" w:tplc="ED14CB8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D633911"/>
    <w:multiLevelType w:val="hybridMultilevel"/>
    <w:tmpl w:val="0436C532"/>
    <w:lvl w:ilvl="0" w:tplc="7F0ED6C4">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FA69E6"/>
    <w:multiLevelType w:val="hybridMultilevel"/>
    <w:tmpl w:val="D974D1A0"/>
    <w:lvl w:ilvl="0" w:tplc="688C60AA">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B07680"/>
    <w:multiLevelType w:val="hybridMultilevel"/>
    <w:tmpl w:val="C6843118"/>
    <w:lvl w:ilvl="0" w:tplc="40AA430E">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A7539A"/>
    <w:multiLevelType w:val="hybridMultilevel"/>
    <w:tmpl w:val="15CA26F8"/>
    <w:lvl w:ilvl="0" w:tplc="3A22BB3E">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19"/>
  </w:num>
  <w:num w:numId="3">
    <w:abstractNumId w:val="11"/>
  </w:num>
  <w:num w:numId="4">
    <w:abstractNumId w:val="6"/>
  </w:num>
  <w:num w:numId="5">
    <w:abstractNumId w:val="5"/>
  </w:num>
  <w:num w:numId="6">
    <w:abstractNumId w:val="14"/>
  </w:num>
  <w:num w:numId="7">
    <w:abstractNumId w:val="16"/>
  </w:num>
  <w:num w:numId="8">
    <w:abstractNumId w:val="3"/>
  </w:num>
  <w:num w:numId="9">
    <w:abstractNumId w:val="9"/>
  </w:num>
  <w:num w:numId="10">
    <w:abstractNumId w:val="7"/>
  </w:num>
  <w:num w:numId="11">
    <w:abstractNumId w:val="1"/>
  </w:num>
  <w:num w:numId="12">
    <w:abstractNumId w:val="4"/>
  </w:num>
  <w:num w:numId="13">
    <w:abstractNumId w:val="18"/>
  </w:num>
  <w:num w:numId="14">
    <w:abstractNumId w:val="12"/>
  </w:num>
  <w:num w:numId="15">
    <w:abstractNumId w:val="15"/>
  </w:num>
  <w:num w:numId="16">
    <w:abstractNumId w:val="13"/>
  </w:num>
  <w:num w:numId="17">
    <w:abstractNumId w:val="2"/>
  </w:num>
  <w:num w:numId="18">
    <w:abstractNumId w:val="17"/>
  </w:num>
  <w:num w:numId="19">
    <w:abstractNumId w:val="0"/>
  </w:num>
  <w:num w:numId="20">
    <w:abstractNumId w:val="8"/>
  </w:num>
  <w:num w:numId="21">
    <w:abstractNumId w:val="10"/>
  </w:num>
  <w:num w:numId="22">
    <w:abstractNumId w:val="9"/>
  </w:num>
  <w:num w:numId="23">
    <w:abstractNumId w:val="9"/>
  </w:num>
  <w:num w:numId="24">
    <w:abstractNumId w:val="9"/>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6B4"/>
    <w:rsid w:val="00004CE9"/>
    <w:rsid w:val="0001208E"/>
    <w:rsid w:val="000131A7"/>
    <w:rsid w:val="00014159"/>
    <w:rsid w:val="00015524"/>
    <w:rsid w:val="000163C5"/>
    <w:rsid w:val="00017740"/>
    <w:rsid w:val="000217A4"/>
    <w:rsid w:val="000219AC"/>
    <w:rsid w:val="00021F63"/>
    <w:rsid w:val="00024DC3"/>
    <w:rsid w:val="00024F6D"/>
    <w:rsid w:val="00025C80"/>
    <w:rsid w:val="0002652D"/>
    <w:rsid w:val="00026B90"/>
    <w:rsid w:val="000300E6"/>
    <w:rsid w:val="00030DE3"/>
    <w:rsid w:val="00031D24"/>
    <w:rsid w:val="00033E7D"/>
    <w:rsid w:val="00035843"/>
    <w:rsid w:val="0003737D"/>
    <w:rsid w:val="00037546"/>
    <w:rsid w:val="00037873"/>
    <w:rsid w:val="0004033C"/>
    <w:rsid w:val="00041182"/>
    <w:rsid w:val="00043BFA"/>
    <w:rsid w:val="00053D11"/>
    <w:rsid w:val="00054381"/>
    <w:rsid w:val="00056880"/>
    <w:rsid w:val="000571A9"/>
    <w:rsid w:val="0005764B"/>
    <w:rsid w:val="00060B3E"/>
    <w:rsid w:val="00063942"/>
    <w:rsid w:val="00064908"/>
    <w:rsid w:val="00064FEE"/>
    <w:rsid w:val="000665EB"/>
    <w:rsid w:val="00070293"/>
    <w:rsid w:val="000711E1"/>
    <w:rsid w:val="00073708"/>
    <w:rsid w:val="00080AC2"/>
    <w:rsid w:val="000832DE"/>
    <w:rsid w:val="00087638"/>
    <w:rsid w:val="0009347E"/>
    <w:rsid w:val="000936F2"/>
    <w:rsid w:val="00093A7A"/>
    <w:rsid w:val="00096F6A"/>
    <w:rsid w:val="00097294"/>
    <w:rsid w:val="00097886"/>
    <w:rsid w:val="00097C8D"/>
    <w:rsid w:val="000A02BA"/>
    <w:rsid w:val="000A11E3"/>
    <w:rsid w:val="000A2638"/>
    <w:rsid w:val="000A6775"/>
    <w:rsid w:val="000B02D3"/>
    <w:rsid w:val="000B043B"/>
    <w:rsid w:val="000B0903"/>
    <w:rsid w:val="000B221D"/>
    <w:rsid w:val="000B25ED"/>
    <w:rsid w:val="000C0008"/>
    <w:rsid w:val="000C1D95"/>
    <w:rsid w:val="000C63A6"/>
    <w:rsid w:val="000C774D"/>
    <w:rsid w:val="000D36EF"/>
    <w:rsid w:val="000D5904"/>
    <w:rsid w:val="000D6EDB"/>
    <w:rsid w:val="000D7AF1"/>
    <w:rsid w:val="000E0FB7"/>
    <w:rsid w:val="000E2935"/>
    <w:rsid w:val="000E637D"/>
    <w:rsid w:val="000E7E6A"/>
    <w:rsid w:val="000F04B8"/>
    <w:rsid w:val="000F0A86"/>
    <w:rsid w:val="000F1BBC"/>
    <w:rsid w:val="000F1D56"/>
    <w:rsid w:val="000F2B9E"/>
    <w:rsid w:val="000F45AE"/>
    <w:rsid w:val="000F4DE0"/>
    <w:rsid w:val="000F5FF5"/>
    <w:rsid w:val="000F63AB"/>
    <w:rsid w:val="000F74B8"/>
    <w:rsid w:val="00100D0A"/>
    <w:rsid w:val="00100DDF"/>
    <w:rsid w:val="00102A00"/>
    <w:rsid w:val="00102EB6"/>
    <w:rsid w:val="001118F0"/>
    <w:rsid w:val="001178FF"/>
    <w:rsid w:val="00120AB2"/>
    <w:rsid w:val="00121F87"/>
    <w:rsid w:val="0012214B"/>
    <w:rsid w:val="001222C2"/>
    <w:rsid w:val="00123A71"/>
    <w:rsid w:val="001251BB"/>
    <w:rsid w:val="001340E9"/>
    <w:rsid w:val="0013586A"/>
    <w:rsid w:val="00137FA7"/>
    <w:rsid w:val="00140142"/>
    <w:rsid w:val="00141789"/>
    <w:rsid w:val="0014265C"/>
    <w:rsid w:val="00143C15"/>
    <w:rsid w:val="0014571A"/>
    <w:rsid w:val="00145961"/>
    <w:rsid w:val="00145994"/>
    <w:rsid w:val="0014668F"/>
    <w:rsid w:val="00146CBA"/>
    <w:rsid w:val="0015182F"/>
    <w:rsid w:val="001534C7"/>
    <w:rsid w:val="00155434"/>
    <w:rsid w:val="001573DA"/>
    <w:rsid w:val="001615C3"/>
    <w:rsid w:val="00162574"/>
    <w:rsid w:val="00164834"/>
    <w:rsid w:val="001651D3"/>
    <w:rsid w:val="00166367"/>
    <w:rsid w:val="00171D23"/>
    <w:rsid w:val="00172AE2"/>
    <w:rsid w:val="00173A00"/>
    <w:rsid w:val="001742CA"/>
    <w:rsid w:val="00174952"/>
    <w:rsid w:val="00174B15"/>
    <w:rsid w:val="0017589E"/>
    <w:rsid w:val="00176766"/>
    <w:rsid w:val="001774F8"/>
    <w:rsid w:val="0018288F"/>
    <w:rsid w:val="0018471E"/>
    <w:rsid w:val="0019213D"/>
    <w:rsid w:val="00192E06"/>
    <w:rsid w:val="00195754"/>
    <w:rsid w:val="001A1540"/>
    <w:rsid w:val="001A172E"/>
    <w:rsid w:val="001A5072"/>
    <w:rsid w:val="001A6231"/>
    <w:rsid w:val="001A671C"/>
    <w:rsid w:val="001B2BAC"/>
    <w:rsid w:val="001B4BCB"/>
    <w:rsid w:val="001C0A08"/>
    <w:rsid w:val="001C1950"/>
    <w:rsid w:val="001C1EAB"/>
    <w:rsid w:val="001C7000"/>
    <w:rsid w:val="001D13C5"/>
    <w:rsid w:val="001D2EA4"/>
    <w:rsid w:val="001D325E"/>
    <w:rsid w:val="001D3EA4"/>
    <w:rsid w:val="001D6A17"/>
    <w:rsid w:val="001D7354"/>
    <w:rsid w:val="001E2016"/>
    <w:rsid w:val="001E51A6"/>
    <w:rsid w:val="001F0F0A"/>
    <w:rsid w:val="001F3732"/>
    <w:rsid w:val="001F441F"/>
    <w:rsid w:val="001F5FC7"/>
    <w:rsid w:val="001F6379"/>
    <w:rsid w:val="001F777C"/>
    <w:rsid w:val="00202645"/>
    <w:rsid w:val="0020305D"/>
    <w:rsid w:val="002032C9"/>
    <w:rsid w:val="00204415"/>
    <w:rsid w:val="00204CAE"/>
    <w:rsid w:val="00205EC7"/>
    <w:rsid w:val="00207283"/>
    <w:rsid w:val="00207A6E"/>
    <w:rsid w:val="00210C3F"/>
    <w:rsid w:val="00211412"/>
    <w:rsid w:val="002138DE"/>
    <w:rsid w:val="00215D97"/>
    <w:rsid w:val="002177C5"/>
    <w:rsid w:val="002209DA"/>
    <w:rsid w:val="002218D3"/>
    <w:rsid w:val="00223333"/>
    <w:rsid w:val="002249FA"/>
    <w:rsid w:val="00224B92"/>
    <w:rsid w:val="00225964"/>
    <w:rsid w:val="00226E79"/>
    <w:rsid w:val="002275BE"/>
    <w:rsid w:val="00227883"/>
    <w:rsid w:val="0023147C"/>
    <w:rsid w:val="00232A3E"/>
    <w:rsid w:val="0023421A"/>
    <w:rsid w:val="002357E1"/>
    <w:rsid w:val="00235925"/>
    <w:rsid w:val="00237286"/>
    <w:rsid w:val="0024158B"/>
    <w:rsid w:val="002425F2"/>
    <w:rsid w:val="002430F2"/>
    <w:rsid w:val="00244379"/>
    <w:rsid w:val="00246851"/>
    <w:rsid w:val="002471A2"/>
    <w:rsid w:val="00251B13"/>
    <w:rsid w:val="00252897"/>
    <w:rsid w:val="002539CA"/>
    <w:rsid w:val="00255C8C"/>
    <w:rsid w:val="002606C4"/>
    <w:rsid w:val="00261B77"/>
    <w:rsid w:val="002678CF"/>
    <w:rsid w:val="00272162"/>
    <w:rsid w:val="00274A19"/>
    <w:rsid w:val="00276305"/>
    <w:rsid w:val="002769BD"/>
    <w:rsid w:val="00276B16"/>
    <w:rsid w:val="00281E2B"/>
    <w:rsid w:val="00283F5D"/>
    <w:rsid w:val="00284EC2"/>
    <w:rsid w:val="0028518D"/>
    <w:rsid w:val="002854B0"/>
    <w:rsid w:val="00286E5E"/>
    <w:rsid w:val="00287B63"/>
    <w:rsid w:val="002909DC"/>
    <w:rsid w:val="00291152"/>
    <w:rsid w:val="00293B48"/>
    <w:rsid w:val="002960A4"/>
    <w:rsid w:val="0029692B"/>
    <w:rsid w:val="00296A11"/>
    <w:rsid w:val="00297603"/>
    <w:rsid w:val="002A3738"/>
    <w:rsid w:val="002A374C"/>
    <w:rsid w:val="002A6350"/>
    <w:rsid w:val="002A7272"/>
    <w:rsid w:val="002A7320"/>
    <w:rsid w:val="002B01AC"/>
    <w:rsid w:val="002B0942"/>
    <w:rsid w:val="002B249F"/>
    <w:rsid w:val="002B32F6"/>
    <w:rsid w:val="002B6132"/>
    <w:rsid w:val="002B6841"/>
    <w:rsid w:val="002C0456"/>
    <w:rsid w:val="002C453A"/>
    <w:rsid w:val="002C4BDB"/>
    <w:rsid w:val="002C5517"/>
    <w:rsid w:val="002C714E"/>
    <w:rsid w:val="002D3454"/>
    <w:rsid w:val="002D40D5"/>
    <w:rsid w:val="002D7787"/>
    <w:rsid w:val="002E0627"/>
    <w:rsid w:val="002E391B"/>
    <w:rsid w:val="002E7DA0"/>
    <w:rsid w:val="002F1185"/>
    <w:rsid w:val="002F17AD"/>
    <w:rsid w:val="002F477A"/>
    <w:rsid w:val="002F4877"/>
    <w:rsid w:val="00300370"/>
    <w:rsid w:val="00304B04"/>
    <w:rsid w:val="00310145"/>
    <w:rsid w:val="00310E29"/>
    <w:rsid w:val="0031732A"/>
    <w:rsid w:val="003210FF"/>
    <w:rsid w:val="00321C05"/>
    <w:rsid w:val="00321FB7"/>
    <w:rsid w:val="00322338"/>
    <w:rsid w:val="00322A35"/>
    <w:rsid w:val="00324BE1"/>
    <w:rsid w:val="00325DE3"/>
    <w:rsid w:val="00332BBE"/>
    <w:rsid w:val="0033457D"/>
    <w:rsid w:val="00336766"/>
    <w:rsid w:val="00337254"/>
    <w:rsid w:val="00337387"/>
    <w:rsid w:val="003408B8"/>
    <w:rsid w:val="003409FD"/>
    <w:rsid w:val="003435BB"/>
    <w:rsid w:val="00344BD6"/>
    <w:rsid w:val="00345951"/>
    <w:rsid w:val="00347AD4"/>
    <w:rsid w:val="003508A8"/>
    <w:rsid w:val="003567FB"/>
    <w:rsid w:val="0035747D"/>
    <w:rsid w:val="00364B85"/>
    <w:rsid w:val="00367F81"/>
    <w:rsid w:val="003707E4"/>
    <w:rsid w:val="00381B19"/>
    <w:rsid w:val="0038321B"/>
    <w:rsid w:val="003848FA"/>
    <w:rsid w:val="00385457"/>
    <w:rsid w:val="00387330"/>
    <w:rsid w:val="003919A2"/>
    <w:rsid w:val="00396302"/>
    <w:rsid w:val="003965F5"/>
    <w:rsid w:val="003A0829"/>
    <w:rsid w:val="003A1C62"/>
    <w:rsid w:val="003B10B9"/>
    <w:rsid w:val="003B24CB"/>
    <w:rsid w:val="003B5E05"/>
    <w:rsid w:val="003B7067"/>
    <w:rsid w:val="003C113F"/>
    <w:rsid w:val="003C1759"/>
    <w:rsid w:val="003C57B0"/>
    <w:rsid w:val="003C592F"/>
    <w:rsid w:val="003C73EB"/>
    <w:rsid w:val="003C776A"/>
    <w:rsid w:val="003D000B"/>
    <w:rsid w:val="003D35B9"/>
    <w:rsid w:val="003D36E3"/>
    <w:rsid w:val="003D44CC"/>
    <w:rsid w:val="003D4579"/>
    <w:rsid w:val="003D4F39"/>
    <w:rsid w:val="003D5B5F"/>
    <w:rsid w:val="003D701A"/>
    <w:rsid w:val="003D7C4E"/>
    <w:rsid w:val="003E09DF"/>
    <w:rsid w:val="003E0FAD"/>
    <w:rsid w:val="003E2172"/>
    <w:rsid w:val="003E2DAE"/>
    <w:rsid w:val="003E4F49"/>
    <w:rsid w:val="003F0D2A"/>
    <w:rsid w:val="003F0EA8"/>
    <w:rsid w:val="003F2ABF"/>
    <w:rsid w:val="003F3A52"/>
    <w:rsid w:val="003F4F7C"/>
    <w:rsid w:val="003F69BB"/>
    <w:rsid w:val="003F6E44"/>
    <w:rsid w:val="003F7818"/>
    <w:rsid w:val="004004F3"/>
    <w:rsid w:val="00400772"/>
    <w:rsid w:val="004022D6"/>
    <w:rsid w:val="00402E92"/>
    <w:rsid w:val="00404AFC"/>
    <w:rsid w:val="004054AA"/>
    <w:rsid w:val="00406BC6"/>
    <w:rsid w:val="00412F38"/>
    <w:rsid w:val="0041449D"/>
    <w:rsid w:val="00415743"/>
    <w:rsid w:val="00422E27"/>
    <w:rsid w:val="004257AF"/>
    <w:rsid w:val="00432012"/>
    <w:rsid w:val="00434AF7"/>
    <w:rsid w:val="00436A82"/>
    <w:rsid w:val="004410D9"/>
    <w:rsid w:val="00442194"/>
    <w:rsid w:val="0044247D"/>
    <w:rsid w:val="00442A09"/>
    <w:rsid w:val="00442A25"/>
    <w:rsid w:val="00442A9E"/>
    <w:rsid w:val="00443664"/>
    <w:rsid w:val="00443DA2"/>
    <w:rsid w:val="0044424E"/>
    <w:rsid w:val="004452CA"/>
    <w:rsid w:val="004471B6"/>
    <w:rsid w:val="00450F14"/>
    <w:rsid w:val="00453B5B"/>
    <w:rsid w:val="004546C2"/>
    <w:rsid w:val="00454A0E"/>
    <w:rsid w:val="00454D15"/>
    <w:rsid w:val="00455EF8"/>
    <w:rsid w:val="00456255"/>
    <w:rsid w:val="0045655E"/>
    <w:rsid w:val="00457789"/>
    <w:rsid w:val="00463AB5"/>
    <w:rsid w:val="00463F50"/>
    <w:rsid w:val="00465BD7"/>
    <w:rsid w:val="004669B4"/>
    <w:rsid w:val="00470F82"/>
    <w:rsid w:val="0047165E"/>
    <w:rsid w:val="00471AFC"/>
    <w:rsid w:val="00474464"/>
    <w:rsid w:val="00481071"/>
    <w:rsid w:val="004831D6"/>
    <w:rsid w:val="00483212"/>
    <w:rsid w:val="00485943"/>
    <w:rsid w:val="00485A18"/>
    <w:rsid w:val="00490089"/>
    <w:rsid w:val="00492135"/>
    <w:rsid w:val="00493619"/>
    <w:rsid w:val="00493D8F"/>
    <w:rsid w:val="00493F36"/>
    <w:rsid w:val="0049694E"/>
    <w:rsid w:val="00497F55"/>
    <w:rsid w:val="004A2EFC"/>
    <w:rsid w:val="004B196C"/>
    <w:rsid w:val="004B597A"/>
    <w:rsid w:val="004B5D78"/>
    <w:rsid w:val="004B7C4D"/>
    <w:rsid w:val="004C069C"/>
    <w:rsid w:val="004C2235"/>
    <w:rsid w:val="004C3BFE"/>
    <w:rsid w:val="004C545F"/>
    <w:rsid w:val="004C5629"/>
    <w:rsid w:val="004C68AF"/>
    <w:rsid w:val="004C6A31"/>
    <w:rsid w:val="004C74CD"/>
    <w:rsid w:val="004D2072"/>
    <w:rsid w:val="004D35A0"/>
    <w:rsid w:val="004D3922"/>
    <w:rsid w:val="004D576F"/>
    <w:rsid w:val="004D7874"/>
    <w:rsid w:val="004E1515"/>
    <w:rsid w:val="004E183C"/>
    <w:rsid w:val="004E22DB"/>
    <w:rsid w:val="004E2E0A"/>
    <w:rsid w:val="004E385C"/>
    <w:rsid w:val="004E41C2"/>
    <w:rsid w:val="004E43D7"/>
    <w:rsid w:val="004E6C9A"/>
    <w:rsid w:val="004F0575"/>
    <w:rsid w:val="004F3268"/>
    <w:rsid w:val="005004E4"/>
    <w:rsid w:val="00500530"/>
    <w:rsid w:val="00501EA8"/>
    <w:rsid w:val="005020E1"/>
    <w:rsid w:val="005032C9"/>
    <w:rsid w:val="00504AD3"/>
    <w:rsid w:val="0051079C"/>
    <w:rsid w:val="00511923"/>
    <w:rsid w:val="00513461"/>
    <w:rsid w:val="00513A4F"/>
    <w:rsid w:val="005148CB"/>
    <w:rsid w:val="00515E92"/>
    <w:rsid w:val="00516C26"/>
    <w:rsid w:val="00517CF5"/>
    <w:rsid w:val="00520BE7"/>
    <w:rsid w:val="00520DCC"/>
    <w:rsid w:val="005226C3"/>
    <w:rsid w:val="0052270B"/>
    <w:rsid w:val="005313E3"/>
    <w:rsid w:val="0053178F"/>
    <w:rsid w:val="00535BD1"/>
    <w:rsid w:val="005363BC"/>
    <w:rsid w:val="00540C51"/>
    <w:rsid w:val="005423C4"/>
    <w:rsid w:val="0054398A"/>
    <w:rsid w:val="005439E1"/>
    <w:rsid w:val="005440A6"/>
    <w:rsid w:val="0054769E"/>
    <w:rsid w:val="00547958"/>
    <w:rsid w:val="005508E1"/>
    <w:rsid w:val="00551641"/>
    <w:rsid w:val="00556120"/>
    <w:rsid w:val="00556460"/>
    <w:rsid w:val="005565DA"/>
    <w:rsid w:val="005567B2"/>
    <w:rsid w:val="00557690"/>
    <w:rsid w:val="00557C2F"/>
    <w:rsid w:val="00561879"/>
    <w:rsid w:val="00567D0F"/>
    <w:rsid w:val="005721B0"/>
    <w:rsid w:val="00574A6A"/>
    <w:rsid w:val="005758D1"/>
    <w:rsid w:val="00576737"/>
    <w:rsid w:val="00576CC8"/>
    <w:rsid w:val="00577C88"/>
    <w:rsid w:val="005808AF"/>
    <w:rsid w:val="005819C8"/>
    <w:rsid w:val="00581E71"/>
    <w:rsid w:val="005836BE"/>
    <w:rsid w:val="005836D3"/>
    <w:rsid w:val="0058478A"/>
    <w:rsid w:val="00584A00"/>
    <w:rsid w:val="0058580E"/>
    <w:rsid w:val="00590DBA"/>
    <w:rsid w:val="00593466"/>
    <w:rsid w:val="005955D2"/>
    <w:rsid w:val="005A4284"/>
    <w:rsid w:val="005A72E6"/>
    <w:rsid w:val="005A7499"/>
    <w:rsid w:val="005B03A4"/>
    <w:rsid w:val="005B453F"/>
    <w:rsid w:val="005B4BED"/>
    <w:rsid w:val="005B4DB8"/>
    <w:rsid w:val="005B5D1D"/>
    <w:rsid w:val="005B6A66"/>
    <w:rsid w:val="005B6C84"/>
    <w:rsid w:val="005B7112"/>
    <w:rsid w:val="005B7572"/>
    <w:rsid w:val="005C101F"/>
    <w:rsid w:val="005C1546"/>
    <w:rsid w:val="005C1D09"/>
    <w:rsid w:val="005C239B"/>
    <w:rsid w:val="005C614C"/>
    <w:rsid w:val="005D05A7"/>
    <w:rsid w:val="005D139C"/>
    <w:rsid w:val="005D4999"/>
    <w:rsid w:val="005D646A"/>
    <w:rsid w:val="005D64DD"/>
    <w:rsid w:val="005D6CD6"/>
    <w:rsid w:val="005E0D5A"/>
    <w:rsid w:val="005E0E78"/>
    <w:rsid w:val="005E25B4"/>
    <w:rsid w:val="005E37A2"/>
    <w:rsid w:val="005E5763"/>
    <w:rsid w:val="005E5B23"/>
    <w:rsid w:val="005E71E6"/>
    <w:rsid w:val="005F0B07"/>
    <w:rsid w:val="005F1854"/>
    <w:rsid w:val="005F3E32"/>
    <w:rsid w:val="005F4C74"/>
    <w:rsid w:val="005F67B3"/>
    <w:rsid w:val="0060214F"/>
    <w:rsid w:val="00603B74"/>
    <w:rsid w:val="00603FDF"/>
    <w:rsid w:val="00604749"/>
    <w:rsid w:val="00604828"/>
    <w:rsid w:val="00604A41"/>
    <w:rsid w:val="006073AB"/>
    <w:rsid w:val="00613058"/>
    <w:rsid w:val="0061370B"/>
    <w:rsid w:val="00620824"/>
    <w:rsid w:val="0062372D"/>
    <w:rsid w:val="00623928"/>
    <w:rsid w:val="00624E78"/>
    <w:rsid w:val="006260D5"/>
    <w:rsid w:val="006328D8"/>
    <w:rsid w:val="00634202"/>
    <w:rsid w:val="00636934"/>
    <w:rsid w:val="00644F7B"/>
    <w:rsid w:val="006462AA"/>
    <w:rsid w:val="006469E6"/>
    <w:rsid w:val="00646E55"/>
    <w:rsid w:val="006507F2"/>
    <w:rsid w:val="00650E04"/>
    <w:rsid w:val="00652DFD"/>
    <w:rsid w:val="00655FCA"/>
    <w:rsid w:val="006619EE"/>
    <w:rsid w:val="00661D62"/>
    <w:rsid w:val="00663464"/>
    <w:rsid w:val="00663F53"/>
    <w:rsid w:val="00664634"/>
    <w:rsid w:val="006646D9"/>
    <w:rsid w:val="00670936"/>
    <w:rsid w:val="00673576"/>
    <w:rsid w:val="00673738"/>
    <w:rsid w:val="00675725"/>
    <w:rsid w:val="0067627A"/>
    <w:rsid w:val="00680041"/>
    <w:rsid w:val="0068005F"/>
    <w:rsid w:val="006839A9"/>
    <w:rsid w:val="00686437"/>
    <w:rsid w:val="00687AF7"/>
    <w:rsid w:val="00690847"/>
    <w:rsid w:val="00690CCA"/>
    <w:rsid w:val="006920E1"/>
    <w:rsid w:val="00693EC4"/>
    <w:rsid w:val="00697933"/>
    <w:rsid w:val="006A0A9E"/>
    <w:rsid w:val="006A58C3"/>
    <w:rsid w:val="006B074E"/>
    <w:rsid w:val="006B271B"/>
    <w:rsid w:val="006B2BD5"/>
    <w:rsid w:val="006B311D"/>
    <w:rsid w:val="006B3470"/>
    <w:rsid w:val="006B4E66"/>
    <w:rsid w:val="006B5179"/>
    <w:rsid w:val="006B5AC9"/>
    <w:rsid w:val="006B6D3A"/>
    <w:rsid w:val="006C3063"/>
    <w:rsid w:val="006C5119"/>
    <w:rsid w:val="006C6371"/>
    <w:rsid w:val="006C7786"/>
    <w:rsid w:val="006C7E33"/>
    <w:rsid w:val="006D0E3D"/>
    <w:rsid w:val="006D4FB1"/>
    <w:rsid w:val="006E1E3A"/>
    <w:rsid w:val="006E214A"/>
    <w:rsid w:val="006E2285"/>
    <w:rsid w:val="006E228C"/>
    <w:rsid w:val="006E3AE4"/>
    <w:rsid w:val="006F2032"/>
    <w:rsid w:val="006F284C"/>
    <w:rsid w:val="006F28E5"/>
    <w:rsid w:val="006F3EC0"/>
    <w:rsid w:val="006F5DBF"/>
    <w:rsid w:val="006F6A31"/>
    <w:rsid w:val="006F705F"/>
    <w:rsid w:val="006F7227"/>
    <w:rsid w:val="00702366"/>
    <w:rsid w:val="00704776"/>
    <w:rsid w:val="00710262"/>
    <w:rsid w:val="00712AF6"/>
    <w:rsid w:val="00715457"/>
    <w:rsid w:val="007163BC"/>
    <w:rsid w:val="007207FF"/>
    <w:rsid w:val="00721EB9"/>
    <w:rsid w:val="0072663B"/>
    <w:rsid w:val="007266FB"/>
    <w:rsid w:val="00726787"/>
    <w:rsid w:val="007279CE"/>
    <w:rsid w:val="00730AE3"/>
    <w:rsid w:val="00731FC6"/>
    <w:rsid w:val="007326EE"/>
    <w:rsid w:val="007327DB"/>
    <w:rsid w:val="007334DA"/>
    <w:rsid w:val="00733851"/>
    <w:rsid w:val="0073414E"/>
    <w:rsid w:val="00736BC2"/>
    <w:rsid w:val="00736C84"/>
    <w:rsid w:val="007411C9"/>
    <w:rsid w:val="007463FF"/>
    <w:rsid w:val="00746773"/>
    <w:rsid w:val="0074789E"/>
    <w:rsid w:val="007478FC"/>
    <w:rsid w:val="007531F4"/>
    <w:rsid w:val="00760D9D"/>
    <w:rsid w:val="007653DB"/>
    <w:rsid w:val="007716D1"/>
    <w:rsid w:val="00771F5F"/>
    <w:rsid w:val="007721B7"/>
    <w:rsid w:val="00773BBB"/>
    <w:rsid w:val="00776B5A"/>
    <w:rsid w:val="00780276"/>
    <w:rsid w:val="007802ED"/>
    <w:rsid w:val="007914CB"/>
    <w:rsid w:val="0079325E"/>
    <w:rsid w:val="00793996"/>
    <w:rsid w:val="0079404A"/>
    <w:rsid w:val="00795717"/>
    <w:rsid w:val="00797296"/>
    <w:rsid w:val="00797CE5"/>
    <w:rsid w:val="00797F20"/>
    <w:rsid w:val="007A1943"/>
    <w:rsid w:val="007A3F5E"/>
    <w:rsid w:val="007A5B09"/>
    <w:rsid w:val="007A5D25"/>
    <w:rsid w:val="007B0B13"/>
    <w:rsid w:val="007B1587"/>
    <w:rsid w:val="007B3659"/>
    <w:rsid w:val="007B62CF"/>
    <w:rsid w:val="007C0238"/>
    <w:rsid w:val="007C1F3D"/>
    <w:rsid w:val="007C5285"/>
    <w:rsid w:val="007C633B"/>
    <w:rsid w:val="007C63DB"/>
    <w:rsid w:val="007C7955"/>
    <w:rsid w:val="007D0504"/>
    <w:rsid w:val="007D3182"/>
    <w:rsid w:val="007D6BB0"/>
    <w:rsid w:val="007F0558"/>
    <w:rsid w:val="007F50C7"/>
    <w:rsid w:val="007F675B"/>
    <w:rsid w:val="007F680C"/>
    <w:rsid w:val="007F72E1"/>
    <w:rsid w:val="007F7796"/>
    <w:rsid w:val="00800C3C"/>
    <w:rsid w:val="00802BFF"/>
    <w:rsid w:val="00805A11"/>
    <w:rsid w:val="008101CD"/>
    <w:rsid w:val="00811180"/>
    <w:rsid w:val="00811D06"/>
    <w:rsid w:val="008121A3"/>
    <w:rsid w:val="008167B9"/>
    <w:rsid w:val="00817C4B"/>
    <w:rsid w:val="00817E91"/>
    <w:rsid w:val="00820C19"/>
    <w:rsid w:val="00820C92"/>
    <w:rsid w:val="00821250"/>
    <w:rsid w:val="00821A72"/>
    <w:rsid w:val="00824612"/>
    <w:rsid w:val="00824957"/>
    <w:rsid w:val="00825524"/>
    <w:rsid w:val="00830A88"/>
    <w:rsid w:val="008315E4"/>
    <w:rsid w:val="0083205A"/>
    <w:rsid w:val="0083211E"/>
    <w:rsid w:val="00832F2B"/>
    <w:rsid w:val="008376A3"/>
    <w:rsid w:val="0084016B"/>
    <w:rsid w:val="008405DD"/>
    <w:rsid w:val="00842365"/>
    <w:rsid w:val="00843FF1"/>
    <w:rsid w:val="00845A1D"/>
    <w:rsid w:val="0084759F"/>
    <w:rsid w:val="00850CAD"/>
    <w:rsid w:val="008511D6"/>
    <w:rsid w:val="00852CFF"/>
    <w:rsid w:val="00857244"/>
    <w:rsid w:val="00857D3B"/>
    <w:rsid w:val="008601B9"/>
    <w:rsid w:val="0086578A"/>
    <w:rsid w:val="00870C1F"/>
    <w:rsid w:val="00870D40"/>
    <w:rsid w:val="00872112"/>
    <w:rsid w:val="008729B3"/>
    <w:rsid w:val="0087327A"/>
    <w:rsid w:val="0087496B"/>
    <w:rsid w:val="00876001"/>
    <w:rsid w:val="00877AFF"/>
    <w:rsid w:val="008812AB"/>
    <w:rsid w:val="00881903"/>
    <w:rsid w:val="008823C2"/>
    <w:rsid w:val="008825D4"/>
    <w:rsid w:val="0088505C"/>
    <w:rsid w:val="00885804"/>
    <w:rsid w:val="008858B6"/>
    <w:rsid w:val="008912BC"/>
    <w:rsid w:val="00891BDD"/>
    <w:rsid w:val="0089286C"/>
    <w:rsid w:val="00894F86"/>
    <w:rsid w:val="008975AB"/>
    <w:rsid w:val="008A4AD7"/>
    <w:rsid w:val="008A5C3E"/>
    <w:rsid w:val="008B259C"/>
    <w:rsid w:val="008B2810"/>
    <w:rsid w:val="008B3A93"/>
    <w:rsid w:val="008B7173"/>
    <w:rsid w:val="008C013C"/>
    <w:rsid w:val="008C03B4"/>
    <w:rsid w:val="008C09CF"/>
    <w:rsid w:val="008C15D4"/>
    <w:rsid w:val="008C1DD6"/>
    <w:rsid w:val="008C1E35"/>
    <w:rsid w:val="008C452D"/>
    <w:rsid w:val="008C64F3"/>
    <w:rsid w:val="008C79D3"/>
    <w:rsid w:val="008D1BD0"/>
    <w:rsid w:val="008D57DA"/>
    <w:rsid w:val="008D5AA2"/>
    <w:rsid w:val="008D65DB"/>
    <w:rsid w:val="008D76F5"/>
    <w:rsid w:val="008E094E"/>
    <w:rsid w:val="008E274A"/>
    <w:rsid w:val="008E5F84"/>
    <w:rsid w:val="008E7500"/>
    <w:rsid w:val="008E78E6"/>
    <w:rsid w:val="008F112D"/>
    <w:rsid w:val="008F1A5D"/>
    <w:rsid w:val="008F32C3"/>
    <w:rsid w:val="008F35F8"/>
    <w:rsid w:val="008F40F9"/>
    <w:rsid w:val="008F772A"/>
    <w:rsid w:val="008F7F6B"/>
    <w:rsid w:val="0090057D"/>
    <w:rsid w:val="009009B4"/>
    <w:rsid w:val="00901263"/>
    <w:rsid w:val="00901DA1"/>
    <w:rsid w:val="0090373D"/>
    <w:rsid w:val="009046A7"/>
    <w:rsid w:val="009067F8"/>
    <w:rsid w:val="009069A6"/>
    <w:rsid w:val="00906F9A"/>
    <w:rsid w:val="009122A6"/>
    <w:rsid w:val="009137ED"/>
    <w:rsid w:val="00913B58"/>
    <w:rsid w:val="00914434"/>
    <w:rsid w:val="009151DA"/>
    <w:rsid w:val="00915CAB"/>
    <w:rsid w:val="009168B3"/>
    <w:rsid w:val="00921651"/>
    <w:rsid w:val="009218D2"/>
    <w:rsid w:val="00922EAD"/>
    <w:rsid w:val="00925D7A"/>
    <w:rsid w:val="0092794B"/>
    <w:rsid w:val="00930BC9"/>
    <w:rsid w:val="00930CF2"/>
    <w:rsid w:val="009329E6"/>
    <w:rsid w:val="00935132"/>
    <w:rsid w:val="009357A5"/>
    <w:rsid w:val="00940ED4"/>
    <w:rsid w:val="009411DF"/>
    <w:rsid w:val="0094176F"/>
    <w:rsid w:val="00944772"/>
    <w:rsid w:val="00945057"/>
    <w:rsid w:val="00946649"/>
    <w:rsid w:val="00946899"/>
    <w:rsid w:val="009478BF"/>
    <w:rsid w:val="0095058F"/>
    <w:rsid w:val="009515B8"/>
    <w:rsid w:val="00952110"/>
    <w:rsid w:val="00953856"/>
    <w:rsid w:val="00954C3B"/>
    <w:rsid w:val="00954EFE"/>
    <w:rsid w:val="0095507D"/>
    <w:rsid w:val="009554D5"/>
    <w:rsid w:val="00957249"/>
    <w:rsid w:val="00957436"/>
    <w:rsid w:val="00960B88"/>
    <w:rsid w:val="00964FF5"/>
    <w:rsid w:val="0096541C"/>
    <w:rsid w:val="0096605A"/>
    <w:rsid w:val="0096752E"/>
    <w:rsid w:val="00971391"/>
    <w:rsid w:val="00975A50"/>
    <w:rsid w:val="0097638B"/>
    <w:rsid w:val="00976B53"/>
    <w:rsid w:val="00981238"/>
    <w:rsid w:val="00981695"/>
    <w:rsid w:val="00982981"/>
    <w:rsid w:val="00983FEA"/>
    <w:rsid w:val="009876D3"/>
    <w:rsid w:val="00987863"/>
    <w:rsid w:val="009902DE"/>
    <w:rsid w:val="00994CC4"/>
    <w:rsid w:val="00995113"/>
    <w:rsid w:val="00995DF0"/>
    <w:rsid w:val="00996057"/>
    <w:rsid w:val="009976F7"/>
    <w:rsid w:val="00997DB5"/>
    <w:rsid w:val="009A0D8A"/>
    <w:rsid w:val="009A4234"/>
    <w:rsid w:val="009A54A9"/>
    <w:rsid w:val="009A67E6"/>
    <w:rsid w:val="009A7F79"/>
    <w:rsid w:val="009B0584"/>
    <w:rsid w:val="009B109E"/>
    <w:rsid w:val="009B17D2"/>
    <w:rsid w:val="009B2333"/>
    <w:rsid w:val="009B3BE4"/>
    <w:rsid w:val="009B3E9A"/>
    <w:rsid w:val="009B4302"/>
    <w:rsid w:val="009B51CF"/>
    <w:rsid w:val="009B5E1D"/>
    <w:rsid w:val="009C0DC0"/>
    <w:rsid w:val="009C1522"/>
    <w:rsid w:val="009C2469"/>
    <w:rsid w:val="009C3027"/>
    <w:rsid w:val="009C7F37"/>
    <w:rsid w:val="009D2F92"/>
    <w:rsid w:val="009D6CF4"/>
    <w:rsid w:val="009D7A79"/>
    <w:rsid w:val="009E00BC"/>
    <w:rsid w:val="009E02D5"/>
    <w:rsid w:val="009E065C"/>
    <w:rsid w:val="009E0963"/>
    <w:rsid w:val="009E1E16"/>
    <w:rsid w:val="009E2955"/>
    <w:rsid w:val="009E2B79"/>
    <w:rsid w:val="009E2BAB"/>
    <w:rsid w:val="009F4047"/>
    <w:rsid w:val="009F5917"/>
    <w:rsid w:val="009F6D8B"/>
    <w:rsid w:val="009F786D"/>
    <w:rsid w:val="00A000B2"/>
    <w:rsid w:val="00A00A87"/>
    <w:rsid w:val="00A03CE5"/>
    <w:rsid w:val="00A05643"/>
    <w:rsid w:val="00A10051"/>
    <w:rsid w:val="00A11165"/>
    <w:rsid w:val="00A11F90"/>
    <w:rsid w:val="00A124B0"/>
    <w:rsid w:val="00A138DB"/>
    <w:rsid w:val="00A20F36"/>
    <w:rsid w:val="00A240AB"/>
    <w:rsid w:val="00A243AC"/>
    <w:rsid w:val="00A24568"/>
    <w:rsid w:val="00A26397"/>
    <w:rsid w:val="00A269D0"/>
    <w:rsid w:val="00A269D3"/>
    <w:rsid w:val="00A275E7"/>
    <w:rsid w:val="00A30DAD"/>
    <w:rsid w:val="00A338D9"/>
    <w:rsid w:val="00A33DDE"/>
    <w:rsid w:val="00A35E89"/>
    <w:rsid w:val="00A365D7"/>
    <w:rsid w:val="00A411D8"/>
    <w:rsid w:val="00A433A2"/>
    <w:rsid w:val="00A44750"/>
    <w:rsid w:val="00A4579F"/>
    <w:rsid w:val="00A468AC"/>
    <w:rsid w:val="00A46F41"/>
    <w:rsid w:val="00A47CD7"/>
    <w:rsid w:val="00A51B57"/>
    <w:rsid w:val="00A522FE"/>
    <w:rsid w:val="00A5615D"/>
    <w:rsid w:val="00A57A98"/>
    <w:rsid w:val="00A61D4B"/>
    <w:rsid w:val="00A630AF"/>
    <w:rsid w:val="00A645F2"/>
    <w:rsid w:val="00A65EE8"/>
    <w:rsid w:val="00A70B8D"/>
    <w:rsid w:val="00A711DF"/>
    <w:rsid w:val="00A71BB1"/>
    <w:rsid w:val="00A71C4D"/>
    <w:rsid w:val="00A7471F"/>
    <w:rsid w:val="00A74AA4"/>
    <w:rsid w:val="00A753E6"/>
    <w:rsid w:val="00A765B0"/>
    <w:rsid w:val="00A76A21"/>
    <w:rsid w:val="00A8321A"/>
    <w:rsid w:val="00A83AC2"/>
    <w:rsid w:val="00A8454E"/>
    <w:rsid w:val="00A86A94"/>
    <w:rsid w:val="00A86C4E"/>
    <w:rsid w:val="00A872F3"/>
    <w:rsid w:val="00A93443"/>
    <w:rsid w:val="00AA014E"/>
    <w:rsid w:val="00AA18E6"/>
    <w:rsid w:val="00AA1F01"/>
    <w:rsid w:val="00AA2947"/>
    <w:rsid w:val="00AA3120"/>
    <w:rsid w:val="00AA5E51"/>
    <w:rsid w:val="00AB082D"/>
    <w:rsid w:val="00AB194E"/>
    <w:rsid w:val="00AB3BE7"/>
    <w:rsid w:val="00AB40A3"/>
    <w:rsid w:val="00AB511B"/>
    <w:rsid w:val="00AB5362"/>
    <w:rsid w:val="00AB665B"/>
    <w:rsid w:val="00AB76C8"/>
    <w:rsid w:val="00AC01AA"/>
    <w:rsid w:val="00AC0C7E"/>
    <w:rsid w:val="00AC1189"/>
    <w:rsid w:val="00AC1E69"/>
    <w:rsid w:val="00AC20D7"/>
    <w:rsid w:val="00AC2B8E"/>
    <w:rsid w:val="00AC37F8"/>
    <w:rsid w:val="00AC721C"/>
    <w:rsid w:val="00AC7F20"/>
    <w:rsid w:val="00AD120F"/>
    <w:rsid w:val="00AD33AD"/>
    <w:rsid w:val="00AE4237"/>
    <w:rsid w:val="00AE49E1"/>
    <w:rsid w:val="00AF0235"/>
    <w:rsid w:val="00AF0A38"/>
    <w:rsid w:val="00AF4383"/>
    <w:rsid w:val="00B0060B"/>
    <w:rsid w:val="00B00705"/>
    <w:rsid w:val="00B013E8"/>
    <w:rsid w:val="00B1027C"/>
    <w:rsid w:val="00B10421"/>
    <w:rsid w:val="00B14089"/>
    <w:rsid w:val="00B1490C"/>
    <w:rsid w:val="00B1517B"/>
    <w:rsid w:val="00B16338"/>
    <w:rsid w:val="00B20504"/>
    <w:rsid w:val="00B20DD4"/>
    <w:rsid w:val="00B241DC"/>
    <w:rsid w:val="00B25CDE"/>
    <w:rsid w:val="00B271A0"/>
    <w:rsid w:val="00B31503"/>
    <w:rsid w:val="00B3299A"/>
    <w:rsid w:val="00B32DDA"/>
    <w:rsid w:val="00B35010"/>
    <w:rsid w:val="00B36ADA"/>
    <w:rsid w:val="00B36D61"/>
    <w:rsid w:val="00B37C40"/>
    <w:rsid w:val="00B409D5"/>
    <w:rsid w:val="00B41171"/>
    <w:rsid w:val="00B42024"/>
    <w:rsid w:val="00B4267F"/>
    <w:rsid w:val="00B42C73"/>
    <w:rsid w:val="00B508E1"/>
    <w:rsid w:val="00B53CE9"/>
    <w:rsid w:val="00B5440B"/>
    <w:rsid w:val="00B54DCC"/>
    <w:rsid w:val="00B54EF2"/>
    <w:rsid w:val="00B55050"/>
    <w:rsid w:val="00B56B11"/>
    <w:rsid w:val="00B61678"/>
    <w:rsid w:val="00B636D7"/>
    <w:rsid w:val="00B63BFB"/>
    <w:rsid w:val="00B6487F"/>
    <w:rsid w:val="00B6495B"/>
    <w:rsid w:val="00B704A7"/>
    <w:rsid w:val="00B716CA"/>
    <w:rsid w:val="00B720B6"/>
    <w:rsid w:val="00B729AF"/>
    <w:rsid w:val="00B73129"/>
    <w:rsid w:val="00B73940"/>
    <w:rsid w:val="00B75F41"/>
    <w:rsid w:val="00B819C5"/>
    <w:rsid w:val="00B81C73"/>
    <w:rsid w:val="00B82229"/>
    <w:rsid w:val="00B84235"/>
    <w:rsid w:val="00B84267"/>
    <w:rsid w:val="00B8431C"/>
    <w:rsid w:val="00B84396"/>
    <w:rsid w:val="00B85058"/>
    <w:rsid w:val="00B8587A"/>
    <w:rsid w:val="00B85F9B"/>
    <w:rsid w:val="00B87047"/>
    <w:rsid w:val="00B87426"/>
    <w:rsid w:val="00B93E15"/>
    <w:rsid w:val="00B940C9"/>
    <w:rsid w:val="00B94D19"/>
    <w:rsid w:val="00B973C3"/>
    <w:rsid w:val="00BA1095"/>
    <w:rsid w:val="00BA1498"/>
    <w:rsid w:val="00BA3233"/>
    <w:rsid w:val="00BA36BD"/>
    <w:rsid w:val="00BA3A93"/>
    <w:rsid w:val="00BA4452"/>
    <w:rsid w:val="00BA7B98"/>
    <w:rsid w:val="00BB013B"/>
    <w:rsid w:val="00BB1DEB"/>
    <w:rsid w:val="00BB3E99"/>
    <w:rsid w:val="00BB624D"/>
    <w:rsid w:val="00BC08FD"/>
    <w:rsid w:val="00BC2203"/>
    <w:rsid w:val="00BC3079"/>
    <w:rsid w:val="00BC58D0"/>
    <w:rsid w:val="00BC6F4A"/>
    <w:rsid w:val="00BD0434"/>
    <w:rsid w:val="00BD0C7E"/>
    <w:rsid w:val="00BD1337"/>
    <w:rsid w:val="00BD24D4"/>
    <w:rsid w:val="00BE186E"/>
    <w:rsid w:val="00BE1C64"/>
    <w:rsid w:val="00BE2F69"/>
    <w:rsid w:val="00BE37A4"/>
    <w:rsid w:val="00BE45DE"/>
    <w:rsid w:val="00BE47AD"/>
    <w:rsid w:val="00BE66A8"/>
    <w:rsid w:val="00BE731E"/>
    <w:rsid w:val="00BF1328"/>
    <w:rsid w:val="00BF22D0"/>
    <w:rsid w:val="00BF2C54"/>
    <w:rsid w:val="00BF3507"/>
    <w:rsid w:val="00BF4745"/>
    <w:rsid w:val="00BF5812"/>
    <w:rsid w:val="00BF5DF9"/>
    <w:rsid w:val="00C035A3"/>
    <w:rsid w:val="00C03CDA"/>
    <w:rsid w:val="00C04CE0"/>
    <w:rsid w:val="00C05456"/>
    <w:rsid w:val="00C05F60"/>
    <w:rsid w:val="00C062DA"/>
    <w:rsid w:val="00C076A9"/>
    <w:rsid w:val="00C078B0"/>
    <w:rsid w:val="00C15BBB"/>
    <w:rsid w:val="00C15E9B"/>
    <w:rsid w:val="00C168EA"/>
    <w:rsid w:val="00C16F20"/>
    <w:rsid w:val="00C201C9"/>
    <w:rsid w:val="00C206A9"/>
    <w:rsid w:val="00C22A00"/>
    <w:rsid w:val="00C22D14"/>
    <w:rsid w:val="00C2415E"/>
    <w:rsid w:val="00C267C1"/>
    <w:rsid w:val="00C30A2D"/>
    <w:rsid w:val="00C31FC0"/>
    <w:rsid w:val="00C346A7"/>
    <w:rsid w:val="00C35204"/>
    <w:rsid w:val="00C35B39"/>
    <w:rsid w:val="00C36F92"/>
    <w:rsid w:val="00C37FF1"/>
    <w:rsid w:val="00C42572"/>
    <w:rsid w:val="00C4351D"/>
    <w:rsid w:val="00C4459E"/>
    <w:rsid w:val="00C46454"/>
    <w:rsid w:val="00C507CD"/>
    <w:rsid w:val="00C50814"/>
    <w:rsid w:val="00C50D24"/>
    <w:rsid w:val="00C5170D"/>
    <w:rsid w:val="00C51B19"/>
    <w:rsid w:val="00C6311C"/>
    <w:rsid w:val="00C6326D"/>
    <w:rsid w:val="00C668AD"/>
    <w:rsid w:val="00C66E9D"/>
    <w:rsid w:val="00C67796"/>
    <w:rsid w:val="00C72443"/>
    <w:rsid w:val="00C73421"/>
    <w:rsid w:val="00C73E77"/>
    <w:rsid w:val="00C752C1"/>
    <w:rsid w:val="00C76F1D"/>
    <w:rsid w:val="00C7763E"/>
    <w:rsid w:val="00C84E3F"/>
    <w:rsid w:val="00C85B88"/>
    <w:rsid w:val="00C85EA4"/>
    <w:rsid w:val="00C872D7"/>
    <w:rsid w:val="00C87756"/>
    <w:rsid w:val="00C912FE"/>
    <w:rsid w:val="00C92E50"/>
    <w:rsid w:val="00C94E7B"/>
    <w:rsid w:val="00C95B7D"/>
    <w:rsid w:val="00C96E9E"/>
    <w:rsid w:val="00CA0092"/>
    <w:rsid w:val="00CA0C8A"/>
    <w:rsid w:val="00CA1572"/>
    <w:rsid w:val="00CA1E2F"/>
    <w:rsid w:val="00CA26E1"/>
    <w:rsid w:val="00CA415C"/>
    <w:rsid w:val="00CA674A"/>
    <w:rsid w:val="00CA6B87"/>
    <w:rsid w:val="00CB12AC"/>
    <w:rsid w:val="00CB52EA"/>
    <w:rsid w:val="00CB632F"/>
    <w:rsid w:val="00CB649F"/>
    <w:rsid w:val="00CC124C"/>
    <w:rsid w:val="00CC2031"/>
    <w:rsid w:val="00CC2F78"/>
    <w:rsid w:val="00CC5E66"/>
    <w:rsid w:val="00CD2DA7"/>
    <w:rsid w:val="00CD4465"/>
    <w:rsid w:val="00CD47FE"/>
    <w:rsid w:val="00CD68EE"/>
    <w:rsid w:val="00CE095E"/>
    <w:rsid w:val="00CE0CCE"/>
    <w:rsid w:val="00CE4800"/>
    <w:rsid w:val="00CE51C3"/>
    <w:rsid w:val="00CE6256"/>
    <w:rsid w:val="00CE7329"/>
    <w:rsid w:val="00CF0928"/>
    <w:rsid w:val="00CF4F69"/>
    <w:rsid w:val="00CF6832"/>
    <w:rsid w:val="00CF6AD2"/>
    <w:rsid w:val="00D019B7"/>
    <w:rsid w:val="00D025DD"/>
    <w:rsid w:val="00D0282A"/>
    <w:rsid w:val="00D11828"/>
    <w:rsid w:val="00D128E5"/>
    <w:rsid w:val="00D15589"/>
    <w:rsid w:val="00D1616F"/>
    <w:rsid w:val="00D1739B"/>
    <w:rsid w:val="00D2037A"/>
    <w:rsid w:val="00D205B8"/>
    <w:rsid w:val="00D22AE8"/>
    <w:rsid w:val="00D233FE"/>
    <w:rsid w:val="00D239A9"/>
    <w:rsid w:val="00D24635"/>
    <w:rsid w:val="00D25E92"/>
    <w:rsid w:val="00D27168"/>
    <w:rsid w:val="00D278A9"/>
    <w:rsid w:val="00D30C33"/>
    <w:rsid w:val="00D31465"/>
    <w:rsid w:val="00D3216F"/>
    <w:rsid w:val="00D345A3"/>
    <w:rsid w:val="00D35CA9"/>
    <w:rsid w:val="00D36FCC"/>
    <w:rsid w:val="00D41553"/>
    <w:rsid w:val="00D41E59"/>
    <w:rsid w:val="00D41FD6"/>
    <w:rsid w:val="00D4290D"/>
    <w:rsid w:val="00D43299"/>
    <w:rsid w:val="00D432AD"/>
    <w:rsid w:val="00D46CD0"/>
    <w:rsid w:val="00D502A5"/>
    <w:rsid w:val="00D51069"/>
    <w:rsid w:val="00D52702"/>
    <w:rsid w:val="00D52C40"/>
    <w:rsid w:val="00D53E50"/>
    <w:rsid w:val="00D57404"/>
    <w:rsid w:val="00D57B1B"/>
    <w:rsid w:val="00D57F2B"/>
    <w:rsid w:val="00D63017"/>
    <w:rsid w:val="00D64276"/>
    <w:rsid w:val="00D72037"/>
    <w:rsid w:val="00D745E5"/>
    <w:rsid w:val="00D7547D"/>
    <w:rsid w:val="00D76C82"/>
    <w:rsid w:val="00D7730A"/>
    <w:rsid w:val="00D80C44"/>
    <w:rsid w:val="00D83F13"/>
    <w:rsid w:val="00D9058D"/>
    <w:rsid w:val="00D906FA"/>
    <w:rsid w:val="00D914B1"/>
    <w:rsid w:val="00D93092"/>
    <w:rsid w:val="00D9537D"/>
    <w:rsid w:val="00D96167"/>
    <w:rsid w:val="00D97144"/>
    <w:rsid w:val="00D97F7A"/>
    <w:rsid w:val="00DA5980"/>
    <w:rsid w:val="00DA5D37"/>
    <w:rsid w:val="00DB25B4"/>
    <w:rsid w:val="00DB2657"/>
    <w:rsid w:val="00DB4137"/>
    <w:rsid w:val="00DB4989"/>
    <w:rsid w:val="00DB535E"/>
    <w:rsid w:val="00DB783F"/>
    <w:rsid w:val="00DC1E98"/>
    <w:rsid w:val="00DC28BB"/>
    <w:rsid w:val="00DC3512"/>
    <w:rsid w:val="00DC49AE"/>
    <w:rsid w:val="00DC66DD"/>
    <w:rsid w:val="00DD1B5C"/>
    <w:rsid w:val="00DD3AD7"/>
    <w:rsid w:val="00DD45B8"/>
    <w:rsid w:val="00DD52CC"/>
    <w:rsid w:val="00DD57EE"/>
    <w:rsid w:val="00DE0249"/>
    <w:rsid w:val="00DE0D24"/>
    <w:rsid w:val="00DE2844"/>
    <w:rsid w:val="00DE308B"/>
    <w:rsid w:val="00DE3BFD"/>
    <w:rsid w:val="00DE4F37"/>
    <w:rsid w:val="00DF0086"/>
    <w:rsid w:val="00DF01E0"/>
    <w:rsid w:val="00DF2CAE"/>
    <w:rsid w:val="00DF40C9"/>
    <w:rsid w:val="00DF68B0"/>
    <w:rsid w:val="00E01F27"/>
    <w:rsid w:val="00E02296"/>
    <w:rsid w:val="00E03AB1"/>
    <w:rsid w:val="00E03F0D"/>
    <w:rsid w:val="00E0754A"/>
    <w:rsid w:val="00E12325"/>
    <w:rsid w:val="00E1487D"/>
    <w:rsid w:val="00E15E30"/>
    <w:rsid w:val="00E20ACC"/>
    <w:rsid w:val="00E20EA6"/>
    <w:rsid w:val="00E220CC"/>
    <w:rsid w:val="00E26090"/>
    <w:rsid w:val="00E27BC8"/>
    <w:rsid w:val="00E32E80"/>
    <w:rsid w:val="00E37A7A"/>
    <w:rsid w:val="00E413A4"/>
    <w:rsid w:val="00E41BD0"/>
    <w:rsid w:val="00E45453"/>
    <w:rsid w:val="00E47630"/>
    <w:rsid w:val="00E53637"/>
    <w:rsid w:val="00E53B89"/>
    <w:rsid w:val="00E552FD"/>
    <w:rsid w:val="00E55B3B"/>
    <w:rsid w:val="00E55C5D"/>
    <w:rsid w:val="00E55E91"/>
    <w:rsid w:val="00E56717"/>
    <w:rsid w:val="00E61DD6"/>
    <w:rsid w:val="00E63532"/>
    <w:rsid w:val="00E641FB"/>
    <w:rsid w:val="00E71990"/>
    <w:rsid w:val="00E71F32"/>
    <w:rsid w:val="00E722FD"/>
    <w:rsid w:val="00E724B3"/>
    <w:rsid w:val="00E72632"/>
    <w:rsid w:val="00E72980"/>
    <w:rsid w:val="00E73836"/>
    <w:rsid w:val="00E80DBD"/>
    <w:rsid w:val="00E83877"/>
    <w:rsid w:val="00E9124F"/>
    <w:rsid w:val="00E91830"/>
    <w:rsid w:val="00E93414"/>
    <w:rsid w:val="00E9370D"/>
    <w:rsid w:val="00E953E1"/>
    <w:rsid w:val="00E967BA"/>
    <w:rsid w:val="00E97F40"/>
    <w:rsid w:val="00EA3399"/>
    <w:rsid w:val="00EA53C7"/>
    <w:rsid w:val="00EA644D"/>
    <w:rsid w:val="00EA7525"/>
    <w:rsid w:val="00EB2979"/>
    <w:rsid w:val="00EB548E"/>
    <w:rsid w:val="00EB6F77"/>
    <w:rsid w:val="00EC0891"/>
    <w:rsid w:val="00EC3F20"/>
    <w:rsid w:val="00EC5406"/>
    <w:rsid w:val="00EC6835"/>
    <w:rsid w:val="00ED25B6"/>
    <w:rsid w:val="00ED2772"/>
    <w:rsid w:val="00ED3941"/>
    <w:rsid w:val="00ED4BD9"/>
    <w:rsid w:val="00ED4F4C"/>
    <w:rsid w:val="00EE062C"/>
    <w:rsid w:val="00EE0F5F"/>
    <w:rsid w:val="00EE12C8"/>
    <w:rsid w:val="00EE2D64"/>
    <w:rsid w:val="00EE33A4"/>
    <w:rsid w:val="00EE51DB"/>
    <w:rsid w:val="00EE5485"/>
    <w:rsid w:val="00EE5AC8"/>
    <w:rsid w:val="00EE74CD"/>
    <w:rsid w:val="00EF0AD2"/>
    <w:rsid w:val="00EF125C"/>
    <w:rsid w:val="00EF1C11"/>
    <w:rsid w:val="00EF2A11"/>
    <w:rsid w:val="00EF32A6"/>
    <w:rsid w:val="00EF5A08"/>
    <w:rsid w:val="00EF7C42"/>
    <w:rsid w:val="00EF7E43"/>
    <w:rsid w:val="00F002DD"/>
    <w:rsid w:val="00F01ADF"/>
    <w:rsid w:val="00F0393D"/>
    <w:rsid w:val="00F043F3"/>
    <w:rsid w:val="00F04A43"/>
    <w:rsid w:val="00F060CD"/>
    <w:rsid w:val="00F06F85"/>
    <w:rsid w:val="00F079DF"/>
    <w:rsid w:val="00F07B19"/>
    <w:rsid w:val="00F10CE0"/>
    <w:rsid w:val="00F12C77"/>
    <w:rsid w:val="00F1363B"/>
    <w:rsid w:val="00F13D86"/>
    <w:rsid w:val="00F13DC0"/>
    <w:rsid w:val="00F14485"/>
    <w:rsid w:val="00F16F02"/>
    <w:rsid w:val="00F17ECA"/>
    <w:rsid w:val="00F2046C"/>
    <w:rsid w:val="00F23196"/>
    <w:rsid w:val="00F26A60"/>
    <w:rsid w:val="00F304D4"/>
    <w:rsid w:val="00F352E2"/>
    <w:rsid w:val="00F371FA"/>
    <w:rsid w:val="00F40373"/>
    <w:rsid w:val="00F44122"/>
    <w:rsid w:val="00F4426F"/>
    <w:rsid w:val="00F465B6"/>
    <w:rsid w:val="00F51D35"/>
    <w:rsid w:val="00F52672"/>
    <w:rsid w:val="00F544A3"/>
    <w:rsid w:val="00F574B4"/>
    <w:rsid w:val="00F57D7D"/>
    <w:rsid w:val="00F60318"/>
    <w:rsid w:val="00F60FEB"/>
    <w:rsid w:val="00F61729"/>
    <w:rsid w:val="00F642C7"/>
    <w:rsid w:val="00F64CB9"/>
    <w:rsid w:val="00F6647E"/>
    <w:rsid w:val="00F66DD4"/>
    <w:rsid w:val="00F67181"/>
    <w:rsid w:val="00F71180"/>
    <w:rsid w:val="00F72A70"/>
    <w:rsid w:val="00F75CAA"/>
    <w:rsid w:val="00F76547"/>
    <w:rsid w:val="00F774CC"/>
    <w:rsid w:val="00F77628"/>
    <w:rsid w:val="00F776AF"/>
    <w:rsid w:val="00F7793A"/>
    <w:rsid w:val="00F82D0E"/>
    <w:rsid w:val="00F8332E"/>
    <w:rsid w:val="00F838DD"/>
    <w:rsid w:val="00F83C84"/>
    <w:rsid w:val="00F84307"/>
    <w:rsid w:val="00F84CBE"/>
    <w:rsid w:val="00F87ADE"/>
    <w:rsid w:val="00F92C99"/>
    <w:rsid w:val="00F96D86"/>
    <w:rsid w:val="00FA03D1"/>
    <w:rsid w:val="00FA0573"/>
    <w:rsid w:val="00FA178B"/>
    <w:rsid w:val="00FA2FCB"/>
    <w:rsid w:val="00FA4185"/>
    <w:rsid w:val="00FA6C63"/>
    <w:rsid w:val="00FB2587"/>
    <w:rsid w:val="00FB27D3"/>
    <w:rsid w:val="00FB3453"/>
    <w:rsid w:val="00FB3B70"/>
    <w:rsid w:val="00FB6425"/>
    <w:rsid w:val="00FB79A8"/>
    <w:rsid w:val="00FC2215"/>
    <w:rsid w:val="00FC370F"/>
    <w:rsid w:val="00FC3D2F"/>
    <w:rsid w:val="00FC6159"/>
    <w:rsid w:val="00FC71DE"/>
    <w:rsid w:val="00FD05DE"/>
    <w:rsid w:val="00FD061C"/>
    <w:rsid w:val="00FD233E"/>
    <w:rsid w:val="00FD27A9"/>
    <w:rsid w:val="00FD377E"/>
    <w:rsid w:val="00FD4640"/>
    <w:rsid w:val="00FD744F"/>
    <w:rsid w:val="00FE02D2"/>
    <w:rsid w:val="00FE0697"/>
    <w:rsid w:val="00FE1FFF"/>
    <w:rsid w:val="00FE27F7"/>
    <w:rsid w:val="00FE2C52"/>
    <w:rsid w:val="00FE2F88"/>
    <w:rsid w:val="00FE3202"/>
    <w:rsid w:val="00FE327B"/>
    <w:rsid w:val="00FE4F3F"/>
    <w:rsid w:val="00FE67BC"/>
    <w:rsid w:val="00FF0274"/>
    <w:rsid w:val="00FF22C1"/>
    <w:rsid w:val="00FF2890"/>
    <w:rsid w:val="00FF36AA"/>
    <w:rsid w:val="00FF5272"/>
    <w:rsid w:val="00FF5B91"/>
    <w:rsid w:val="00FF5C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60615"/>
  <w15:docId w15:val="{49FC54B1-B490-A34A-BB7E-EC89636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CA"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lsdException w:name="Table Grid" w:uiPriority="39"/>
    <w:lsdException w:name="Table Theme" w:lock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3FDF"/>
    <w:pPr>
      <w:jc w:val="both"/>
    </w:pPr>
    <w:rPr>
      <w:sz w:val="22"/>
      <w:szCs w:val="24"/>
      <w:lang w:val="en-GB"/>
    </w:rPr>
  </w:style>
  <w:style w:type="paragraph" w:styleId="Heading1">
    <w:name w:val="heading 1"/>
    <w:basedOn w:val="Normal"/>
    <w:next w:val="Heading2"/>
    <w:link w:val="Heading1Char"/>
    <w:qFormat/>
    <w:rsid w:val="00603FD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03FDF"/>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603FDF"/>
    <w:pPr>
      <w:keepNext/>
      <w:tabs>
        <w:tab w:val="left" w:pos="567"/>
      </w:tabs>
      <w:spacing w:before="120" w:after="120"/>
      <w:jc w:val="center"/>
      <w:outlineLvl w:val="2"/>
    </w:pPr>
    <w:rPr>
      <w:i/>
      <w:iCs/>
    </w:rPr>
  </w:style>
  <w:style w:type="paragraph" w:styleId="Heading4">
    <w:name w:val="heading 4"/>
    <w:basedOn w:val="Normal"/>
    <w:link w:val="Heading4Char"/>
    <w:qFormat/>
    <w:rsid w:val="00603FD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603FDF"/>
    <w:pPr>
      <w:keepNext/>
      <w:numPr>
        <w:ilvl w:val="4"/>
        <w:numId w:val="8"/>
      </w:numPr>
      <w:spacing w:before="120" w:after="120"/>
      <w:jc w:val="left"/>
      <w:outlineLvl w:val="4"/>
    </w:pPr>
    <w:rPr>
      <w:bCs/>
      <w:i/>
      <w:szCs w:val="26"/>
      <w:lang w:val="en-CA"/>
    </w:rPr>
  </w:style>
  <w:style w:type="paragraph" w:styleId="Heading6">
    <w:name w:val="heading 6"/>
    <w:basedOn w:val="Normal"/>
    <w:next w:val="Normal"/>
    <w:link w:val="Heading6Char"/>
    <w:qFormat/>
    <w:rsid w:val="00603FDF"/>
    <w:pPr>
      <w:keepNext/>
      <w:spacing w:after="240" w:line="240" w:lineRule="exact"/>
      <w:ind w:left="720"/>
      <w:outlineLvl w:val="5"/>
    </w:pPr>
    <w:rPr>
      <w:u w:val="single"/>
    </w:rPr>
  </w:style>
  <w:style w:type="paragraph" w:styleId="Heading7">
    <w:name w:val="heading 7"/>
    <w:basedOn w:val="Normal"/>
    <w:next w:val="Normal"/>
    <w:link w:val="Heading7Char"/>
    <w:rsid w:val="00603FDF"/>
    <w:pPr>
      <w:keepNext/>
      <w:jc w:val="right"/>
      <w:outlineLvl w:val="6"/>
    </w:pPr>
    <w:rPr>
      <w:rFonts w:ascii="Univers" w:hAnsi="Univers"/>
      <w:b/>
      <w:sz w:val="28"/>
    </w:rPr>
  </w:style>
  <w:style w:type="paragraph" w:styleId="Heading8">
    <w:name w:val="heading 8"/>
    <w:basedOn w:val="Normal"/>
    <w:next w:val="Normal"/>
    <w:link w:val="Heading8Char"/>
    <w:qFormat/>
    <w:rsid w:val="00603FDF"/>
    <w:pPr>
      <w:keepNext/>
      <w:jc w:val="right"/>
      <w:outlineLvl w:val="7"/>
    </w:pPr>
    <w:rPr>
      <w:rFonts w:ascii="Univers" w:hAnsi="Univers"/>
      <w:b/>
      <w:sz w:val="32"/>
    </w:rPr>
  </w:style>
  <w:style w:type="paragraph" w:styleId="Heading9">
    <w:name w:val="heading 9"/>
    <w:basedOn w:val="Normal"/>
    <w:next w:val="Normal"/>
    <w:link w:val="Heading9Char"/>
    <w:rsid w:val="00603FD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FDF"/>
    <w:pPr>
      <w:tabs>
        <w:tab w:val="center" w:pos="4320"/>
        <w:tab w:val="right" w:pos="8640"/>
      </w:tabs>
    </w:pPr>
  </w:style>
  <w:style w:type="paragraph" w:styleId="Footer">
    <w:name w:val="footer"/>
    <w:basedOn w:val="Normal"/>
    <w:link w:val="FooterChar"/>
    <w:rsid w:val="00603FDF"/>
    <w:pPr>
      <w:tabs>
        <w:tab w:val="center" w:pos="4320"/>
        <w:tab w:val="right" w:pos="8640"/>
      </w:tabs>
      <w:ind w:firstLine="720"/>
      <w:jc w:val="right"/>
    </w:pPr>
  </w:style>
  <w:style w:type="paragraph" w:customStyle="1" w:styleId="Para10">
    <w:name w:val="Para1"/>
    <w:basedOn w:val="Normal"/>
    <w:link w:val="Para1Char"/>
    <w:rsid w:val="00603FDF"/>
    <w:pPr>
      <w:numPr>
        <w:numId w:val="9"/>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603FDF"/>
    <w:pPr>
      <w:keepLines/>
      <w:spacing w:after="60"/>
      <w:ind w:firstLine="720"/>
    </w:pPr>
    <w:rPr>
      <w:sz w:val="18"/>
    </w:rPr>
  </w:style>
  <w:style w:type="paragraph" w:styleId="BodyText">
    <w:name w:val="Body Text"/>
    <w:basedOn w:val="Normal"/>
    <w:link w:val="BodyTextChar"/>
    <w:rsid w:val="00603FDF"/>
    <w:pPr>
      <w:spacing w:before="120" w:after="120"/>
      <w:ind w:firstLine="720"/>
    </w:pPr>
    <w:rPr>
      <w:iCs/>
    </w:rPr>
  </w:style>
  <w:style w:type="character" w:customStyle="1" w:styleId="StyleFootnoteReferenceNounderline">
    <w:name w:val="Style Footnote Reference + No underline"/>
    <w:rsid w:val="00603FDF"/>
    <w:rPr>
      <w:sz w:val="18"/>
      <w:u w:val="none"/>
      <w:vertAlign w:val="baseline"/>
    </w:rPr>
  </w:style>
  <w:style w:type="paragraph" w:customStyle="1" w:styleId="Quotationtextindented">
    <w:name w:val="Quotation text (indented)"/>
    <w:basedOn w:val="Normal"/>
    <w:qFormat/>
    <w:rsid w:val="00603FDF"/>
    <w:pPr>
      <w:spacing w:before="120" w:after="120"/>
      <w:ind w:left="720" w:right="720"/>
    </w:pPr>
    <w:rPr>
      <w:bCs/>
    </w:rPr>
  </w:style>
  <w:style w:type="paragraph" w:customStyle="1" w:styleId="recommendationheader">
    <w:name w:val="recommendation header"/>
    <w:basedOn w:val="Heading2"/>
    <w:qFormat/>
    <w:rsid w:val="00603FDF"/>
  </w:style>
  <w:style w:type="character" w:styleId="CommentReference">
    <w:name w:val="annotation reference"/>
    <w:semiHidden/>
    <w:rsid w:val="00603FDF"/>
    <w:rPr>
      <w:sz w:val="16"/>
    </w:rPr>
  </w:style>
  <w:style w:type="paragraph" w:styleId="CommentText">
    <w:name w:val="annotation text"/>
    <w:basedOn w:val="Normal"/>
    <w:link w:val="CommentTextChar"/>
    <w:semiHidden/>
    <w:rsid w:val="00603FD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603FDF"/>
    <w:rPr>
      <w:sz w:val="22"/>
      <w:u w:val="none"/>
      <w:vertAlign w:val="superscript"/>
    </w:rPr>
  </w:style>
  <w:style w:type="paragraph" w:styleId="BodyTextIndent">
    <w:name w:val="Body Text Indent"/>
    <w:basedOn w:val="Normal"/>
    <w:link w:val="BodyTextIndentChar"/>
    <w:rsid w:val="00603FDF"/>
    <w:pPr>
      <w:spacing w:before="120" w:after="120"/>
      <w:ind w:left="1440" w:hanging="720"/>
      <w:jc w:val="left"/>
    </w:pPr>
  </w:style>
  <w:style w:type="character" w:styleId="PageNumber">
    <w:name w:val="page number"/>
    <w:rsid w:val="00603FDF"/>
    <w:rPr>
      <w:rFonts w:ascii="Times New Roman" w:hAnsi="Times New Roman"/>
      <w:sz w:val="22"/>
    </w:rPr>
  </w:style>
  <w:style w:type="paragraph" w:customStyle="1" w:styleId="HEADING">
    <w:name w:val="HEADING"/>
    <w:basedOn w:val="Normal"/>
    <w:rsid w:val="00603FDF"/>
    <w:pPr>
      <w:keepNext/>
      <w:spacing w:before="240" w:after="120"/>
      <w:jc w:val="center"/>
    </w:pPr>
    <w:rPr>
      <w:b/>
      <w:bCs/>
      <w:caps/>
    </w:rPr>
  </w:style>
  <w:style w:type="paragraph" w:customStyle="1" w:styleId="para4">
    <w:name w:val="para4"/>
    <w:basedOn w:val="Normal"/>
    <w:rsid w:val="00603FD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603FDF"/>
    <w:pPr>
      <w:ind w:left="720"/>
      <w:outlineLvl w:val="9"/>
    </w:pPr>
    <w:rPr>
      <w:rFonts w:ascii="Times New Roman" w:hAnsi="Times New Roman"/>
    </w:rPr>
  </w:style>
  <w:style w:type="paragraph" w:customStyle="1" w:styleId="Cornernotation">
    <w:name w:val="Corner notation"/>
    <w:basedOn w:val="Normal"/>
    <w:rsid w:val="00603FDF"/>
    <w:pPr>
      <w:ind w:left="170" w:right="3119" w:hanging="170"/>
      <w:jc w:val="left"/>
    </w:pPr>
  </w:style>
  <w:style w:type="paragraph" w:customStyle="1" w:styleId="Para3">
    <w:name w:val="Para3"/>
    <w:basedOn w:val="Normal"/>
    <w:rsid w:val="00603FDF"/>
    <w:pPr>
      <w:numPr>
        <w:ilvl w:val="3"/>
        <w:numId w:val="10"/>
      </w:numPr>
      <w:tabs>
        <w:tab w:val="left" w:pos="1980"/>
      </w:tabs>
      <w:spacing w:before="80" w:after="80"/>
    </w:pPr>
    <w:rPr>
      <w:szCs w:val="20"/>
    </w:rPr>
  </w:style>
  <w:style w:type="paragraph" w:customStyle="1" w:styleId="recommendationheaderlong">
    <w:name w:val="recommendation header long"/>
    <w:basedOn w:val="Heading2longmultiline"/>
    <w:qFormat/>
    <w:rsid w:val="00603FDF"/>
  </w:style>
  <w:style w:type="paragraph" w:customStyle="1" w:styleId="tabletitle">
    <w:name w:val="table title"/>
    <w:basedOn w:val="Heading2"/>
    <w:qFormat/>
    <w:rsid w:val="00603FDF"/>
    <w:pPr>
      <w:jc w:val="left"/>
      <w:outlineLvl w:val="9"/>
    </w:pPr>
    <w:rPr>
      <w:i/>
    </w:rPr>
  </w:style>
  <w:style w:type="paragraph" w:styleId="TOAHeading">
    <w:name w:val="toa heading"/>
    <w:basedOn w:val="Normal"/>
    <w:next w:val="Normal"/>
    <w:semiHidden/>
    <w:rsid w:val="00603FDF"/>
    <w:pPr>
      <w:spacing w:before="120"/>
    </w:pPr>
    <w:rPr>
      <w:rFonts w:cs="Arial"/>
      <w:b/>
      <w:bCs/>
      <w:sz w:val="24"/>
    </w:rPr>
  </w:style>
  <w:style w:type="paragraph" w:styleId="TOC9">
    <w:name w:val="toc 9"/>
    <w:basedOn w:val="Normal"/>
    <w:next w:val="Normal"/>
    <w:autoRedefine/>
    <w:semiHidden/>
    <w:rsid w:val="00603FDF"/>
    <w:pPr>
      <w:spacing w:before="120" w:after="120"/>
      <w:ind w:left="1760"/>
      <w:jc w:val="left"/>
    </w:pPr>
  </w:style>
  <w:style w:type="paragraph" w:styleId="TOC1">
    <w:name w:val="toc 1"/>
    <w:basedOn w:val="Normal"/>
    <w:next w:val="Normal"/>
    <w:autoRedefine/>
    <w:semiHidden/>
    <w:rsid w:val="00603FDF"/>
    <w:pPr>
      <w:ind w:left="720" w:hanging="720"/>
    </w:pPr>
    <w:rPr>
      <w:caps/>
    </w:rPr>
  </w:style>
  <w:style w:type="paragraph" w:styleId="TOC2">
    <w:name w:val="toc 2"/>
    <w:basedOn w:val="Normal"/>
    <w:next w:val="Normal"/>
    <w:autoRedefine/>
    <w:semiHidden/>
    <w:rsid w:val="00603FDF"/>
    <w:pPr>
      <w:tabs>
        <w:tab w:val="right" w:leader="dot" w:pos="9356"/>
      </w:tabs>
      <w:ind w:left="1440" w:hanging="720"/>
    </w:pPr>
    <w:rPr>
      <w:noProof/>
      <w:szCs w:val="22"/>
    </w:rPr>
  </w:style>
  <w:style w:type="paragraph" w:styleId="TOC3">
    <w:name w:val="toc 3"/>
    <w:basedOn w:val="Normal"/>
    <w:next w:val="Normal"/>
    <w:autoRedefine/>
    <w:semiHidden/>
    <w:rsid w:val="00603FDF"/>
    <w:pPr>
      <w:ind w:left="2160" w:hanging="720"/>
    </w:pPr>
  </w:style>
  <w:style w:type="paragraph" w:styleId="TOC4">
    <w:name w:val="toc 4"/>
    <w:basedOn w:val="Normal"/>
    <w:next w:val="Normal"/>
    <w:autoRedefine/>
    <w:semiHidden/>
    <w:rsid w:val="00603FDF"/>
    <w:pPr>
      <w:spacing w:before="120" w:after="120"/>
      <w:ind w:left="660"/>
      <w:jc w:val="left"/>
    </w:pPr>
  </w:style>
  <w:style w:type="paragraph" w:styleId="TOC5">
    <w:name w:val="toc 5"/>
    <w:basedOn w:val="Normal"/>
    <w:next w:val="Normal"/>
    <w:autoRedefine/>
    <w:semiHidden/>
    <w:rsid w:val="00603FDF"/>
    <w:pPr>
      <w:spacing w:before="120" w:after="120"/>
      <w:ind w:left="880"/>
      <w:jc w:val="left"/>
    </w:pPr>
  </w:style>
  <w:style w:type="paragraph" w:styleId="TOC6">
    <w:name w:val="toc 6"/>
    <w:basedOn w:val="Normal"/>
    <w:next w:val="Normal"/>
    <w:autoRedefine/>
    <w:semiHidden/>
    <w:rsid w:val="00603FDF"/>
    <w:pPr>
      <w:spacing w:before="120" w:after="120"/>
      <w:ind w:left="1100"/>
      <w:jc w:val="left"/>
    </w:pPr>
  </w:style>
  <w:style w:type="paragraph" w:styleId="TOC7">
    <w:name w:val="toc 7"/>
    <w:basedOn w:val="Normal"/>
    <w:next w:val="Normal"/>
    <w:autoRedefine/>
    <w:semiHidden/>
    <w:rsid w:val="00603FDF"/>
    <w:pPr>
      <w:spacing w:before="120" w:after="120"/>
      <w:ind w:left="1320"/>
      <w:jc w:val="left"/>
    </w:pPr>
  </w:style>
  <w:style w:type="paragraph" w:styleId="TOC8">
    <w:name w:val="toc 8"/>
    <w:basedOn w:val="Normal"/>
    <w:next w:val="Normal"/>
    <w:autoRedefine/>
    <w:semiHidden/>
    <w:rsid w:val="00603FDF"/>
    <w:pPr>
      <w:spacing w:before="120" w:after="120"/>
      <w:ind w:left="1540"/>
      <w:jc w:val="left"/>
    </w:pPr>
  </w:style>
  <w:style w:type="paragraph" w:customStyle="1" w:styleId="reference">
    <w:name w:val="reference"/>
    <w:basedOn w:val="Heading9"/>
    <w:qFormat/>
    <w:rsid w:val="00603FDF"/>
    <w:rPr>
      <w:i w:val="0"/>
      <w:sz w:val="18"/>
    </w:rPr>
  </w:style>
  <w:style w:type="character" w:styleId="FollowedHyperlink">
    <w:name w:val="FollowedHyperlink"/>
    <w:rsid w:val="00603FDF"/>
    <w:rPr>
      <w:color w:val="800080"/>
      <w:u w:val="single"/>
    </w:rPr>
  </w:style>
  <w:style w:type="paragraph" w:customStyle="1" w:styleId="Style1">
    <w:name w:val="Style1"/>
    <w:basedOn w:val="Heading2"/>
    <w:qFormat/>
    <w:rsid w:val="00603FDF"/>
    <w:rPr>
      <w:i/>
    </w:rPr>
  </w:style>
  <w:style w:type="paragraph" w:customStyle="1" w:styleId="Para2">
    <w:name w:val="Para2"/>
    <w:basedOn w:val="Para10"/>
    <w:rsid w:val="00603FDF"/>
    <w:pPr>
      <w:numPr>
        <w:numId w:val="0"/>
      </w:numPr>
      <w:autoSpaceDE w:val="0"/>
      <w:autoSpaceDN w:val="0"/>
    </w:pPr>
  </w:style>
  <w:style w:type="paragraph" w:customStyle="1" w:styleId="Para-decision">
    <w:name w:val="Para-decision"/>
    <w:basedOn w:val="Normal"/>
    <w:rsid w:val="00603FD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rsid w:val="00603FDF"/>
    <w:rPr>
      <w:color w:val="0000FF"/>
      <w:sz w:val="18"/>
      <w:u w:val="single"/>
    </w:rPr>
  </w:style>
  <w:style w:type="character" w:styleId="EndnoteReference">
    <w:name w:val="endnote reference"/>
    <w:semiHidden/>
    <w:rsid w:val="00603FDF"/>
    <w:rPr>
      <w:vertAlign w:val="superscript"/>
    </w:rPr>
  </w:style>
  <w:style w:type="paragraph" w:styleId="EndnoteText">
    <w:name w:val="endnote text"/>
    <w:basedOn w:val="Normal"/>
    <w:link w:val="EndnoteTextChar"/>
    <w:semiHidden/>
    <w:rsid w:val="00603FD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603FDF"/>
    <w:pPr>
      <w:ind w:left="1843" w:hanging="1134"/>
      <w:jc w:val="left"/>
    </w:pPr>
  </w:style>
  <w:style w:type="paragraph" w:customStyle="1" w:styleId="Heading1multiline">
    <w:name w:val="Heading 1 (multiline)"/>
    <w:basedOn w:val="Heading1"/>
    <w:rsid w:val="00603FDF"/>
    <w:pPr>
      <w:ind w:left="1843" w:right="996" w:hanging="567"/>
      <w:jc w:val="left"/>
    </w:pPr>
  </w:style>
  <w:style w:type="paragraph" w:customStyle="1" w:styleId="Heading2multiline">
    <w:name w:val="Heading 2 (multiline)"/>
    <w:basedOn w:val="Heading1"/>
    <w:next w:val="Normal"/>
    <w:rsid w:val="00603FDF"/>
    <w:pPr>
      <w:spacing w:before="120"/>
      <w:ind w:left="1843" w:right="998" w:hanging="567"/>
      <w:jc w:val="left"/>
    </w:pPr>
    <w:rPr>
      <w:i/>
      <w:iCs/>
      <w:caps w:val="0"/>
    </w:rPr>
  </w:style>
  <w:style w:type="paragraph" w:customStyle="1" w:styleId="Heading2longmultiline">
    <w:name w:val="Heading 2 (long multiline)"/>
    <w:basedOn w:val="Heading2multiline"/>
    <w:rsid w:val="00603FDF"/>
    <w:pPr>
      <w:ind w:left="2127" w:hanging="1276"/>
    </w:pPr>
  </w:style>
  <w:style w:type="paragraph" w:customStyle="1" w:styleId="Heading3multiline">
    <w:name w:val="Heading 3 (multiline)"/>
    <w:basedOn w:val="Heading3"/>
    <w:next w:val="Normal"/>
    <w:rsid w:val="00603FDF"/>
    <w:pPr>
      <w:ind w:left="1418" w:hanging="425"/>
      <w:jc w:val="left"/>
    </w:pPr>
  </w:style>
  <w:style w:type="paragraph" w:customStyle="1" w:styleId="heading2notforTOC">
    <w:name w:val="heading 2 not for TOC"/>
    <w:basedOn w:val="Heading3"/>
    <w:rsid w:val="00603FDF"/>
  </w:style>
  <w:style w:type="paragraph" w:customStyle="1" w:styleId="HEADINGNOTFORTOC">
    <w:name w:val="HEADING (NOT FOR TOC)"/>
    <w:basedOn w:val="Heading1"/>
    <w:next w:val="Heading2"/>
    <w:rsid w:val="00603FDF"/>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603FDF"/>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603F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FDF"/>
    <w:rPr>
      <w:rFonts w:ascii="Lucida Grande" w:hAnsi="Lucida Grande" w:cs="Lucida Grande"/>
      <w:sz w:val="18"/>
      <w:szCs w:val="18"/>
      <w:lang w:val="en-GB"/>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basedOn w:val="DefaultParagraphFont"/>
    <w:link w:val="CommentText"/>
    <w:semiHidden/>
    <w:rsid w:val="00603FDF"/>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603FDF"/>
    <w:rPr>
      <w:color w:val="808080"/>
    </w:rPr>
  </w:style>
  <w:style w:type="paragraph" w:styleId="ListParagraph">
    <w:name w:val="List Paragraph"/>
    <w:basedOn w:val="Normal"/>
    <w:link w:val="ListParagraphChar"/>
    <w:uiPriority w:val="34"/>
    <w:qFormat/>
    <w:rsid w:val="00603FDF"/>
    <w:pPr>
      <w:ind w:left="720"/>
      <w:contextualSpacing/>
    </w:pPr>
  </w:style>
  <w:style w:type="paragraph" w:customStyle="1" w:styleId="meetingname">
    <w:name w:val="meeting name"/>
    <w:basedOn w:val="Normal"/>
    <w:qFormat/>
    <w:rsid w:val="00603FDF"/>
    <w:pPr>
      <w:ind w:left="142" w:right="4218" w:hanging="142"/>
    </w:pPr>
    <w:rPr>
      <w:caps/>
      <w:szCs w:val="22"/>
    </w:rPr>
  </w:style>
  <w:style w:type="table" w:styleId="TableGrid">
    <w:name w:val="Table Grid"/>
    <w:basedOn w:val="TableNormal"/>
    <w:uiPriority w:val="39"/>
    <w:rsid w:val="00603FDF"/>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0"/>
    <w:locked/>
    <w:rsid w:val="00603FDF"/>
    <w:rPr>
      <w:snapToGrid w:val="0"/>
      <w:sz w:val="22"/>
      <w:szCs w:val="18"/>
      <w:lang w:val="en-GB"/>
    </w:rPr>
  </w:style>
  <w:style w:type="character" w:customStyle="1" w:styleId="HeaderChar">
    <w:name w:val="Header Char"/>
    <w:basedOn w:val="DefaultParagraphFont"/>
    <w:link w:val="Header"/>
    <w:rsid w:val="00603FDF"/>
    <w:rPr>
      <w:sz w:val="22"/>
      <w:szCs w:val="24"/>
      <w:lang w:val="en-GB"/>
    </w:rPr>
  </w:style>
  <w:style w:type="character" w:customStyle="1" w:styleId="FooterChar">
    <w:name w:val="Footer Char"/>
    <w:basedOn w:val="DefaultParagraphFont"/>
    <w:link w:val="Footer"/>
    <w:rsid w:val="00603FDF"/>
    <w:rPr>
      <w:sz w:val="22"/>
      <w:szCs w:val="24"/>
      <w:lang w:val="en-GB"/>
    </w:rPr>
  </w:style>
  <w:style w:type="character" w:styleId="UnresolvedMention">
    <w:name w:val="Unresolved Mention"/>
    <w:basedOn w:val="DefaultParagraphFont"/>
    <w:uiPriority w:val="99"/>
    <w:semiHidden/>
    <w:unhideWhenUsed/>
    <w:rsid w:val="00E80DBD"/>
    <w:rPr>
      <w:color w:val="605E5C"/>
      <w:shd w:val="clear" w:color="auto" w:fill="E1DFDD"/>
    </w:rPr>
  </w:style>
  <w:style w:type="paragraph" w:styleId="NormalWeb">
    <w:name w:val="Normal (Web)"/>
    <w:basedOn w:val="Normal"/>
    <w:uiPriority w:val="99"/>
    <w:unhideWhenUsed/>
    <w:rsid w:val="006B4E66"/>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A4579F"/>
    <w:rPr>
      <w:rFonts w:ascii="Courier New" w:hAnsi="Courier New" w:cs="Courier New"/>
      <w:lang w:val="es-CO" w:eastAsia="es-CO"/>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1E2016"/>
    <w:pPr>
      <w:spacing w:after="160" w:line="240" w:lineRule="exact"/>
    </w:pPr>
    <w:rPr>
      <w:szCs w:val="20"/>
      <w:vertAlign w:val="superscript"/>
      <w:lang w:val="en-CA"/>
    </w:rPr>
  </w:style>
  <w:style w:type="character" w:customStyle="1" w:styleId="ListParagraphChar">
    <w:name w:val="List Paragraph Char"/>
    <w:basedOn w:val="DefaultParagraphFont"/>
    <w:link w:val="ListParagraph"/>
    <w:uiPriority w:val="34"/>
    <w:qFormat/>
    <w:locked/>
    <w:rsid w:val="00817C4B"/>
    <w:rPr>
      <w:sz w:val="22"/>
      <w:szCs w:val="24"/>
      <w:lang w:val="en-GB"/>
    </w:rPr>
  </w:style>
  <w:style w:type="paragraph" w:customStyle="1" w:styleId="Para1">
    <w:name w:val="Para 1"/>
    <w:basedOn w:val="BodyText"/>
    <w:rsid w:val="00817C4B"/>
    <w:pPr>
      <w:numPr>
        <w:numId w:val="4"/>
      </w:numPr>
      <w:tabs>
        <w:tab w:val="num" w:pos="360"/>
      </w:tabs>
      <w:ind w:left="0" w:firstLine="0"/>
    </w:pPr>
    <w:rPr>
      <w:rFonts w:eastAsia="MS Mincho" w:cs="Angsana New"/>
      <w:bCs/>
      <w:iCs w:val="0"/>
      <w:szCs w:val="22"/>
    </w:rPr>
  </w:style>
  <w:style w:type="paragraph" w:customStyle="1" w:styleId="trt0xe">
    <w:name w:val="trt0xe"/>
    <w:basedOn w:val="Normal"/>
    <w:rsid w:val="00E20ACC"/>
    <w:pPr>
      <w:spacing w:before="100" w:beforeAutospacing="1" w:after="100" w:afterAutospacing="1"/>
      <w:jc w:val="left"/>
    </w:pPr>
    <w:rPr>
      <w:sz w:val="24"/>
      <w:lang w:val="en-CA" w:eastAsia="en-CA"/>
    </w:rPr>
  </w:style>
  <w:style w:type="character" w:customStyle="1" w:styleId="BodyTextChar">
    <w:name w:val="Body Text Char"/>
    <w:basedOn w:val="DefaultParagraphFont"/>
    <w:link w:val="BodyText"/>
    <w:rsid w:val="00603FDF"/>
    <w:rPr>
      <w:iCs/>
      <w:sz w:val="22"/>
      <w:szCs w:val="24"/>
      <w:lang w:val="en-GB"/>
    </w:rPr>
  </w:style>
  <w:style w:type="character" w:customStyle="1" w:styleId="BodyTextIndentChar">
    <w:name w:val="Body Text Indent Char"/>
    <w:basedOn w:val="DefaultParagraphFont"/>
    <w:link w:val="BodyTextIndent"/>
    <w:rsid w:val="00603FDF"/>
    <w:rPr>
      <w:sz w:val="22"/>
      <w:szCs w:val="24"/>
      <w:lang w:val="en-GB"/>
    </w:rPr>
  </w:style>
  <w:style w:type="paragraph" w:styleId="Caption">
    <w:name w:val="caption"/>
    <w:basedOn w:val="Normal"/>
    <w:next w:val="Normal"/>
    <w:uiPriority w:val="35"/>
    <w:unhideWhenUsed/>
    <w:qFormat/>
    <w:rsid w:val="00603FDF"/>
    <w:pPr>
      <w:keepNext/>
      <w:keepLines/>
      <w:spacing w:after="200"/>
    </w:pPr>
    <w:rPr>
      <w:b/>
      <w:iCs/>
      <w:szCs w:val="18"/>
    </w:rPr>
  </w:style>
  <w:style w:type="paragraph" w:customStyle="1" w:styleId="CBD-Doc">
    <w:name w:val="CBD-Doc"/>
    <w:basedOn w:val="Normal"/>
    <w:rsid w:val="00603FDF"/>
    <w:pPr>
      <w:keepLines/>
      <w:numPr>
        <w:numId w:val="7"/>
      </w:numPr>
      <w:spacing w:after="120"/>
    </w:pPr>
    <w:rPr>
      <w:rFonts w:cs="Angsana New"/>
    </w:rPr>
  </w:style>
  <w:style w:type="paragraph" w:customStyle="1" w:styleId="CBD-Doc-Type">
    <w:name w:val="CBD-Doc-Type"/>
    <w:basedOn w:val="Normal"/>
    <w:rsid w:val="00603FDF"/>
    <w:pPr>
      <w:keepLines/>
      <w:spacing w:before="240" w:after="120"/>
    </w:pPr>
    <w:rPr>
      <w:rFonts w:cs="Angsana New"/>
      <w:b/>
      <w:i/>
      <w:sz w:val="24"/>
    </w:rPr>
  </w:style>
  <w:style w:type="character" w:customStyle="1" w:styleId="EndnoteTextChar">
    <w:name w:val="Endnote Text Char"/>
    <w:basedOn w:val="DefaultParagraphFont"/>
    <w:link w:val="EndnoteText"/>
    <w:semiHidden/>
    <w:rsid w:val="00603FDF"/>
    <w:rPr>
      <w:rFonts w:ascii="Courier New" w:hAnsi="Courier New"/>
      <w:sz w:val="22"/>
      <w:szCs w:val="24"/>
      <w:lang w:val="en-GB"/>
    </w:rPr>
  </w:style>
  <w:style w:type="character" w:customStyle="1" w:styleId="Heading1Char">
    <w:name w:val="Heading 1 Char"/>
    <w:basedOn w:val="DefaultParagraphFont"/>
    <w:link w:val="Heading1"/>
    <w:rsid w:val="00603FDF"/>
    <w:rPr>
      <w:b/>
      <w:caps/>
      <w:sz w:val="22"/>
      <w:szCs w:val="24"/>
      <w:lang w:val="en-GB"/>
    </w:rPr>
  </w:style>
  <w:style w:type="character" w:customStyle="1" w:styleId="Heading2Char">
    <w:name w:val="Heading 2 Char"/>
    <w:basedOn w:val="DefaultParagraphFont"/>
    <w:link w:val="Heading2"/>
    <w:rsid w:val="00603FDF"/>
    <w:rPr>
      <w:b/>
      <w:bCs/>
      <w:iCs/>
      <w:sz w:val="22"/>
      <w:szCs w:val="24"/>
      <w:lang w:val="en-GB"/>
    </w:rPr>
  </w:style>
  <w:style w:type="character" w:customStyle="1" w:styleId="Heading3Char">
    <w:name w:val="Heading 3 Char"/>
    <w:basedOn w:val="DefaultParagraphFont"/>
    <w:link w:val="Heading3"/>
    <w:rsid w:val="00603FDF"/>
    <w:rPr>
      <w:i/>
      <w:iCs/>
      <w:sz w:val="22"/>
      <w:szCs w:val="24"/>
      <w:lang w:val="en-GB"/>
    </w:rPr>
  </w:style>
  <w:style w:type="character" w:customStyle="1" w:styleId="Heading4Char">
    <w:name w:val="Heading 4 Char"/>
    <w:basedOn w:val="DefaultParagraphFont"/>
    <w:link w:val="Heading4"/>
    <w:rsid w:val="00603FDF"/>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rsid w:val="00603FDF"/>
    <w:rPr>
      <w:bCs/>
      <w:i/>
      <w:sz w:val="22"/>
      <w:szCs w:val="26"/>
    </w:rPr>
  </w:style>
  <w:style w:type="character" w:customStyle="1" w:styleId="Heading6Char">
    <w:name w:val="Heading 6 Char"/>
    <w:basedOn w:val="DefaultParagraphFont"/>
    <w:link w:val="Heading6"/>
    <w:rsid w:val="00603FDF"/>
    <w:rPr>
      <w:sz w:val="22"/>
      <w:szCs w:val="24"/>
      <w:u w:val="single"/>
      <w:lang w:val="en-GB"/>
    </w:rPr>
  </w:style>
  <w:style w:type="character" w:customStyle="1" w:styleId="Heading7Char">
    <w:name w:val="Heading 7 Char"/>
    <w:basedOn w:val="DefaultParagraphFont"/>
    <w:link w:val="Heading7"/>
    <w:rsid w:val="00603FDF"/>
    <w:rPr>
      <w:rFonts w:ascii="Univers" w:hAnsi="Univers"/>
      <w:b/>
      <w:sz w:val="28"/>
      <w:szCs w:val="24"/>
      <w:lang w:val="en-GB"/>
    </w:rPr>
  </w:style>
  <w:style w:type="character" w:customStyle="1" w:styleId="Heading8Char">
    <w:name w:val="Heading 8 Char"/>
    <w:basedOn w:val="DefaultParagraphFont"/>
    <w:link w:val="Heading8"/>
    <w:rsid w:val="00603FDF"/>
    <w:rPr>
      <w:rFonts w:ascii="Univers" w:hAnsi="Univers"/>
      <w:b/>
      <w:sz w:val="32"/>
      <w:szCs w:val="24"/>
      <w:lang w:val="en-GB"/>
    </w:rPr>
  </w:style>
  <w:style w:type="character" w:customStyle="1" w:styleId="Heading9Char">
    <w:name w:val="Heading 9 Char"/>
    <w:basedOn w:val="DefaultParagraphFont"/>
    <w:link w:val="Heading9"/>
    <w:rsid w:val="00603FDF"/>
    <w:rPr>
      <w:i/>
      <w:iCs/>
      <w:sz w:val="22"/>
      <w:szCs w:val="24"/>
      <w:lang w:val="en-GB"/>
    </w:rPr>
  </w:style>
  <w:style w:type="paragraph" w:styleId="Subtitle">
    <w:name w:val="Subtitle"/>
    <w:basedOn w:val="Normal"/>
    <w:next w:val="Normal"/>
    <w:link w:val="SubtitleChar"/>
    <w:uiPriority w:val="11"/>
    <w:qFormat/>
    <w:rsid w:val="00603FDF"/>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603FDF"/>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603F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3FDF"/>
    <w:rPr>
      <w:rFonts w:asciiTheme="majorHAnsi" w:eastAsiaTheme="majorEastAsia" w:hAnsiTheme="majorHAnsi" w:cstheme="majorBidi"/>
      <w:color w:val="17365D" w:themeColor="text2" w:themeShade="BF"/>
      <w:spacing w:val="5"/>
      <w:kern w:val="28"/>
      <w:sz w:val="52"/>
      <w:szCs w:val="52"/>
      <w:lang w:val="en-GB"/>
    </w:rPr>
  </w:style>
  <w:style w:type="paragraph" w:customStyle="1" w:styleId="CharChar">
    <w:name w:val="Char Char"/>
    <w:basedOn w:val="Normal"/>
    <w:rsid w:val="00F07B19"/>
    <w:pPr>
      <w:widowControl w:val="0"/>
      <w:adjustRightInd w:val="0"/>
      <w:spacing w:line="360" w:lineRule="atLeast"/>
      <w:textAlignment w:val="baseline"/>
    </w:pPr>
    <w:rPr>
      <w:rFonts w:ascii="Arial" w:eastAsia="Batang" w:hAnsi="Arial" w:cs="Arial"/>
      <w:szCs w:val="20"/>
      <w:lang w:val="pl-PL" w:eastAsia="pl-PL"/>
    </w:rPr>
  </w:style>
  <w:style w:type="character" w:customStyle="1" w:styleId="preferred">
    <w:name w:val="preferred"/>
    <w:basedOn w:val="DefaultParagraphFont"/>
    <w:rsid w:val="0028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43398215">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2089034635">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101731757">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2075">
      <w:bodyDiv w:val="1"/>
      <w:marLeft w:val="0"/>
      <w:marRight w:val="0"/>
      <w:marTop w:val="0"/>
      <w:marBottom w:val="0"/>
      <w:divBdr>
        <w:top w:val="none" w:sz="0" w:space="0" w:color="auto"/>
        <w:left w:val="none" w:sz="0" w:space="0" w:color="auto"/>
        <w:bottom w:val="none" w:sz="0" w:space="0" w:color="auto"/>
        <w:right w:val="none" w:sz="0" w:space="0" w:color="auto"/>
      </w:divBdr>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08698357">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387492761">
      <w:bodyDiv w:val="1"/>
      <w:marLeft w:val="0"/>
      <w:marRight w:val="0"/>
      <w:marTop w:val="0"/>
      <w:marBottom w:val="0"/>
      <w:divBdr>
        <w:top w:val="none" w:sz="0" w:space="0" w:color="auto"/>
        <w:left w:val="none" w:sz="0" w:space="0" w:color="auto"/>
        <w:bottom w:val="none" w:sz="0" w:space="0" w:color="auto"/>
        <w:right w:val="none" w:sz="0" w:space="0" w:color="auto"/>
      </w:divBdr>
      <w:divsChild>
        <w:div w:id="1928271542">
          <w:marLeft w:val="0"/>
          <w:marRight w:val="0"/>
          <w:marTop w:val="0"/>
          <w:marBottom w:val="0"/>
          <w:divBdr>
            <w:top w:val="none" w:sz="0" w:space="0" w:color="auto"/>
            <w:left w:val="none" w:sz="0" w:space="0" w:color="auto"/>
            <w:bottom w:val="none" w:sz="0" w:space="0" w:color="auto"/>
            <w:right w:val="none" w:sz="0" w:space="0" w:color="auto"/>
          </w:divBdr>
          <w:divsChild>
            <w:div w:id="1497726467">
              <w:marLeft w:val="0"/>
              <w:marRight w:val="0"/>
              <w:marTop w:val="0"/>
              <w:marBottom w:val="0"/>
              <w:divBdr>
                <w:top w:val="none" w:sz="0" w:space="0" w:color="auto"/>
                <w:left w:val="none" w:sz="0" w:space="0" w:color="auto"/>
                <w:bottom w:val="none" w:sz="0" w:space="0" w:color="auto"/>
                <w:right w:val="none" w:sz="0" w:space="0" w:color="auto"/>
              </w:divBdr>
              <w:divsChild>
                <w:div w:id="5738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 w:id="100926483">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s://www.cbd.int/doc/decisions/cop-14/cop-14-dec-22-fr.pdf" TargetMode="External"/><Relationship Id="rId3" Type="http://schemas.openxmlformats.org/officeDocument/2006/relationships/customXml" Target="../customXml/item3.xml"/><Relationship Id="rId21" Type="http://schemas.openxmlformats.org/officeDocument/2006/relationships/hyperlink" Target="https://www.cbd.int/doc/decisions/cp-mop-09/cp-mop-09-dec-07-en.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cbd.int/doc/decisions/cop-14/cop-14-dec-35-fr.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np-mop-03/np-mop-03-dec-05-fr.pdf" TargetMode="External"/><Relationship Id="rId20" Type="http://schemas.openxmlformats.org/officeDocument/2006/relationships/footer" Target="footer2.xml"/><Relationship Id="rId29" Type="http://schemas.openxmlformats.org/officeDocument/2006/relationships/hyperlink" Target="https://www.cbd.int/doc/decisions/cop-14/cop-14-dec-27-f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decisions/np-mop-03/np-mop-03-dec-15-fr.pdf" TargetMode="External"/><Relationship Id="rId32" Type="http://schemas.openxmlformats.org/officeDocument/2006/relationships/hyperlink" Target="https://www.cbd.int/doc/decisions/cop-14/cop-14-dec-29-en.pdf" TargetMode="External"/><Relationship Id="rId5" Type="http://schemas.openxmlformats.org/officeDocument/2006/relationships/numbering" Target="numbering.xml"/><Relationship Id="rId15" Type="http://schemas.openxmlformats.org/officeDocument/2006/relationships/hyperlink" Target="https://www.cbd.int/doc/decisions/cp-mop-09/cp-mop-09-dec-07-fr.pdf" TargetMode="External"/><Relationship Id="rId23" Type="http://schemas.openxmlformats.org/officeDocument/2006/relationships/hyperlink" Target="https://www.cbd.int/doc/decisions/cop-14/cop-14-dec-20-fr.pdf" TargetMode="External"/><Relationship Id="rId28" Type="http://schemas.openxmlformats.org/officeDocument/2006/relationships/hyperlink" Target="https://www.cbd.int/doc/decisions/cop-14/cop-14-dec-25-fr.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cbd.int/doc/decisions/cop-14/cop-14-dec-29-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fr.pdf" TargetMode="External"/><Relationship Id="rId22" Type="http://schemas.openxmlformats.org/officeDocument/2006/relationships/hyperlink" Target="https://www.cbd.int/doc/decisions/cop-14/cop-14-dec-35-fr.pdf" TargetMode="External"/><Relationship Id="rId27" Type="http://schemas.openxmlformats.org/officeDocument/2006/relationships/hyperlink" Target="https://www.cbd.int/doc/decisions/cop-14/cop-14-dec-03-fr.pdf" TargetMode="External"/><Relationship Id="rId30" Type="http://schemas.openxmlformats.org/officeDocument/2006/relationships/hyperlink" Target="https://www.cbd.int/doc/decisions/cop-14/cop-14-dec-29-fr.pdf"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PlaceholderText"/>
            </w:rPr>
            <w:t>Click here to enter text.</w:t>
          </w:r>
        </w:p>
      </w:docPartBody>
    </w:docPart>
    <w:docPart>
      <w:docPartPr>
        <w:name w:val="5B6B971DB27343279FDA99BE14B766AD"/>
        <w:category>
          <w:name w:val="General"/>
          <w:gallery w:val="placeholder"/>
        </w:category>
        <w:types>
          <w:type w:val="bbPlcHdr"/>
        </w:types>
        <w:behaviors>
          <w:behavior w:val="content"/>
        </w:behaviors>
        <w:guid w:val="{D03089B4-0324-4FFD-BB4E-6F955CD167B3}"/>
      </w:docPartPr>
      <w:docPartBody>
        <w:p w:rsidR="00465E77" w:rsidRDefault="00465E77">
          <w:r w:rsidRPr="009310E0">
            <w:rPr>
              <w:rStyle w:val="PlaceholderText"/>
            </w:rPr>
            <w:t>[Title]</w:t>
          </w:r>
        </w:p>
      </w:docPartBody>
    </w:docPart>
    <w:docPart>
      <w:docPartPr>
        <w:name w:val="9F2B6D62FCC841BBBF3A60AA0A58BE93"/>
        <w:category>
          <w:name w:val="General"/>
          <w:gallery w:val="placeholder"/>
        </w:category>
        <w:types>
          <w:type w:val="bbPlcHdr"/>
        </w:types>
        <w:behaviors>
          <w:behavior w:val="content"/>
        </w:behaviors>
        <w:guid w:val="{9A37E2A9-F462-406F-B9B3-439F9A7A5840}"/>
      </w:docPartPr>
      <w:docPartBody>
        <w:p w:rsidR="006235A8" w:rsidRDefault="001924EF" w:rsidP="001924EF">
          <w:pPr>
            <w:pStyle w:val="9F2B6D62FCC841BBBF3A60AA0A58BE93"/>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1D6E"/>
    <w:rsid w:val="00015BC6"/>
    <w:rsid w:val="0006598B"/>
    <w:rsid w:val="000A4ABF"/>
    <w:rsid w:val="001579AC"/>
    <w:rsid w:val="001924EF"/>
    <w:rsid w:val="001B29AF"/>
    <w:rsid w:val="001D7FD5"/>
    <w:rsid w:val="00272203"/>
    <w:rsid w:val="002D2F82"/>
    <w:rsid w:val="002E2480"/>
    <w:rsid w:val="0033079A"/>
    <w:rsid w:val="0033246E"/>
    <w:rsid w:val="0037757D"/>
    <w:rsid w:val="003E75D7"/>
    <w:rsid w:val="003F5AA8"/>
    <w:rsid w:val="00405FC5"/>
    <w:rsid w:val="0040648F"/>
    <w:rsid w:val="00465E77"/>
    <w:rsid w:val="004A69EC"/>
    <w:rsid w:val="004A7D25"/>
    <w:rsid w:val="004B5E1A"/>
    <w:rsid w:val="004C5B3D"/>
    <w:rsid w:val="004C5F72"/>
    <w:rsid w:val="005809B1"/>
    <w:rsid w:val="005A660E"/>
    <w:rsid w:val="005B7F08"/>
    <w:rsid w:val="005C6A1A"/>
    <w:rsid w:val="006235A8"/>
    <w:rsid w:val="00655A58"/>
    <w:rsid w:val="006B0386"/>
    <w:rsid w:val="007533C8"/>
    <w:rsid w:val="0075565D"/>
    <w:rsid w:val="00760936"/>
    <w:rsid w:val="00772712"/>
    <w:rsid w:val="007C472E"/>
    <w:rsid w:val="007E501A"/>
    <w:rsid w:val="00816EE3"/>
    <w:rsid w:val="0083264A"/>
    <w:rsid w:val="008554C8"/>
    <w:rsid w:val="008A11DC"/>
    <w:rsid w:val="008A6231"/>
    <w:rsid w:val="008D7F3E"/>
    <w:rsid w:val="008F456A"/>
    <w:rsid w:val="009318E2"/>
    <w:rsid w:val="009459A6"/>
    <w:rsid w:val="00946718"/>
    <w:rsid w:val="009A1E5E"/>
    <w:rsid w:val="009B5CA1"/>
    <w:rsid w:val="00A27574"/>
    <w:rsid w:val="00A27DC9"/>
    <w:rsid w:val="00A725C6"/>
    <w:rsid w:val="00AA2C83"/>
    <w:rsid w:val="00AA6306"/>
    <w:rsid w:val="00B214A9"/>
    <w:rsid w:val="00B36C7B"/>
    <w:rsid w:val="00BB2CFE"/>
    <w:rsid w:val="00BB59D2"/>
    <w:rsid w:val="00BE0EEB"/>
    <w:rsid w:val="00C05522"/>
    <w:rsid w:val="00C35E1E"/>
    <w:rsid w:val="00CB61E8"/>
    <w:rsid w:val="00D1182F"/>
    <w:rsid w:val="00D5481D"/>
    <w:rsid w:val="00D647CA"/>
    <w:rsid w:val="00D66A0A"/>
    <w:rsid w:val="00E55F60"/>
    <w:rsid w:val="00EC17B5"/>
    <w:rsid w:val="00EF1007"/>
    <w:rsid w:val="00F248E5"/>
    <w:rsid w:val="00F8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1579AC"/>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CC5BD4D38B3C48169B69B8D86F60A326">
    <w:name w:val="CC5BD4D38B3C48169B69B8D86F60A326"/>
    <w:rsid w:val="008F456A"/>
    <w:pPr>
      <w:spacing w:after="160" w:line="259" w:lineRule="auto"/>
    </w:pPr>
    <w:rPr>
      <w:lang w:val="en-CA" w:eastAsia="en-CA"/>
    </w:rPr>
  </w:style>
  <w:style w:type="paragraph" w:customStyle="1" w:styleId="72D6DF77689140A7A879688DD3FBE7A1">
    <w:name w:val="72D6DF77689140A7A879688DD3FBE7A1"/>
    <w:rsid w:val="008F456A"/>
    <w:pPr>
      <w:spacing w:after="160" w:line="259" w:lineRule="auto"/>
    </w:pPr>
    <w:rPr>
      <w:lang w:val="en-CA" w:eastAsia="en-CA"/>
    </w:rPr>
  </w:style>
  <w:style w:type="paragraph" w:customStyle="1" w:styleId="B8D887AD6CE646B486FAC4B73D94AF3E">
    <w:name w:val="B8D887AD6CE646B486FAC4B73D94AF3E"/>
    <w:rsid w:val="008F456A"/>
    <w:pPr>
      <w:spacing w:after="160" w:line="259" w:lineRule="auto"/>
    </w:pPr>
    <w:rPr>
      <w:lang w:val="en-CA" w:eastAsia="en-CA"/>
    </w:rPr>
  </w:style>
  <w:style w:type="paragraph" w:customStyle="1" w:styleId="460A0B85630F484F8802ACEB86B10468">
    <w:name w:val="460A0B85630F484F8802ACEB86B10468"/>
    <w:rsid w:val="008F456A"/>
    <w:pPr>
      <w:spacing w:after="160" w:line="259" w:lineRule="auto"/>
    </w:pPr>
    <w:rPr>
      <w:lang w:val="en-CA" w:eastAsia="en-CA"/>
    </w:rPr>
  </w:style>
  <w:style w:type="paragraph" w:customStyle="1" w:styleId="A65CCCBEDB4F490C973224B4FCAB19C0">
    <w:name w:val="A65CCCBEDB4F490C973224B4FCAB19C0"/>
    <w:rsid w:val="008F456A"/>
    <w:pPr>
      <w:spacing w:after="160" w:line="259" w:lineRule="auto"/>
    </w:pPr>
    <w:rPr>
      <w:lang w:val="en-CA" w:eastAsia="en-CA"/>
    </w:rPr>
  </w:style>
  <w:style w:type="paragraph" w:customStyle="1" w:styleId="4BEA0013504D4F82B9B833C6D24C16D8">
    <w:name w:val="4BEA0013504D4F82B9B833C6D24C16D8"/>
    <w:rsid w:val="00B214A9"/>
    <w:pPr>
      <w:spacing w:after="160" w:line="259" w:lineRule="auto"/>
    </w:pPr>
    <w:rPr>
      <w:lang w:val="en-CA" w:eastAsia="en-CA"/>
    </w:rPr>
  </w:style>
  <w:style w:type="paragraph" w:customStyle="1" w:styleId="9F2B6D62FCC841BBBF3A60AA0A58BE93">
    <w:name w:val="9F2B6D62FCC841BBBF3A60AA0A58BE93"/>
    <w:rsid w:val="001924EF"/>
    <w:pPr>
      <w:spacing w:after="160" w:line="259" w:lineRule="auto"/>
    </w:pPr>
    <w:rPr>
      <w:lang w:val="en-GB" w:eastAsia="en-GB"/>
    </w:rPr>
  </w:style>
  <w:style w:type="paragraph" w:customStyle="1" w:styleId="DB3CEDA032694840A13FCF42C7112DB4">
    <w:name w:val="DB3CEDA032694840A13FCF42C7112DB4"/>
    <w:rsid w:val="001579AC"/>
    <w:pPr>
      <w:spacing w:after="160" w:line="259" w:lineRule="auto"/>
    </w:pPr>
    <w:rPr>
      <w:lang w:val="en-GB" w:eastAsia="en-GB"/>
    </w:rPr>
  </w:style>
  <w:style w:type="paragraph" w:customStyle="1" w:styleId="A44816F8D2D34A0C9981D5897730CC44">
    <w:name w:val="A44816F8D2D34A0C9981D5897730CC44"/>
    <w:rsid w:val="001579AC"/>
    <w:pPr>
      <w:spacing w:after="160" w:line="259" w:lineRule="auto"/>
    </w:pPr>
    <w:rPr>
      <w:lang w:val="en-GB" w:eastAsia="en-GB"/>
    </w:rPr>
  </w:style>
  <w:style w:type="paragraph" w:customStyle="1" w:styleId="8A860F13E2F5475592CE6F87FD5799FE">
    <w:name w:val="8A860F13E2F5475592CE6F87FD5799FE"/>
    <w:rsid w:val="001579AC"/>
    <w:pPr>
      <w:spacing w:after="160" w:line="259" w:lineRule="auto"/>
    </w:pPr>
    <w:rPr>
      <w:lang w:val="en-GB" w:eastAsia="en-GB"/>
    </w:rPr>
  </w:style>
  <w:style w:type="paragraph" w:customStyle="1" w:styleId="CB9066AD78E049D38378743CE2A0598C">
    <w:name w:val="CB9066AD78E049D38378743CE2A0598C"/>
    <w:rsid w:val="001579AC"/>
    <w:pPr>
      <w:spacing w:after="160" w:line="259" w:lineRule="auto"/>
    </w:pPr>
    <w:rPr>
      <w:lang w:val="en-GB" w:eastAsia="en-GB"/>
    </w:rPr>
  </w:style>
  <w:style w:type="paragraph" w:customStyle="1" w:styleId="FD77EEF039C14313BAAA41A9FB4842A1">
    <w:name w:val="FD77EEF039C14313BAAA41A9FB4842A1"/>
    <w:rsid w:val="001579AC"/>
    <w:pPr>
      <w:spacing w:after="160" w:line="259" w:lineRule="auto"/>
    </w:pPr>
    <w:rPr>
      <w:lang w:val="en-GB" w:eastAsia="en-GB"/>
    </w:rPr>
  </w:style>
  <w:style w:type="paragraph" w:customStyle="1" w:styleId="0BFDC4C7AC32489692615FB71032221E">
    <w:name w:val="0BFDC4C7AC32489692615FB71032221E"/>
    <w:rsid w:val="001579AC"/>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2" ma:contentTypeDescription="Create a new document." ma:contentTypeScope="" ma:versionID="373b63a2817b8bb51c10b7943bf7fe3e">
  <xsd:schema xmlns:xsd="http://www.w3.org/2001/XMLSchema" xmlns:xs="http://www.w3.org/2001/XMLSchema" xmlns:p="http://schemas.microsoft.com/office/2006/metadata/properties" xmlns:ns2="358298e0-1b7e-4ebe-8695-94439b74f0d1" targetNamespace="http://schemas.microsoft.com/office/2006/metadata/properties" ma:root="true" ma:fieldsID="931dbb0efa7dcf58496b07d136087537" ns2:_="">
    <xsd:import namespace="358298e0-1b7e-4ebe-8695-94439b74f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FD6DF-53D3-487D-ADB6-B0B8E78B2531}">
  <ds:schemaRefs>
    <ds:schemaRef ds:uri="http://schemas.microsoft.com/sharepoint/v3/contenttype/forms"/>
  </ds:schemaRefs>
</ds:datastoreItem>
</file>

<file path=customXml/itemProps2.xml><?xml version="1.0" encoding="utf-8"?>
<ds:datastoreItem xmlns:ds="http://schemas.openxmlformats.org/officeDocument/2006/customXml" ds:itemID="{6838EC98-8108-4BB4-A211-1A96FA8BB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80506-230F-48CE-919B-EAE10F48E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347CA-1D64-4017-9741-E14FFD30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1/1.	Preparation of the post-2020 global biodiversity framework:  conclusions of the Working Group at its first meeting cadre mondial de la biodiversitÉ pour l'aprÈs-2020 sur les travaux de sa premiÈre rÉunion</vt:lpstr>
    </vt:vector>
  </TitlesOfParts>
  <Manager/>
  <Company>United Nations</Company>
  <LinksUpToDate>false</LinksUpToDate>
  <CharactersWithSpaces>34550</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Élaboration du cadre mondial de la biodiversité pour l'après-2020: conclusions du Groupe de travail à sa première réunion</dc:title>
  <dc:subject>CBD/WG2020/REC/1/1</dc:subject>
  <dc:creator>SCBD</dc:creator>
  <cp:keywords>Open-ended Working Group on the Post-2020 Global Biodiversity Framework, first meeting, Nairobi, Kenya, 27-30 August 2019, Convention on Biological Diversity</cp:keywords>
  <cp:lastModifiedBy>Angela Xuehe Yan</cp:lastModifiedBy>
  <cp:revision>7</cp:revision>
  <cp:lastPrinted>2019-09-06T14:33:00Z</cp:lastPrinted>
  <dcterms:created xsi:type="dcterms:W3CDTF">2020-05-05T08:31:00Z</dcterms:created>
  <dcterms:modified xsi:type="dcterms:W3CDTF">2020-05-05T13:59:00Z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*..Distr..GÉNÉRALE ..CBD/WG2020/REC/1/1.30 août 2019..FRANÇAIS.ORIGINAL :  ANGLAIS..groupe de travail À composition non limitÉe sur le cadre mondial de la biodiversitÉ pour l'aprÈs-2020</vt:lpwstr>
  </property>
  <property fmtid="{D5CDD505-2E9C-101B-9397-08002B2CF9AE}" pid="4" name="ContentTypeId">
    <vt:lpwstr>0x01010069BFACF6D92CD24AA50050CE23F68F74</vt:lpwstr>
  </property>
</Properties>
</file>