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644ED" w:rsidRPr="00AA1454" w14:paraId="05139C5E" w14:textId="77777777" w:rsidTr="001A5889">
        <w:trPr>
          <w:trHeight w:val="851"/>
        </w:trPr>
        <w:tc>
          <w:tcPr>
            <w:tcW w:w="976" w:type="dxa"/>
            <w:tcBorders>
              <w:bottom w:val="single" w:sz="12" w:space="0" w:color="auto"/>
            </w:tcBorders>
          </w:tcPr>
          <w:p w14:paraId="0DE5F3CC" w14:textId="77777777" w:rsidR="003644ED" w:rsidRPr="00AA1454" w:rsidRDefault="003644ED" w:rsidP="001A5889">
            <w:pPr>
              <w:rPr>
                <w:lang w:val="es-UY"/>
              </w:rPr>
            </w:pPr>
            <w:r w:rsidRPr="00AA1454">
              <w:rPr>
                <w:noProof/>
                <w:lang w:val="es-UY" w:eastAsia="en-US"/>
              </w:rPr>
              <w:drawing>
                <wp:inline distT="0" distB="0" distL="0" distR="0" wp14:anchorId="349F5508" wp14:editId="5F8DE8A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9C68A0A" w14:textId="77777777" w:rsidR="003644ED" w:rsidRPr="00AA1454" w:rsidRDefault="00911FFA" w:rsidP="001A5889">
            <w:pPr>
              <w:rPr>
                <w:lang w:val="es-UY"/>
              </w:rPr>
            </w:pPr>
            <w:r w:rsidRPr="00AA1454">
              <w:rPr>
                <w:noProof/>
                <w:lang w:val="es-UY" w:eastAsia="en-US"/>
              </w:rPr>
              <w:drawing>
                <wp:anchor distT="0" distB="0" distL="114300" distR="114300" simplePos="0" relativeHeight="251659776" behindDoc="0" locked="0" layoutInCell="1" allowOverlap="1" wp14:anchorId="622312DA" wp14:editId="76971A45">
                  <wp:simplePos x="0" y="0"/>
                  <wp:positionH relativeFrom="column">
                    <wp:posOffset>-1270</wp:posOffset>
                  </wp:positionH>
                  <wp:positionV relativeFrom="paragraph">
                    <wp:posOffset>53975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60AA6C8F" w14:textId="77777777" w:rsidR="003644ED" w:rsidRPr="00AA1454" w:rsidRDefault="003644ED" w:rsidP="001A5889">
            <w:pPr>
              <w:jc w:val="right"/>
              <w:rPr>
                <w:rFonts w:ascii="Arial" w:hAnsi="Arial" w:cs="Arial"/>
                <w:b/>
                <w:sz w:val="32"/>
                <w:szCs w:val="32"/>
                <w:lang w:val="es-UY"/>
              </w:rPr>
            </w:pPr>
            <w:r w:rsidRPr="00AA1454">
              <w:rPr>
                <w:rFonts w:ascii="Arial" w:hAnsi="Arial" w:cs="Arial"/>
                <w:b/>
                <w:sz w:val="32"/>
                <w:szCs w:val="32"/>
                <w:lang w:val="es-UY"/>
              </w:rPr>
              <w:t>CBD</w:t>
            </w:r>
          </w:p>
        </w:tc>
      </w:tr>
      <w:tr w:rsidR="003644ED" w:rsidRPr="00AA1454" w14:paraId="267E3AFB" w14:textId="77777777" w:rsidTr="001A5889">
        <w:tc>
          <w:tcPr>
            <w:tcW w:w="6117" w:type="dxa"/>
            <w:gridSpan w:val="2"/>
            <w:tcBorders>
              <w:top w:val="single" w:sz="12" w:space="0" w:color="auto"/>
              <w:bottom w:val="single" w:sz="36" w:space="0" w:color="auto"/>
            </w:tcBorders>
            <w:vAlign w:val="center"/>
          </w:tcPr>
          <w:p w14:paraId="5C6283A2" w14:textId="77777777" w:rsidR="003644ED" w:rsidRPr="00AA1454" w:rsidRDefault="00911FFA" w:rsidP="001A5889">
            <w:pPr>
              <w:rPr>
                <w:lang w:val="es-UY"/>
              </w:rPr>
            </w:pPr>
            <w:r w:rsidRPr="00AA1454">
              <w:rPr>
                <w:noProof/>
                <w:kern w:val="22"/>
                <w:lang w:val="es-UY" w:eastAsia="en-US"/>
              </w:rPr>
              <w:drawing>
                <wp:inline distT="0" distB="0" distL="0" distR="0" wp14:anchorId="1DD7CA8B" wp14:editId="7A820B89">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A60D49D" w14:textId="77777777" w:rsidR="003644ED" w:rsidRPr="00AA1454" w:rsidRDefault="003644ED" w:rsidP="001A5889">
            <w:pPr>
              <w:ind w:left="1215"/>
              <w:rPr>
                <w:lang w:val="es-UY"/>
              </w:rPr>
            </w:pPr>
            <w:proofErr w:type="spellStart"/>
            <w:r w:rsidRPr="00AA1454">
              <w:rPr>
                <w:lang w:val="es-UY"/>
              </w:rPr>
              <w:t>Distr</w:t>
            </w:r>
            <w:proofErr w:type="spellEnd"/>
            <w:r w:rsidRPr="00AA1454">
              <w:rPr>
                <w:lang w:val="es-UY"/>
              </w:rPr>
              <w:t>.</w:t>
            </w:r>
          </w:p>
          <w:p w14:paraId="7FC9610D" w14:textId="77777777" w:rsidR="003644ED" w:rsidRPr="00AA1454" w:rsidRDefault="003D0BA2" w:rsidP="001A5889">
            <w:pPr>
              <w:ind w:left="1215"/>
              <w:rPr>
                <w:lang w:val="es-UY"/>
              </w:rPr>
            </w:pPr>
            <w:r w:rsidRPr="00AA1454">
              <w:rPr>
                <w:caps/>
                <w:lang w:val="es-UY"/>
              </w:rPr>
              <w:t>GENERAL</w:t>
            </w:r>
          </w:p>
          <w:p w14:paraId="6B9D1DA4" w14:textId="77777777" w:rsidR="003644ED" w:rsidRPr="00AA1454" w:rsidRDefault="003644ED" w:rsidP="001A5889">
            <w:pPr>
              <w:ind w:left="1215"/>
              <w:rPr>
                <w:lang w:val="es-UY"/>
              </w:rPr>
            </w:pPr>
          </w:p>
          <w:p w14:paraId="05870867" w14:textId="77777777" w:rsidR="003644ED" w:rsidRPr="00AA1454" w:rsidRDefault="00A57214" w:rsidP="001A5889">
            <w:pPr>
              <w:ind w:left="1215"/>
              <w:rPr>
                <w:lang w:val="es-UY"/>
              </w:rPr>
            </w:pPr>
            <w:sdt>
              <w:sdtPr>
                <w:rPr>
                  <w:lang w:val="es-UY"/>
                </w:rPr>
                <w:alias w:val="Subject"/>
                <w:tag w:val=""/>
                <w:id w:val="2137136483"/>
                <w:placeholder>
                  <w:docPart w:val="BF5A6A14B8FC458B88938CAD9EA33734"/>
                </w:placeholder>
                <w:dataBinding w:prefixMappings="xmlns:ns0='http://purl.org/dc/elements/1.1/' xmlns:ns1='http://schemas.openxmlformats.org/package/2006/metadata/core-properties' " w:xpath="/ns1:coreProperties[1]/ns0:subject[1]" w:storeItemID="{6C3C8BC8-F283-45AE-878A-BAB7291924A1}"/>
                <w:text/>
              </w:sdtPr>
              <w:sdtEndPr/>
              <w:sdtContent>
                <w:r w:rsidR="004F4353" w:rsidRPr="00AA1454">
                  <w:rPr>
                    <w:lang w:val="es-UY"/>
                  </w:rPr>
                  <w:t>CBD/WG2020/REC/4/2</w:t>
                </w:r>
              </w:sdtContent>
            </w:sdt>
          </w:p>
          <w:p w14:paraId="285A1995" w14:textId="77777777" w:rsidR="003644ED" w:rsidRPr="00AA1454" w:rsidRDefault="003644ED" w:rsidP="001A5889">
            <w:pPr>
              <w:ind w:left="1215"/>
              <w:rPr>
                <w:lang w:val="es-UY"/>
              </w:rPr>
            </w:pPr>
            <w:r w:rsidRPr="00AA1454">
              <w:rPr>
                <w:lang w:val="es-UY"/>
              </w:rPr>
              <w:t xml:space="preserve">26 </w:t>
            </w:r>
            <w:r w:rsidR="004F5B1C" w:rsidRPr="00AA1454">
              <w:rPr>
                <w:lang w:val="es-UY"/>
              </w:rPr>
              <w:t>de junio de</w:t>
            </w:r>
            <w:r w:rsidRPr="00AA1454">
              <w:rPr>
                <w:lang w:val="es-UY"/>
              </w:rPr>
              <w:t xml:space="preserve"> 2022</w:t>
            </w:r>
          </w:p>
          <w:p w14:paraId="23942B84" w14:textId="77777777" w:rsidR="003644ED" w:rsidRPr="00AA1454" w:rsidRDefault="004F5B1C" w:rsidP="001A5889">
            <w:pPr>
              <w:ind w:left="1215"/>
              <w:rPr>
                <w:lang w:val="es-UY"/>
              </w:rPr>
            </w:pPr>
            <w:r w:rsidRPr="00AA1454">
              <w:rPr>
                <w:lang w:val="es-UY"/>
              </w:rPr>
              <w:br/>
              <w:t>ESPAÑOL</w:t>
            </w:r>
          </w:p>
          <w:p w14:paraId="06563E40" w14:textId="77777777" w:rsidR="003644ED" w:rsidRPr="00AA1454" w:rsidRDefault="003644ED" w:rsidP="001A5889">
            <w:pPr>
              <w:ind w:left="1215"/>
              <w:rPr>
                <w:lang w:val="es-UY"/>
              </w:rPr>
            </w:pPr>
            <w:r w:rsidRPr="00AA1454">
              <w:rPr>
                <w:lang w:val="es-UY"/>
              </w:rPr>
              <w:t xml:space="preserve">ORIGINAL: </w:t>
            </w:r>
            <w:r w:rsidR="004F5B1C" w:rsidRPr="00AA1454">
              <w:rPr>
                <w:lang w:val="es-UY"/>
              </w:rPr>
              <w:t>INGLÉS</w:t>
            </w:r>
          </w:p>
          <w:p w14:paraId="359EC1D1" w14:textId="77777777" w:rsidR="003644ED" w:rsidRPr="00AA1454" w:rsidRDefault="003644ED" w:rsidP="001A5889">
            <w:pPr>
              <w:rPr>
                <w:lang w:val="es-UY"/>
              </w:rPr>
            </w:pPr>
          </w:p>
        </w:tc>
      </w:tr>
    </w:tbl>
    <w:p w14:paraId="53A970AC" w14:textId="77777777" w:rsidR="00F461FB" w:rsidRPr="00AA1454" w:rsidRDefault="00F461FB">
      <w:pPr>
        <w:pStyle w:val="meetingname"/>
        <w:suppressLineNumbers/>
        <w:suppressAutoHyphens/>
        <w:ind w:right="5760"/>
        <w:jc w:val="left"/>
        <w:rPr>
          <w:rFonts w:eastAsia="Times New Roman"/>
          <w:caps w:val="0"/>
          <w:kern w:val="22"/>
          <w:lang w:val="es-UY"/>
        </w:rPr>
      </w:pPr>
      <w:r w:rsidRPr="00AA1454">
        <w:rPr>
          <w:rFonts w:eastAsia="Times New Roman"/>
          <w:caps w:val="0"/>
          <w:lang w:val="es-UY"/>
        </w:rPr>
        <w:t>GRUPO DE TRABAJO DE COMPOSICIÓN ABIERTA SOBRE EL MARCO MUNDIAL DE LA DIVERSIDAD BIOLÓGICA POSTERIOR A 2020</w:t>
      </w:r>
    </w:p>
    <w:p w14:paraId="265446E2" w14:textId="77777777" w:rsidR="00F461FB" w:rsidRPr="00AA1454" w:rsidRDefault="00F461FB">
      <w:pPr>
        <w:suppressLineNumbers/>
        <w:suppressAutoHyphens/>
        <w:ind w:left="142" w:right="4824" w:hanging="142"/>
        <w:jc w:val="left"/>
        <w:rPr>
          <w:rFonts w:eastAsia="Times New Roman"/>
          <w:kern w:val="22"/>
          <w:lang w:val="es-UY"/>
        </w:rPr>
      </w:pPr>
      <w:r w:rsidRPr="00AA1454">
        <w:rPr>
          <w:rFonts w:eastAsia="Times New Roman"/>
          <w:kern w:val="22"/>
          <w:lang w:val="es-UY"/>
        </w:rPr>
        <w:t>Cuarta reunión</w:t>
      </w:r>
    </w:p>
    <w:p w14:paraId="0A30221F" w14:textId="77777777" w:rsidR="00F461FB" w:rsidRPr="00AA1454" w:rsidRDefault="00F461FB">
      <w:pPr>
        <w:rPr>
          <w:rFonts w:eastAsia="Times New Roman"/>
          <w:kern w:val="22"/>
          <w:lang w:val="es-UY"/>
        </w:rPr>
      </w:pPr>
      <w:r w:rsidRPr="00AA1454">
        <w:rPr>
          <w:rFonts w:eastAsia="Times New Roman"/>
          <w:kern w:val="22"/>
          <w:lang w:val="es-UY"/>
        </w:rPr>
        <w:t>Nairobi, 21 a 26 de junio de 2022</w:t>
      </w:r>
    </w:p>
    <w:p w14:paraId="7399C6D1" w14:textId="77777777" w:rsidR="00F461FB" w:rsidRPr="00AA1454" w:rsidRDefault="00F461FB">
      <w:pPr>
        <w:rPr>
          <w:rFonts w:eastAsia="Times New Roman"/>
          <w:lang w:val="es-UY"/>
        </w:rPr>
      </w:pPr>
      <w:r w:rsidRPr="00AA1454">
        <w:rPr>
          <w:rFonts w:eastAsia="Times New Roman"/>
          <w:kern w:val="22"/>
          <w:lang w:val="es-UY"/>
        </w:rPr>
        <w:t>Tema 5 del programa</w:t>
      </w:r>
    </w:p>
    <w:p w14:paraId="6D6D2BAC" w14:textId="77777777" w:rsidR="00F461FB" w:rsidRPr="00AA1454" w:rsidRDefault="00A57214">
      <w:pPr>
        <w:spacing w:before="120" w:after="240"/>
        <w:jc w:val="center"/>
        <w:rPr>
          <w:rFonts w:eastAsia="Times New Roman"/>
          <w:b/>
          <w:bCs/>
          <w:caps/>
          <w:lang w:val="es-UY"/>
        </w:rPr>
      </w:pPr>
      <w:sdt>
        <w:sdtPr>
          <w:rPr>
            <w:rFonts w:eastAsia="Times New Roman"/>
            <w:b/>
            <w:bCs/>
            <w:snapToGrid/>
            <w:szCs w:val="24"/>
            <w:lang w:val="es-UY" w:eastAsia="en-US"/>
          </w:rPr>
          <w:alias w:val="Title"/>
          <w:tag w:val=""/>
          <w:id w:val="772832786"/>
          <w:placeholder>
            <w:docPart w:val="470B7046CBFB4DF39E9706EBAA631383"/>
          </w:placeholder>
          <w:dataBinding w:prefixMappings="xmlns:ns0='http://purl.org/dc/elements/1.1/' xmlns:ns1='http://schemas.openxmlformats.org/package/2006/metadata/core-properties' " w:xpath="/ns1:coreProperties[1]/ns0:title[1]" w:storeItemID="{6C3C8BC8-F283-45AE-878A-BAB7291924A1}"/>
          <w:text/>
        </w:sdtPr>
        <w:sdtEndPr/>
        <w:sdtContent>
          <w:r w:rsidR="00AC1C7F" w:rsidRPr="00AA1454">
            <w:rPr>
              <w:rFonts w:eastAsia="Times New Roman"/>
              <w:b/>
              <w:bCs/>
              <w:snapToGrid/>
              <w:szCs w:val="24"/>
              <w:lang w:val="es-UY" w:eastAsia="en-US"/>
            </w:rPr>
            <w:t>RECOMENDACIÓN ADOPTADA POR EL GRUPO DE TRABAJO SOBRE EL MARCO MUNDIAL DE LA DIVERSIDAD BIOLÓGICA POSTERIOR A 2020</w:t>
          </w:r>
        </w:sdtContent>
      </w:sdt>
      <w:r w:rsidR="00AC1C7F" w:rsidRPr="00AA1454">
        <w:rPr>
          <w:rFonts w:eastAsia="Times New Roman"/>
          <w:b/>
          <w:caps/>
          <w:snapToGrid/>
          <w:szCs w:val="24"/>
          <w:lang w:val="es-UY" w:eastAsia="en-US"/>
        </w:rPr>
        <w:t xml:space="preserve"> </w:t>
      </w:r>
    </w:p>
    <w:p w14:paraId="1031471F" w14:textId="77777777" w:rsidR="00F461FB" w:rsidRPr="00AA1454" w:rsidRDefault="00AC1C7F">
      <w:pPr>
        <w:pStyle w:val="Style1"/>
        <w:outlineLvl w:val="9"/>
        <w:rPr>
          <w:rFonts w:eastAsia="Times New Roman"/>
          <w:i w:val="0"/>
          <w:iCs w:val="0"/>
          <w:lang w:val="es-UY"/>
        </w:rPr>
      </w:pPr>
      <w:r w:rsidRPr="00AA1454">
        <w:rPr>
          <w:rFonts w:eastAsia="Times New Roman"/>
          <w:iCs w:val="0"/>
          <w:lang w:val="es-UY"/>
        </w:rPr>
        <w:t>4/2</w:t>
      </w:r>
      <w:r w:rsidRPr="00AA1454">
        <w:rPr>
          <w:rFonts w:eastAsia="Times New Roman"/>
          <w:i w:val="0"/>
          <w:iCs w:val="0"/>
          <w:lang w:val="es-UY"/>
        </w:rPr>
        <w:t>.</w:t>
      </w:r>
      <w:r w:rsidRPr="00AA1454">
        <w:rPr>
          <w:rFonts w:eastAsia="Times New Roman"/>
          <w:i w:val="0"/>
          <w:iCs w:val="0"/>
          <w:lang w:val="es-UY"/>
        </w:rPr>
        <w:tab/>
        <w:t xml:space="preserve">Información digital sobre secuencias de recursos genéticos </w:t>
      </w:r>
    </w:p>
    <w:p w14:paraId="4D821773" w14:textId="77777777" w:rsidR="00F461FB" w:rsidRPr="00AA1454" w:rsidRDefault="00F461FB">
      <w:pPr>
        <w:pStyle w:val="BodyText"/>
        <w:rPr>
          <w:rFonts w:eastAsia="Times New Roman"/>
          <w:i/>
          <w:iCs/>
          <w:lang w:val="es-UY"/>
        </w:rPr>
      </w:pPr>
      <w:r w:rsidRPr="00AA1454">
        <w:rPr>
          <w:rFonts w:eastAsia="Times New Roman"/>
          <w:i/>
          <w:iCs/>
          <w:lang w:val="es-UY"/>
        </w:rPr>
        <w:t>El Grupo de Trabajo de Composición Abierta sobre el Marco Mundial de la Diversidad Biológica posterior a 2020,</w:t>
      </w:r>
    </w:p>
    <w:p w14:paraId="12CA708B" w14:textId="77777777" w:rsidR="00F461FB" w:rsidRPr="00AA1454" w:rsidRDefault="00F461FB">
      <w:pPr>
        <w:pStyle w:val="Para1"/>
        <w:numPr>
          <w:ilvl w:val="0"/>
          <w:numId w:val="0"/>
        </w:numPr>
        <w:ind w:firstLine="709"/>
        <w:rPr>
          <w:rFonts w:eastAsia="Times New Roman"/>
          <w:lang w:val="es-UY"/>
        </w:rPr>
      </w:pPr>
      <w:r w:rsidRPr="00AA1454">
        <w:rPr>
          <w:rFonts w:eastAsia="Times New Roman"/>
          <w:i/>
          <w:iCs/>
          <w:lang w:val="es-UY"/>
        </w:rPr>
        <w:t>Recordando</w:t>
      </w:r>
      <w:r w:rsidRPr="00AA1454">
        <w:rPr>
          <w:rFonts w:eastAsia="Times New Roman"/>
          <w:lang w:val="es-UY"/>
        </w:rPr>
        <w:t xml:space="preserve"> la recomendación 3/2 del Grupo de Trabajo sobre el Marco Mundial de la Diversidad Biológica posterior a 2020,</w:t>
      </w:r>
    </w:p>
    <w:p w14:paraId="7B4C4F32" w14:textId="77777777" w:rsidR="00F461FB" w:rsidRPr="00AA1454" w:rsidRDefault="00F461FB">
      <w:pPr>
        <w:pStyle w:val="Para1"/>
        <w:numPr>
          <w:ilvl w:val="0"/>
          <w:numId w:val="0"/>
        </w:numPr>
        <w:ind w:firstLine="709"/>
        <w:rPr>
          <w:rFonts w:eastAsia="Times New Roman"/>
          <w:lang w:val="es-UY"/>
        </w:rPr>
      </w:pPr>
      <w:r w:rsidRPr="00AA1454">
        <w:rPr>
          <w:rFonts w:eastAsia="Times New Roman"/>
          <w:i/>
          <w:iCs/>
          <w:lang w:val="es-UY"/>
        </w:rPr>
        <w:t xml:space="preserve">Reconociendo </w:t>
      </w:r>
      <w:r w:rsidRPr="00AA1454">
        <w:rPr>
          <w:rFonts w:eastAsia="Times New Roman"/>
          <w:lang w:val="es-UY"/>
        </w:rPr>
        <w:t>que el Grupo Oficioso de Asesoramiento de los Copresidentes emprenderá más trabajo antes de la 15ª reunión de la Conferencia de las Partes,</w:t>
      </w:r>
    </w:p>
    <w:p w14:paraId="3987350A" w14:textId="77777777" w:rsidR="00F461FB" w:rsidRPr="00AA1454" w:rsidRDefault="00F461FB">
      <w:pPr>
        <w:pStyle w:val="Para1"/>
        <w:numPr>
          <w:ilvl w:val="0"/>
          <w:numId w:val="0"/>
        </w:numPr>
        <w:ind w:firstLine="709"/>
        <w:rPr>
          <w:rFonts w:eastAsia="Times New Roman"/>
          <w:lang w:val="es-UY"/>
        </w:rPr>
      </w:pPr>
      <w:r w:rsidRPr="00AA1454">
        <w:rPr>
          <w:rFonts w:eastAsia="Times New Roman"/>
          <w:i/>
          <w:iCs/>
          <w:lang w:val="es-UY"/>
        </w:rPr>
        <w:t xml:space="preserve">Recomienda </w:t>
      </w:r>
      <w:r w:rsidRPr="00AA1454">
        <w:rPr>
          <w:rFonts w:eastAsia="Times New Roman"/>
          <w:lang w:val="es-UY"/>
        </w:rPr>
        <w:t>a la Conferencia de las Partes que en su 15ª reunión adopte una decisión bas</w:t>
      </w:r>
      <w:r w:rsidR="008530EE" w:rsidRPr="00AA1454">
        <w:rPr>
          <w:rFonts w:eastAsia="Times New Roman"/>
          <w:lang w:val="es-UY"/>
        </w:rPr>
        <w:t>a</w:t>
      </w:r>
      <w:r w:rsidRPr="00AA1454">
        <w:rPr>
          <w:rFonts w:eastAsia="Times New Roman"/>
          <w:lang w:val="es-UY"/>
        </w:rPr>
        <w:t>d</w:t>
      </w:r>
      <w:r w:rsidR="008530EE" w:rsidRPr="00AA1454">
        <w:rPr>
          <w:rFonts w:eastAsia="Times New Roman"/>
          <w:lang w:val="es-UY"/>
        </w:rPr>
        <w:t>a</w:t>
      </w:r>
      <w:r w:rsidRPr="00AA1454">
        <w:rPr>
          <w:rFonts w:eastAsia="Times New Roman"/>
          <w:lang w:val="es-UY"/>
        </w:rPr>
        <w:t xml:space="preserve"> en los elementos expuestos en el anexo de la presente recomendación</w:t>
      </w:r>
      <w:r w:rsidR="008530EE" w:rsidRPr="00AA1454">
        <w:rPr>
          <w:rFonts w:eastAsia="Times New Roman"/>
          <w:lang w:val="es-UY"/>
        </w:rPr>
        <w:t>.</w:t>
      </w:r>
    </w:p>
    <w:p w14:paraId="130A8E7D" w14:textId="77777777" w:rsidR="00F461FB" w:rsidRPr="00AA1454" w:rsidRDefault="00F461FB">
      <w:pPr>
        <w:pStyle w:val="Para1"/>
        <w:numPr>
          <w:ilvl w:val="0"/>
          <w:numId w:val="0"/>
        </w:numPr>
        <w:spacing w:before="240"/>
        <w:jc w:val="center"/>
        <w:rPr>
          <w:rFonts w:eastAsia="Times New Roman"/>
          <w:i/>
          <w:iCs/>
          <w:lang w:val="es-UY"/>
        </w:rPr>
      </w:pPr>
      <w:r w:rsidRPr="00AA1454">
        <w:rPr>
          <w:rFonts w:eastAsia="Times New Roman"/>
          <w:i/>
          <w:iCs/>
          <w:lang w:val="es-UY"/>
        </w:rPr>
        <w:t>Anexo</w:t>
      </w:r>
    </w:p>
    <w:p w14:paraId="1708FA53" w14:textId="77777777" w:rsidR="00F461FB" w:rsidRPr="00AA1454" w:rsidRDefault="00F461FB">
      <w:pPr>
        <w:jc w:val="center"/>
        <w:rPr>
          <w:rFonts w:eastAsia="Times New Roman"/>
          <w:i/>
          <w:iCs/>
          <w:lang w:val="es-UY"/>
        </w:rPr>
      </w:pPr>
      <w:r w:rsidRPr="00AA1454">
        <w:rPr>
          <w:rFonts w:eastAsia="Times New Roman"/>
          <w:b/>
          <w:bCs/>
          <w:lang w:val="es-UY"/>
        </w:rPr>
        <w:t>ELEMENTOS PARA LA DECISIÓN</w:t>
      </w:r>
    </w:p>
    <w:p w14:paraId="4E77FC5F" w14:textId="77777777" w:rsidR="00F461FB" w:rsidRPr="00AA1454" w:rsidRDefault="00F461FB">
      <w:pPr>
        <w:spacing w:before="120" w:after="120"/>
        <w:ind w:firstLine="720"/>
        <w:rPr>
          <w:rFonts w:eastAsia="Times New Roman"/>
          <w:i/>
          <w:iCs/>
          <w:lang w:val="es-UY"/>
        </w:rPr>
      </w:pPr>
      <w:r w:rsidRPr="00AA1454">
        <w:rPr>
          <w:rFonts w:eastAsia="Times New Roman"/>
          <w:i/>
          <w:iCs/>
          <w:lang w:val="es-UY"/>
        </w:rPr>
        <w:t>[[Reafirmando</w:t>
      </w:r>
      <w:r w:rsidRPr="00AA1454">
        <w:rPr>
          <w:rFonts w:eastAsia="Times New Roman"/>
          <w:lang w:val="es-UY"/>
        </w:rPr>
        <w:t xml:space="preserve"> los derechos soberanos de los Estados sobre sus recursos naturales y de conformidad con las disposiciones del Convenio,]</w:t>
      </w:r>
    </w:p>
    <w:p w14:paraId="6C19A785" w14:textId="77777777" w:rsidR="00F461FB" w:rsidRPr="00AA1454" w:rsidRDefault="00F461FB">
      <w:pPr>
        <w:spacing w:before="120" w:after="120"/>
        <w:ind w:firstLine="720"/>
        <w:rPr>
          <w:rFonts w:eastAsia="Times New Roman"/>
          <w:lang w:val="es-UY"/>
        </w:rPr>
      </w:pPr>
      <w:r w:rsidRPr="00AA1454">
        <w:rPr>
          <w:rFonts w:eastAsia="Times New Roman"/>
          <w:i/>
          <w:iCs/>
          <w:lang w:val="es-UY"/>
        </w:rPr>
        <w:t>Recordando</w:t>
      </w:r>
      <w:r w:rsidRPr="00AA1454">
        <w:rPr>
          <w:rFonts w:eastAsia="Times New Roman"/>
          <w:lang w:val="es-UY"/>
        </w:rPr>
        <w:t xml:space="preserve"> la decisión 14/20,</w:t>
      </w:r>
    </w:p>
    <w:p w14:paraId="2F3C7F72" w14:textId="77777777" w:rsidR="00F461FB" w:rsidRPr="00AA1454" w:rsidRDefault="00F461FB">
      <w:pPr>
        <w:spacing w:before="120" w:after="120"/>
        <w:ind w:firstLine="720"/>
        <w:rPr>
          <w:rFonts w:eastAsia="Times New Roman"/>
          <w:lang w:val="es-UY"/>
        </w:rPr>
      </w:pPr>
      <w:r w:rsidRPr="00AA1454">
        <w:rPr>
          <w:rFonts w:eastAsia="Times New Roman"/>
          <w:i/>
          <w:iCs/>
          <w:lang w:val="es-UY"/>
        </w:rPr>
        <w:t>[Observando</w:t>
      </w:r>
      <w:r w:rsidRPr="00AA1454">
        <w:rPr>
          <w:rFonts w:eastAsia="Times New Roman"/>
          <w:lang w:val="es-UY"/>
        </w:rPr>
        <w:t xml:space="preserve"> que algunas Partes han adoptado medidas nacionales que regulan el acceso </w:t>
      </w:r>
      <w:r w:rsidR="008530EE" w:rsidRPr="00AA1454">
        <w:rPr>
          <w:rFonts w:eastAsia="Times New Roman"/>
          <w:kern w:val="22"/>
          <w:lang w:val="es-UY"/>
        </w:rPr>
        <w:t>y uso de l</w:t>
      </w:r>
      <w:r w:rsidRPr="00AA1454">
        <w:rPr>
          <w:rFonts w:eastAsia="Times New Roman"/>
          <w:kern w:val="22"/>
          <w:lang w:val="es-UY"/>
        </w:rPr>
        <w:t>a</w:t>
      </w:r>
      <w:r w:rsidRPr="00AA1454">
        <w:rPr>
          <w:rFonts w:eastAsia="Times New Roman"/>
          <w:lang w:val="es-UY"/>
        </w:rPr>
        <w:t xml:space="preserve"> información </w:t>
      </w:r>
      <w:r w:rsidRPr="00AA1454">
        <w:rPr>
          <w:rFonts w:eastAsia="Times New Roman"/>
          <w:kern w:val="22"/>
          <w:lang w:val="es-UY"/>
        </w:rPr>
        <w:t xml:space="preserve">digital </w:t>
      </w:r>
      <w:r w:rsidRPr="00AA1454">
        <w:rPr>
          <w:rFonts w:eastAsia="Times New Roman"/>
          <w:lang w:val="es-UY"/>
        </w:rPr>
        <w:t xml:space="preserve">sobre secuencias de recursos </w:t>
      </w:r>
      <w:r w:rsidRPr="00AA1454">
        <w:rPr>
          <w:rFonts w:eastAsia="Times New Roman"/>
          <w:kern w:val="22"/>
          <w:lang w:val="es-UY"/>
        </w:rPr>
        <w:t>genéticos</w:t>
      </w:r>
      <w:r w:rsidR="008530EE" w:rsidRPr="00AA1454">
        <w:rPr>
          <w:rFonts w:eastAsia="Times New Roman"/>
          <w:lang w:val="es-UY"/>
        </w:rPr>
        <w:t xml:space="preserve">, </w:t>
      </w:r>
      <w:r w:rsidR="008530EE" w:rsidRPr="00AA1454">
        <w:rPr>
          <w:rFonts w:eastAsia="Times New Roman"/>
          <w:kern w:val="22"/>
          <w:lang w:val="es-UY"/>
        </w:rPr>
        <w:t>como parte de sus marcos de acceso y participación en los beneficios</w:t>
      </w:r>
      <w:r w:rsidRPr="00AA1454">
        <w:rPr>
          <w:rFonts w:eastAsia="Times New Roman"/>
          <w:kern w:val="22"/>
          <w:lang w:val="es-UY"/>
        </w:rPr>
        <w:t>,</w:t>
      </w:r>
    </w:p>
    <w:p w14:paraId="3EF20212" w14:textId="77777777" w:rsidR="00F461FB" w:rsidRPr="00AA1454" w:rsidRDefault="00F461FB">
      <w:pPr>
        <w:spacing w:before="120" w:after="120"/>
        <w:ind w:firstLine="720"/>
        <w:rPr>
          <w:rFonts w:eastAsia="Times New Roman"/>
          <w:lang w:val="es-UY"/>
        </w:rPr>
      </w:pPr>
      <w:r w:rsidRPr="00AA1454">
        <w:rPr>
          <w:rFonts w:eastAsia="Times New Roman"/>
          <w:i/>
          <w:iCs/>
          <w:lang w:val="es-UY"/>
        </w:rPr>
        <w:t>Observando también</w:t>
      </w:r>
      <w:r w:rsidRPr="00AA1454">
        <w:rPr>
          <w:rFonts w:eastAsia="Times New Roman"/>
          <w:lang w:val="es-UY"/>
        </w:rPr>
        <w:t xml:space="preserve"> los múltiples enfoques para abordar la información digital sobre secuencias adoptados en medidas nacionales,]</w:t>
      </w:r>
    </w:p>
    <w:p w14:paraId="65463538" w14:textId="77777777" w:rsidR="00F461FB" w:rsidRPr="00AA1454" w:rsidRDefault="00F461FB">
      <w:pPr>
        <w:spacing w:before="120" w:after="120"/>
        <w:rPr>
          <w:rFonts w:eastAsia="Times New Roman"/>
          <w:lang w:val="es-UY"/>
        </w:rPr>
      </w:pPr>
      <w:r w:rsidRPr="00AA1454">
        <w:rPr>
          <w:rFonts w:eastAsia="Times New Roman"/>
          <w:i/>
          <w:iCs/>
          <w:lang w:val="es-UY"/>
        </w:rPr>
        <w:tab/>
      </w:r>
      <w:r w:rsidR="008530EE" w:rsidRPr="00AA1454">
        <w:rPr>
          <w:rFonts w:eastAsia="Times New Roman"/>
          <w:i/>
          <w:iCs/>
          <w:lang w:val="es-UY"/>
        </w:rPr>
        <w:t>Teniendo presente</w:t>
      </w:r>
      <w:r w:rsidRPr="00AA1454">
        <w:rPr>
          <w:rFonts w:eastAsia="Times New Roman"/>
          <w:i/>
          <w:iCs/>
          <w:lang w:val="es-UY"/>
        </w:rPr>
        <w:t xml:space="preserve"> </w:t>
      </w:r>
      <w:r w:rsidRPr="00AA1454">
        <w:rPr>
          <w:rFonts w:eastAsia="Times New Roman"/>
          <w:lang w:val="es-UY"/>
        </w:rPr>
        <w:t>la labor realizada desde la 14ª reunión de la Conferencia de las Partes en materia del alcance y la definición de “información digital sobre secuencias de recursos genéticos” y, en particular, el informe del Grupo Especial de Expertos Técnicos,</w:t>
      </w:r>
    </w:p>
    <w:p w14:paraId="51748686" w14:textId="77777777" w:rsidR="00F461FB" w:rsidRPr="00AA1454" w:rsidRDefault="00F461FB">
      <w:pPr>
        <w:spacing w:before="120" w:after="120"/>
        <w:rPr>
          <w:rFonts w:eastAsia="Times New Roman"/>
          <w:lang w:val="es-UY"/>
        </w:rPr>
      </w:pPr>
      <w:r w:rsidRPr="00AA1454">
        <w:rPr>
          <w:rFonts w:eastAsia="Times New Roman"/>
          <w:lang w:val="es-UY"/>
        </w:rPr>
        <w:lastRenderedPageBreak/>
        <w:tab/>
      </w:r>
      <w:r w:rsidRPr="00AA1454">
        <w:rPr>
          <w:rFonts w:eastAsia="Times New Roman"/>
          <w:i/>
          <w:iCs/>
          <w:lang w:val="es-UY"/>
        </w:rPr>
        <w:t xml:space="preserve">[Reconociendo </w:t>
      </w:r>
      <w:r w:rsidRPr="00AA1454">
        <w:rPr>
          <w:rFonts w:eastAsia="Times New Roman"/>
          <w:lang w:val="es-UY"/>
        </w:rPr>
        <w:t>que [la información digital sobre secuencias de recursos genéticos [resulta] [puede resultar] de la utilización</w:t>
      </w:r>
      <w:proofErr w:type="gramStart"/>
      <w:r w:rsidRPr="00AA1454">
        <w:rPr>
          <w:rFonts w:eastAsia="Times New Roman"/>
          <w:lang w:val="es-UY"/>
        </w:rPr>
        <w:t>][</w:t>
      </w:r>
      <w:proofErr w:type="gramEnd"/>
      <w:r w:rsidRPr="00AA1454">
        <w:rPr>
          <w:rFonts w:eastAsia="Times New Roman"/>
          <w:lang w:val="es-UY"/>
        </w:rPr>
        <w:t>la información genética es una parte intrínseca] de los recursos genéticos,]</w:t>
      </w:r>
    </w:p>
    <w:p w14:paraId="7E59B312" w14:textId="77777777" w:rsidR="00F461FB" w:rsidRPr="00AA1454" w:rsidRDefault="00F461FB">
      <w:pPr>
        <w:tabs>
          <w:tab w:val="left" w:pos="720"/>
        </w:tabs>
        <w:spacing w:before="120" w:after="120"/>
        <w:rPr>
          <w:rFonts w:eastAsia="Times New Roman"/>
          <w:lang w:val="es-UY"/>
        </w:rPr>
      </w:pPr>
      <w:r w:rsidRPr="00AA1454">
        <w:rPr>
          <w:rFonts w:eastAsia="Times New Roman"/>
          <w:lang w:val="es-UY"/>
        </w:rPr>
        <w:tab/>
        <w:t>[</w:t>
      </w:r>
      <w:r w:rsidRPr="00AA1454">
        <w:rPr>
          <w:rFonts w:eastAsia="Times New Roman"/>
          <w:i/>
          <w:iCs/>
          <w:lang w:val="es-UY"/>
        </w:rPr>
        <w:t>Recordando</w:t>
      </w:r>
      <w:r w:rsidRPr="00AA1454">
        <w:rPr>
          <w:rFonts w:eastAsia="Times New Roman"/>
          <w:lang w:val="es-UY"/>
        </w:rPr>
        <w:t xml:space="preserve"> el Sistema Multilateral de Acceso y Distribución de Beneficios establecido en el marco del Tratado Internacional sobre los Recursos Fitogenéticos para </w:t>
      </w:r>
      <w:r w:rsidR="003D7D75" w:rsidRPr="00AA1454">
        <w:rPr>
          <w:rFonts w:eastAsia="Times New Roman"/>
          <w:lang w:val="es-UY"/>
        </w:rPr>
        <w:t xml:space="preserve">la </w:t>
      </w:r>
      <w:r w:rsidRPr="00AA1454">
        <w:rPr>
          <w:rFonts w:eastAsia="Times New Roman"/>
          <w:lang w:val="es-UY"/>
        </w:rPr>
        <w:t>Alimentación y la Agricultura</w:t>
      </w:r>
      <w:r w:rsidR="003D7D75" w:rsidRPr="00AA1454">
        <w:rPr>
          <w:rFonts w:eastAsia="Times New Roman"/>
          <w:lang w:val="es-UY"/>
        </w:rPr>
        <w:t>,</w:t>
      </w:r>
      <w:r w:rsidRPr="00AA1454">
        <w:rPr>
          <w:rFonts w:eastAsia="Times New Roman"/>
          <w:lang w:val="es-UY"/>
        </w:rPr>
        <w:t xml:space="preserve"> desarrollado en armonía con el Convenio,</w:t>
      </w:r>
      <w:r w:rsidR="002904A9" w:rsidRPr="00AA1454">
        <w:rPr>
          <w:rFonts w:eastAsia="Times New Roman"/>
          <w:lang w:val="es-UY"/>
        </w:rPr>
        <w:t>]</w:t>
      </w:r>
      <w:r w:rsidR="00121308" w:rsidRPr="00AA1454">
        <w:rPr>
          <w:rFonts w:eastAsia="Times New Roman"/>
          <w:lang w:val="es-UY"/>
        </w:rPr>
        <w:t>]</w:t>
      </w:r>
    </w:p>
    <w:p w14:paraId="5237A50F" w14:textId="77777777" w:rsidR="00F461FB" w:rsidRPr="00AA1454" w:rsidRDefault="00F461FB">
      <w:pPr>
        <w:spacing w:before="120" w:after="120"/>
        <w:ind w:firstLine="709"/>
        <w:rPr>
          <w:rFonts w:eastAsia="Times New Roman"/>
          <w:lang w:val="es-UY"/>
        </w:rPr>
      </w:pPr>
      <w:r w:rsidRPr="00AA1454">
        <w:rPr>
          <w:rFonts w:eastAsia="Times New Roman"/>
          <w:lang w:val="es-UY"/>
        </w:rPr>
        <w:tab/>
        <w:t>[</w:t>
      </w:r>
      <w:r w:rsidRPr="00AA1454">
        <w:rPr>
          <w:rFonts w:eastAsia="Times New Roman"/>
          <w:i/>
          <w:iCs/>
          <w:lang w:val="es-UY"/>
        </w:rPr>
        <w:t>Decide</w:t>
      </w:r>
      <w:r w:rsidRPr="00AA1454">
        <w:rPr>
          <w:rFonts w:eastAsia="Times New Roman"/>
          <w:lang w:val="es-UY"/>
        </w:rPr>
        <w:t xml:space="preserve"> abordar la información digital sobre secuencias de recursos genéticos en el contexto del marco mundial de la diversidad biológica posterior a 2020 a más tardar para […];]</w:t>
      </w:r>
    </w:p>
    <w:p w14:paraId="3BC42377" w14:textId="77777777" w:rsidR="00F461FB" w:rsidRPr="00AA1454" w:rsidRDefault="00F461FB">
      <w:pPr>
        <w:spacing w:before="120" w:after="120"/>
        <w:ind w:firstLine="720"/>
        <w:rPr>
          <w:rFonts w:eastAsia="Times New Roman"/>
          <w:b/>
          <w:bCs/>
          <w:lang w:val="es-UY"/>
        </w:rPr>
      </w:pPr>
      <w:r w:rsidRPr="00AA1454">
        <w:rPr>
          <w:rFonts w:eastAsia="Times New Roman"/>
          <w:lang w:val="es-UY"/>
        </w:rPr>
        <w:t>[</w:t>
      </w:r>
      <w:r w:rsidRPr="00AA1454">
        <w:rPr>
          <w:rFonts w:eastAsia="Times New Roman"/>
          <w:i/>
          <w:iCs/>
          <w:lang w:val="es-UY"/>
        </w:rPr>
        <w:t>Reconoce</w:t>
      </w:r>
      <w:r w:rsidRPr="00AA1454">
        <w:rPr>
          <w:rFonts w:eastAsia="Times New Roman"/>
          <w:lang w:val="es-UY"/>
        </w:rPr>
        <w:t xml:space="preserve"> la necesidad [de desarrollar, en forma oportuna,][de] un enfoque práctico [para [garantizar][que garantice] [la facilitación del acceso a los recursos genéticos y a </w:t>
      </w:r>
      <w:r w:rsidR="003D7D75" w:rsidRPr="00AA1454">
        <w:rPr>
          <w:rFonts w:eastAsia="Times New Roman"/>
          <w:lang w:val="es-UY"/>
        </w:rPr>
        <w:t xml:space="preserve">la </w:t>
      </w:r>
      <w:r w:rsidRPr="00AA1454">
        <w:rPr>
          <w:rFonts w:eastAsia="Times New Roman"/>
          <w:lang w:val="es-UY"/>
        </w:rPr>
        <w:t>información digital sobre secuencias de recursos genéticos y] la participación justa y equitativa en los beneficios que se deriven [del uso][de la utilización] de información digital sobre secuencias de recursos genéticos] [con miras a encontrar][y para] una solución para [la participación justa y equitativa en los beneficios derivados de] la información digital sobre secuencias de recursos genéticos [de conformidad con los puntos clave indicados en el párrafo 5 de la recomendación 3/2 del Grupo de Trabajo de Composición Abierta sobre el Marco Mundial de la Diversidad Biológica posterior a 2020];</w:t>
      </w:r>
      <w:r w:rsidR="00A6703E" w:rsidRPr="00AA1454">
        <w:rPr>
          <w:rFonts w:eastAsia="Times New Roman"/>
          <w:lang w:val="es-UY"/>
        </w:rPr>
        <w:t>]</w:t>
      </w:r>
    </w:p>
    <w:p w14:paraId="6E915F19" w14:textId="77777777" w:rsidR="00F461FB" w:rsidRPr="00AA1454" w:rsidRDefault="00F461FB">
      <w:pPr>
        <w:pStyle w:val="Para1"/>
        <w:numPr>
          <w:ilvl w:val="0"/>
          <w:numId w:val="0"/>
        </w:numPr>
        <w:ind w:left="720"/>
        <w:jc w:val="left"/>
        <w:rPr>
          <w:rFonts w:eastAsia="Times New Roman"/>
          <w:kern w:val="22"/>
          <w:lang w:val="es-UY"/>
        </w:rPr>
      </w:pPr>
      <w:r w:rsidRPr="00AA1454">
        <w:rPr>
          <w:rFonts w:eastAsia="Times New Roman"/>
          <w:lang w:val="es-UY"/>
        </w:rPr>
        <w:t>[</w:t>
      </w:r>
      <w:r w:rsidRPr="00AA1454">
        <w:rPr>
          <w:rFonts w:eastAsia="Times New Roman"/>
          <w:i/>
          <w:iCs/>
          <w:kern w:val="22"/>
          <w:lang w:val="es-UY"/>
        </w:rPr>
        <w:t>Acuerda</w:t>
      </w:r>
      <w:r w:rsidRPr="00AA1454">
        <w:rPr>
          <w:rFonts w:eastAsia="Times New Roman"/>
          <w:kern w:val="22"/>
          <w:lang w:val="es-UY"/>
        </w:rPr>
        <w:t xml:space="preserve"> lo siguiente:]</w:t>
      </w:r>
      <w:r w:rsidRPr="00AA1454">
        <w:rPr>
          <w:rStyle w:val="FootnoteReference"/>
          <w:rFonts w:eastAsia="Times New Roman"/>
          <w:kern w:val="22"/>
          <w:lang w:val="es-UY"/>
        </w:rPr>
        <w:footnoteReference w:id="1"/>
      </w:r>
    </w:p>
    <w:p w14:paraId="59FA3E3D"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[Tomar medidas</w:t>
      </w:r>
      <w:r w:rsidR="003D7D75" w:rsidRPr="00AA1454">
        <w:rPr>
          <w:rFonts w:eastAsia="Times New Roman"/>
          <w:lang w:val="es-UY"/>
        </w:rPr>
        <w:t xml:space="preserve"> para</w:t>
      </w:r>
      <w:r w:rsidRPr="00AA1454">
        <w:rPr>
          <w:rFonts w:eastAsia="Times New Roman"/>
          <w:lang w:val="es-UY"/>
        </w:rPr>
        <w:t xml:space="preserve">] </w:t>
      </w:r>
      <w:r w:rsidR="003D7D75" w:rsidRPr="00AA1454">
        <w:rPr>
          <w:rFonts w:eastAsia="Times New Roman"/>
          <w:lang w:val="es-UY"/>
        </w:rPr>
        <w:t>alentar</w:t>
      </w:r>
      <w:r w:rsidRPr="00AA1454">
        <w:rPr>
          <w:rFonts w:eastAsia="Times New Roman"/>
          <w:lang w:val="es-UY"/>
        </w:rPr>
        <w:t xml:space="preserve"> más depósitos de datos;</w:t>
      </w:r>
    </w:p>
    <w:p w14:paraId="7032833F"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Usar etiquetas que indiquen el [país [o la región</w:t>
      </w:r>
      <w:proofErr w:type="gramStart"/>
      <w:r w:rsidRPr="00AA1454">
        <w:rPr>
          <w:rFonts w:eastAsia="Times New Roman"/>
          <w:lang w:val="es-UY"/>
        </w:rPr>
        <w:t>][</w:t>
      </w:r>
      <w:proofErr w:type="gramEnd"/>
      <w:r w:rsidRPr="00AA1454">
        <w:rPr>
          <w:rFonts w:eastAsia="Times New Roman"/>
          <w:lang w:val="es-UY"/>
        </w:rPr>
        <w:t xml:space="preserve">o el lugar] de] origen [y </w:t>
      </w:r>
      <w:r w:rsidR="003D7D75" w:rsidRPr="00AA1454">
        <w:rPr>
          <w:rFonts w:eastAsia="Times New Roman"/>
          <w:lang w:val="es-UY"/>
        </w:rPr>
        <w:t>proveedor</w:t>
      </w:r>
      <w:r w:rsidRPr="00AA1454">
        <w:rPr>
          <w:rFonts w:eastAsia="Times New Roman"/>
          <w:lang w:val="es-UY"/>
        </w:rPr>
        <w:t xml:space="preserve">] </w:t>
      </w:r>
      <w:r w:rsidR="003D7D75" w:rsidRPr="00AA1454">
        <w:rPr>
          <w:rFonts w:eastAsia="Times New Roman"/>
          <w:lang w:val="es-UY"/>
        </w:rPr>
        <w:t xml:space="preserve">de </w:t>
      </w:r>
      <w:r w:rsidRPr="00AA1454">
        <w:rPr>
          <w:rFonts w:eastAsia="Times New Roman"/>
          <w:lang w:val="es-UY"/>
        </w:rPr>
        <w:t>los recursos genéticos a partir de los cuales se generó la información digital sobre secuencias para nuevas presentaciones a [e información digital sobre secuencias existente en] [todas] las bases de datos [públicas];</w:t>
      </w:r>
    </w:p>
    <w:p w14:paraId="5CE206F7" w14:textId="77777777" w:rsidR="00F461FB" w:rsidRPr="00AA1454" w:rsidRDefault="003D7D75">
      <w:pPr>
        <w:pStyle w:val="Para1"/>
        <w:numPr>
          <w:ilvl w:val="0"/>
          <w:numId w:val="20"/>
        </w:numPr>
        <w:ind w:left="0" w:firstLine="720"/>
        <w:rPr>
          <w:rFonts w:eastAsia="Times New Roman"/>
          <w:lang w:val="es-UY"/>
        </w:rPr>
      </w:pPr>
      <w:r w:rsidRPr="00AA1454">
        <w:rPr>
          <w:rFonts w:eastAsia="Times New Roman"/>
          <w:kern w:val="22"/>
          <w:lang w:val="es-UY"/>
        </w:rPr>
        <w:t>Brindar</w:t>
      </w:r>
      <w:r w:rsidR="00F461FB" w:rsidRPr="00AA1454">
        <w:rPr>
          <w:rFonts w:eastAsia="Times New Roman"/>
          <w:kern w:val="22"/>
          <w:lang w:val="es-UY"/>
        </w:rPr>
        <w:t xml:space="preserve"> claridad y certidumbre jurídicas para los proveedores [de recursos genéticos a partir de los cuales se [obtiene][genera] información digital sobre secuencias de recursos genéticos] y [para] los usuarios de [esa] información digital sobre secuencias de recursos genéticos;</w:t>
      </w:r>
    </w:p>
    <w:p w14:paraId="66320DF7" w14:textId="77777777" w:rsidR="00F461FB" w:rsidRPr="00AA1454" w:rsidRDefault="00F461FB">
      <w:pPr>
        <w:pStyle w:val="ListParagraph"/>
        <w:numPr>
          <w:ilvl w:val="0"/>
          <w:numId w:val="20"/>
        </w:numPr>
        <w:tabs>
          <w:tab w:val="left" w:pos="1418"/>
        </w:tabs>
        <w:spacing w:before="120" w:after="120" w:line="260" w:lineRule="auto"/>
        <w:ind w:left="0" w:firstLine="720"/>
        <w:rPr>
          <w:rFonts w:eastAsia="Times New Roman"/>
          <w:lang w:val="es-UY"/>
        </w:rPr>
      </w:pPr>
      <w:r w:rsidRPr="00AA1454">
        <w:rPr>
          <w:rFonts w:eastAsia="Times New Roman"/>
          <w:lang w:val="es-UY"/>
        </w:rPr>
        <w:t xml:space="preserve">Ser eficiente, viable y </w:t>
      </w:r>
      <w:r w:rsidR="00A04DF9" w:rsidRPr="00AA1454">
        <w:rPr>
          <w:rFonts w:eastAsia="Times New Roman"/>
          <w:lang w:val="es-UY"/>
        </w:rPr>
        <w:t xml:space="preserve">funcional </w:t>
      </w:r>
      <w:r w:rsidR="00457498" w:rsidRPr="00AA1454">
        <w:rPr>
          <w:rFonts w:eastAsia="Times New Roman"/>
          <w:lang w:val="es-UY"/>
        </w:rPr>
        <w:t>[</w:t>
      </w:r>
      <w:r w:rsidRPr="00AA1454">
        <w:rPr>
          <w:rFonts w:eastAsia="Times New Roman"/>
          <w:lang w:val="es-UY"/>
        </w:rPr>
        <w:t>[, ser][y] eficaz en [garantizar</w:t>
      </w:r>
      <w:proofErr w:type="gramStart"/>
      <w:r w:rsidRPr="00AA1454">
        <w:rPr>
          <w:rFonts w:eastAsia="Times New Roman"/>
          <w:lang w:val="es-UY"/>
        </w:rPr>
        <w:t>][</w:t>
      </w:r>
      <w:proofErr w:type="gramEnd"/>
      <w:r w:rsidRPr="00AA1454">
        <w:rPr>
          <w:rFonts w:eastAsia="Times New Roman"/>
          <w:lang w:val="es-UY"/>
        </w:rPr>
        <w:t>posibilitar un acceso adecuado y] participación justa y equitativa en los beneficios que se deriven del uso de información digital sobre secuencias de recursos genéticos</w:t>
      </w:r>
      <w:r w:rsidR="00457498" w:rsidRPr="00AA1454">
        <w:rPr>
          <w:rFonts w:eastAsia="Times New Roman"/>
          <w:lang w:val="es-UY"/>
        </w:rPr>
        <w:t>]</w:t>
      </w:r>
      <w:r w:rsidRPr="00AA1454">
        <w:rPr>
          <w:rFonts w:eastAsia="Times New Roman"/>
          <w:lang w:val="es-UY"/>
        </w:rPr>
        <w:t xml:space="preserve"> y generar más beneficios, tanto monetarios como no monetarios, que costos;</w:t>
      </w:r>
    </w:p>
    <w:p w14:paraId="294EAD93"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Ser adaptable a futuros cambios tecnológicos;</w:t>
      </w:r>
    </w:p>
    <w:p w14:paraId="4A65A902"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[Una solución sobre participación justa y equitativa en los beneficios derivados de [la utilización</w:t>
      </w:r>
      <w:proofErr w:type="gramStart"/>
      <w:r w:rsidRPr="00AA1454">
        <w:rPr>
          <w:rFonts w:eastAsia="Times New Roman"/>
          <w:lang w:val="es-UY"/>
        </w:rPr>
        <w:t>][</w:t>
      </w:r>
      <w:proofErr w:type="gramEnd"/>
      <w:r w:rsidRPr="00AA1454">
        <w:rPr>
          <w:rFonts w:eastAsia="Times New Roman"/>
          <w:lang w:val="es-UY"/>
        </w:rPr>
        <w:t>el uso] de información digital sobre secuencias debería] ser mutuamente complementaria con otros instrumentos [pertinentes] de acceso y participación en los beneficios [y ser adaptable a ellos];</w:t>
      </w:r>
    </w:p>
    <w:p w14:paraId="39118BF1"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 xml:space="preserve">[Instar a las Partes a que tomen medidas para promover][La promoción de] la investigación y la innovación y la cooperación científica y técnica, la creación de capacidad y la transferencia de tecnología [a los países en desarrollo [en condiciones justas y </w:t>
      </w:r>
      <w:r w:rsidR="007B7383" w:rsidRPr="00AA1454">
        <w:rPr>
          <w:rFonts w:eastAsia="Times New Roman"/>
          <w:lang w:val="es-UY"/>
        </w:rPr>
        <w:t>muy</w:t>
      </w:r>
      <w:r w:rsidRPr="00AA1454">
        <w:rPr>
          <w:rFonts w:eastAsia="Times New Roman"/>
          <w:lang w:val="es-UY"/>
        </w:rPr>
        <w:t xml:space="preserve"> favorables][según lo especificado en el[los] artículo[s] 16 [y 18] del Convenio][en condiciones mutuamente acordadas]] [y una mayor movilización de recursos] para los fines de conservación y utilización sostenible de la diversidad biológica;</w:t>
      </w:r>
    </w:p>
    <w:p w14:paraId="71326AB3" w14:textId="77777777" w:rsidR="00F461FB" w:rsidRPr="00AA1454" w:rsidRDefault="00F461FB">
      <w:pPr>
        <w:pStyle w:val="ListParagraph"/>
        <w:numPr>
          <w:ilvl w:val="0"/>
          <w:numId w:val="20"/>
        </w:numPr>
        <w:spacing w:after="120" w:line="260" w:lineRule="auto"/>
        <w:ind w:left="0" w:firstLine="720"/>
        <w:rPr>
          <w:rFonts w:eastAsia="Times New Roman"/>
          <w:lang w:val="es-UY"/>
        </w:rPr>
      </w:pPr>
      <w:r w:rsidRPr="00AA1454">
        <w:rPr>
          <w:rFonts w:eastAsia="Times New Roman"/>
          <w:lang w:val="es-UY"/>
        </w:rPr>
        <w:t xml:space="preserve">[Respetar y proteger] los derechos de los pueblos indígenas y las comunidades locales sobre sus conocimientos tradicionales asociados a recursos genéticos [y tomar en cuenta </w:t>
      </w:r>
      <w:r w:rsidR="003D7D75" w:rsidRPr="00AA1454">
        <w:rPr>
          <w:rFonts w:eastAsia="Times New Roman"/>
          <w:lang w:val="es-UY"/>
        </w:rPr>
        <w:t>su</w:t>
      </w:r>
      <w:r w:rsidRPr="00AA1454">
        <w:rPr>
          <w:rFonts w:eastAsia="Times New Roman"/>
          <w:lang w:val="es-UY"/>
        </w:rPr>
        <w:t xml:space="preserve"> papel como gestores de la diversidad biocultural, biológica y genética;]</w:t>
      </w:r>
    </w:p>
    <w:p w14:paraId="3634402D"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kern w:val="22"/>
          <w:lang w:val="es-UY"/>
        </w:rPr>
        <w:lastRenderedPageBreak/>
        <w:t>[</w:t>
      </w:r>
      <w:r w:rsidRPr="00AA1454">
        <w:rPr>
          <w:rFonts w:eastAsia="Times New Roman"/>
          <w:lang w:val="es-UY"/>
        </w:rPr>
        <w:t xml:space="preserve">Reconoce que] los beneficios monetarios y no monetarios que se deriven del uso de información digital sobre secuencias de recursos genéticos deberían usarse para apoyar la conservación y la utilización sostenible de la diversidad biológica </w:t>
      </w:r>
      <w:proofErr w:type="gramStart"/>
      <w:r w:rsidRPr="00AA1454">
        <w:rPr>
          <w:rFonts w:eastAsia="Times New Roman"/>
          <w:lang w:val="es-UY"/>
        </w:rPr>
        <w:t>y[</w:t>
      </w:r>
      <w:proofErr w:type="gramEnd"/>
      <w:r w:rsidRPr="00AA1454">
        <w:rPr>
          <w:rFonts w:eastAsia="Times New Roman"/>
          <w:lang w:val="es-UY"/>
        </w:rPr>
        <w:t>, entre otras cosas,] beneficiar a los pueblos indígenas y las comunidades locales;</w:t>
      </w:r>
    </w:p>
    <w:p w14:paraId="0D8ECE99"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kern w:val="22"/>
          <w:lang w:val="es-UY"/>
        </w:rPr>
        <w:t>[</w:t>
      </w:r>
      <w:r w:rsidRPr="00AA1454">
        <w:rPr>
          <w:rFonts w:eastAsia="Times New Roman"/>
          <w:lang w:val="es-UY"/>
        </w:rPr>
        <w:t>Reconoce que] los beneficios monetarios [y][o] no monetarios que se deriven del uso de información digital sobre secuencias de recursos genéticos [deben compartirse de manera justa y equitativa y</w:t>
      </w:r>
      <w:proofErr w:type="gramStart"/>
      <w:r w:rsidRPr="00AA1454">
        <w:rPr>
          <w:rFonts w:eastAsia="Times New Roman"/>
          <w:lang w:val="es-UY"/>
        </w:rPr>
        <w:t>][</w:t>
      </w:r>
      <w:proofErr w:type="gramEnd"/>
      <w:r w:rsidRPr="00AA1454">
        <w:rPr>
          <w:rFonts w:eastAsia="Times New Roman"/>
          <w:lang w:val="es-UY"/>
        </w:rPr>
        <w:t>que se comparten] deberían usarse para apoyar la conservación y la utilización sostenible de la diversidad biológica [así como el desarrollo sostenible] y</w:t>
      </w:r>
      <w:r w:rsidR="003E7380" w:rsidRPr="00AA1454">
        <w:rPr>
          <w:rFonts w:eastAsia="Times New Roman"/>
          <w:lang w:val="es-UY"/>
        </w:rPr>
        <w:t xml:space="preserve"> </w:t>
      </w:r>
      <w:r w:rsidRPr="00AA1454">
        <w:rPr>
          <w:rFonts w:eastAsia="Times New Roman"/>
          <w:lang w:val="es-UY"/>
        </w:rPr>
        <w:t>[, entre otras cosas,] beneficiar a los pueblos indígenas y las comunidades locales[, según proceda];</w:t>
      </w:r>
    </w:p>
    <w:p w14:paraId="3A988BAA" w14:textId="77777777" w:rsidR="00F461FB" w:rsidRPr="00AA1454" w:rsidRDefault="00274499">
      <w:pPr>
        <w:pStyle w:val="Para1"/>
        <w:numPr>
          <w:ilvl w:val="0"/>
          <w:numId w:val="20"/>
        </w:numPr>
        <w:ind w:left="0" w:firstLine="720"/>
        <w:rPr>
          <w:rFonts w:eastAsia="Times New Roman"/>
          <w:lang w:val="es-UY"/>
        </w:rPr>
      </w:pPr>
      <w:r w:rsidRPr="00AA1454">
        <w:rPr>
          <w:rFonts w:eastAsia="Times New Roman"/>
          <w:kern w:val="22"/>
          <w:lang w:val="es-UY"/>
        </w:rPr>
        <w:t>[</w:t>
      </w:r>
      <w:r w:rsidR="00F461FB" w:rsidRPr="00AA1454">
        <w:rPr>
          <w:rFonts w:eastAsia="Times New Roman"/>
          <w:kern w:val="22"/>
          <w:lang w:val="es-UY"/>
        </w:rPr>
        <w:t>[Conviene en que] “información</w:t>
      </w:r>
      <w:r w:rsidR="00F461FB" w:rsidRPr="00AA1454">
        <w:rPr>
          <w:rFonts w:eastAsia="Times New Roman"/>
          <w:lang w:val="es-UY"/>
        </w:rPr>
        <w:t xml:space="preserve"> </w:t>
      </w:r>
      <w:r w:rsidR="00F461FB" w:rsidRPr="00AA1454">
        <w:rPr>
          <w:rFonts w:eastAsia="Times New Roman"/>
          <w:kern w:val="22"/>
          <w:lang w:val="es-UY"/>
        </w:rPr>
        <w:t xml:space="preserve">digital sobre secuencias </w:t>
      </w:r>
      <w:r w:rsidR="00F461FB" w:rsidRPr="00AA1454">
        <w:rPr>
          <w:rFonts w:eastAsia="Times New Roman"/>
          <w:lang w:val="es-UY"/>
        </w:rPr>
        <w:t>[de recursos genéticos]</w:t>
      </w:r>
      <w:r w:rsidR="00F461FB" w:rsidRPr="00AA1454">
        <w:rPr>
          <w:rFonts w:eastAsia="Times New Roman"/>
          <w:kern w:val="22"/>
          <w:lang w:val="es-UY"/>
        </w:rPr>
        <w:t>” [consiste en</w:t>
      </w:r>
      <w:proofErr w:type="gramStart"/>
      <w:r w:rsidR="00F461FB" w:rsidRPr="00AA1454">
        <w:rPr>
          <w:rFonts w:eastAsia="Times New Roman"/>
          <w:kern w:val="22"/>
          <w:lang w:val="es-UY"/>
        </w:rPr>
        <w:t>]</w:t>
      </w:r>
      <w:r w:rsidR="00F461FB" w:rsidRPr="00AA1454">
        <w:rPr>
          <w:rFonts w:eastAsia="Times New Roman"/>
          <w:lang w:val="es-UY"/>
        </w:rPr>
        <w:t>[</w:t>
      </w:r>
      <w:proofErr w:type="gramEnd"/>
      <w:r w:rsidR="00F461FB" w:rsidRPr="00AA1454">
        <w:rPr>
          <w:rFonts w:eastAsia="Times New Roman"/>
          <w:kern w:val="22"/>
          <w:lang w:val="es-UY"/>
        </w:rPr>
        <w:t>información sobre</w:t>
      </w:r>
      <w:r w:rsidR="00F461FB" w:rsidRPr="00AA1454">
        <w:rPr>
          <w:rFonts w:eastAsia="Times New Roman"/>
          <w:lang w:val="es-UY"/>
        </w:rPr>
        <w:t>][secuencias y estructuras químicas sobre][secuencias anotadas de]</w:t>
      </w:r>
      <w:r w:rsidR="00F461FB" w:rsidRPr="00AA1454">
        <w:rPr>
          <w:rFonts w:eastAsia="Times New Roman"/>
          <w:kern w:val="22"/>
          <w:lang w:val="es-UY"/>
        </w:rPr>
        <w:t xml:space="preserve"> </w:t>
      </w:r>
      <w:r w:rsidR="00F461FB" w:rsidRPr="00AA1454">
        <w:rPr>
          <w:rFonts w:eastAsia="Times New Roman"/>
          <w:lang w:val="es-UY"/>
        </w:rPr>
        <w:t>[A</w:t>
      </w:r>
      <w:r w:rsidR="00F461FB" w:rsidRPr="00AA1454">
        <w:rPr>
          <w:rFonts w:eastAsia="Times New Roman"/>
          <w:kern w:val="22"/>
          <w:lang w:val="es-UY"/>
        </w:rPr>
        <w:t>DN, ARN, [proteínas, modificaciones epigenéticas</w:t>
      </w:r>
      <w:r w:rsidR="00F461FB" w:rsidRPr="00AA1454">
        <w:rPr>
          <w:rFonts w:eastAsia="Times New Roman"/>
          <w:vertAlign w:val="superscript"/>
          <w:lang w:val="es-UY"/>
        </w:rPr>
        <w:footnoteReference w:id="2"/>
      </w:r>
      <w:r w:rsidR="00F461FB" w:rsidRPr="00AA1454">
        <w:rPr>
          <w:rFonts w:eastAsia="Times New Roman"/>
          <w:kern w:val="22"/>
          <w:lang w:val="es-UY"/>
        </w:rPr>
        <w:t xml:space="preserve">, metabolitos,] </w:t>
      </w:r>
      <w:r w:rsidR="00F461FB" w:rsidRPr="00AA1454">
        <w:rPr>
          <w:rFonts w:eastAsia="Times New Roman"/>
          <w:lang w:val="es-UY"/>
        </w:rPr>
        <w:t>[</w:t>
      </w:r>
      <w:r w:rsidR="00F461FB" w:rsidRPr="00AA1454">
        <w:rPr>
          <w:rFonts w:eastAsia="Times New Roman"/>
          <w:kern w:val="22"/>
          <w:lang w:val="es-UY"/>
        </w:rPr>
        <w:t>y otras macromoléculas,</w:t>
      </w:r>
      <w:r w:rsidR="00F461FB" w:rsidRPr="00AA1454">
        <w:rPr>
          <w:rFonts w:eastAsia="Times New Roman"/>
          <w:lang w:val="es-UY"/>
        </w:rPr>
        <w:t xml:space="preserve"> [derivados]]</w:t>
      </w:r>
      <w:r w:rsidR="00F461FB" w:rsidRPr="00AA1454">
        <w:rPr>
          <w:rFonts w:eastAsia="Times New Roman"/>
          <w:kern w:val="22"/>
          <w:lang w:val="es-UY"/>
        </w:rPr>
        <w:t xml:space="preserve"> y reconoce la pertinencia de </w:t>
      </w:r>
      <w:r w:rsidR="007B7383" w:rsidRPr="00AA1454">
        <w:rPr>
          <w:rFonts w:eastAsia="Times New Roman"/>
          <w:kern w:val="22"/>
          <w:lang w:val="es-UY"/>
        </w:rPr>
        <w:t xml:space="preserve">la </w:t>
      </w:r>
      <w:r w:rsidR="00F461FB" w:rsidRPr="00AA1454">
        <w:rPr>
          <w:rFonts w:eastAsia="Times New Roman"/>
          <w:kern w:val="22"/>
          <w:lang w:val="es-UY"/>
        </w:rPr>
        <w:t>información asociada</w:t>
      </w:r>
      <w:r w:rsidR="00F461FB" w:rsidRPr="00AA1454">
        <w:rPr>
          <w:rFonts w:eastAsia="Times New Roman"/>
          <w:lang w:val="es-UY"/>
        </w:rPr>
        <w:t xml:space="preserve"> [en particular los conocimientos tradicionales]]</w:t>
      </w:r>
      <w:r w:rsidR="00F461FB" w:rsidRPr="00AA1454">
        <w:rPr>
          <w:rFonts w:eastAsia="Times New Roman"/>
          <w:kern w:val="22"/>
          <w:lang w:val="es-UY"/>
        </w:rPr>
        <w:t>;</w:t>
      </w:r>
      <w:r w:rsidR="00F461FB" w:rsidRPr="00AA1454">
        <w:rPr>
          <w:rFonts w:eastAsia="Times New Roman"/>
          <w:lang w:val="es-UY"/>
        </w:rPr>
        <w:t>]</w:t>
      </w:r>
    </w:p>
    <w:p w14:paraId="0932C88F"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[“Información digital sobre secuencias” es cualquier información en [cualquier] formato [electrónico] que resulte de la “utilización de recursos genéticos”;]</w:t>
      </w:r>
    </w:p>
    <w:p w14:paraId="7C44DA95"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kern w:val="22"/>
          <w:lang w:val="es-UY"/>
        </w:rPr>
        <w:t>[Toda solución referida a información digital sobre secuencias de recursos genéticos debe, en principio, e</w:t>
      </w:r>
      <w:r w:rsidRPr="00AA1454">
        <w:rPr>
          <w:rFonts w:eastAsia="Times New Roman"/>
          <w:lang w:val="es-UY"/>
        </w:rPr>
        <w:t>star de</w:t>
      </w:r>
      <w:r w:rsidRPr="00AA1454">
        <w:rPr>
          <w:rFonts w:eastAsia="Times New Roman"/>
          <w:kern w:val="22"/>
          <w:lang w:val="es-UY"/>
        </w:rPr>
        <w:t>n</w:t>
      </w:r>
      <w:r w:rsidRPr="00AA1454">
        <w:rPr>
          <w:rFonts w:eastAsia="Times New Roman"/>
          <w:lang w:val="es-UY"/>
        </w:rPr>
        <w:t>t</w:t>
      </w:r>
      <w:r w:rsidRPr="00AA1454">
        <w:rPr>
          <w:rFonts w:eastAsia="Times New Roman"/>
          <w:kern w:val="22"/>
          <w:lang w:val="es-UY"/>
        </w:rPr>
        <w:t>r</w:t>
      </w:r>
      <w:r w:rsidRPr="00AA1454">
        <w:rPr>
          <w:rFonts w:eastAsia="Times New Roman"/>
          <w:lang w:val="es-UY"/>
        </w:rPr>
        <w:t>o</w:t>
      </w:r>
      <w:r w:rsidRPr="00AA1454">
        <w:rPr>
          <w:rFonts w:eastAsia="Times New Roman"/>
          <w:kern w:val="22"/>
          <w:lang w:val="es-UY"/>
        </w:rPr>
        <w:t xml:space="preserve"> </w:t>
      </w:r>
      <w:r w:rsidRPr="00AA1454">
        <w:rPr>
          <w:rFonts w:eastAsia="Times New Roman"/>
          <w:lang w:val="es-UY"/>
        </w:rPr>
        <w:t>d</w:t>
      </w:r>
      <w:r w:rsidRPr="00AA1454">
        <w:rPr>
          <w:rFonts w:eastAsia="Times New Roman"/>
          <w:kern w:val="22"/>
          <w:lang w:val="es-UY"/>
        </w:rPr>
        <w:t>el marco jurídico del Convenio.</w:t>
      </w:r>
      <w:r w:rsidRPr="00AA1454">
        <w:rPr>
          <w:rFonts w:eastAsia="Times New Roman"/>
          <w:lang w:val="es-UY"/>
        </w:rPr>
        <w:t xml:space="preserve"> Las soluciones que estén fuera del ámbito del Convenio sobre la Diversidad Biológica requerirían primero una revisión del Convenio;]</w:t>
      </w:r>
    </w:p>
    <w:p w14:paraId="78826EA7"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[El acceso a [agrupaciones de diversa] información digital sobre secuencias de [recursos] [diversidad] genéticos [genética] [agrupada] en bases de datos públicas apoya la investigación y la innovación y por lo tanto sigue abierto [y sin restricciones] [de acuerdo con las actuales prácticas [mejores prácticas científicas [disponibles] [y estándares internacionales]], [sujeto a disposiciones que garanticen] [a la vez que se abordan los desafíos relacionados con] la participación en los beneficios y la protección de los conocimientos tradicionales asociados a recursos genéticos, según sea necesario y procedente [a fin de no obstaculizar la investigación y la innovación [responsables] [y la participación justa y equitativa en los resultados de esa investigación e innovación] [, [entre otras cosas, para] la salud pública y la seguridad alimentaria] y ser coheren</w:t>
      </w:r>
      <w:r w:rsidR="00274499" w:rsidRPr="00AA1454">
        <w:rPr>
          <w:rFonts w:eastAsia="Times New Roman"/>
          <w:lang w:val="es-UY"/>
        </w:rPr>
        <w:t>te con [principios científicos]</w:t>
      </w:r>
      <w:r w:rsidRPr="00AA1454">
        <w:rPr>
          <w:rFonts w:eastAsia="Times New Roman"/>
          <w:lang w:val="es-UY"/>
        </w:rPr>
        <w:t>[el acceso a datos] abierto</w:t>
      </w:r>
      <w:r w:rsidR="00274499" w:rsidRPr="00AA1454">
        <w:rPr>
          <w:rFonts w:eastAsia="Times New Roman"/>
          <w:lang w:val="es-UY"/>
        </w:rPr>
        <w:t>]</w:t>
      </w:r>
      <w:r w:rsidRPr="00AA1454">
        <w:rPr>
          <w:rFonts w:eastAsia="Times New Roman"/>
          <w:lang w:val="es-UY"/>
        </w:rPr>
        <w:t>;]</w:t>
      </w:r>
    </w:p>
    <w:p w14:paraId="3EDBE57E"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[La información digital sobre secuencias de recursos genéticos se pone a disposición del público;]</w:t>
      </w:r>
    </w:p>
    <w:p w14:paraId="14FFF11C"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[La agrupación de datos [de distintas bases de datos] beneficia la investigación y la innovación y redunda en ventajas mutuas para las comunidades de investigación y de bases de datos [aunque la apertura de datos en sí misma no es un medio para garantizar la participación en los beneficios];]</w:t>
      </w:r>
    </w:p>
    <w:p w14:paraId="39D18CF3"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[La pertinencia de [el rastreo y] la trazabilidad puede depender del enfoque que se adopte para abordar la información digital sobre secuencias</w:t>
      </w:r>
      <w:r w:rsidR="00AA1454" w:rsidRPr="00AA1454">
        <w:rPr>
          <w:rFonts w:eastAsia="Times New Roman"/>
          <w:lang w:val="es-UY"/>
        </w:rPr>
        <w:t xml:space="preserve"> </w:t>
      </w:r>
      <w:r w:rsidRPr="00AA1454">
        <w:rPr>
          <w:rFonts w:eastAsia="Times New Roman"/>
          <w:lang w:val="es-UY"/>
        </w:rPr>
        <w:t>[, por ejemplo, para enfoques híbridos];]</w:t>
      </w:r>
    </w:p>
    <w:p w14:paraId="37190E96"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[Los usuarios de información digital sobre secuencias deben informar al país [de origen o país proveedor] antes de acceder a ella, cuando se trate de un uso tanto comercial como no comercial;]</w:t>
      </w:r>
    </w:p>
    <w:p w14:paraId="57514ED5"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[El rastreo y la trazabilidad podrían ser [usados][útiles] para un número limitado de subconjuntos especializados de información digital sobre secuencias de recursos genéticos [pero actualmente esto no es técnica ni financieramente</w:t>
      </w:r>
      <w:r w:rsidR="00EE4C17" w:rsidRPr="00AA1454">
        <w:rPr>
          <w:rFonts w:eastAsia="Times New Roman"/>
          <w:lang w:val="es-UY"/>
        </w:rPr>
        <w:t xml:space="preserve"> viable a gran escala [y podría</w:t>
      </w:r>
      <w:r w:rsidRPr="00AA1454">
        <w:rPr>
          <w:rFonts w:eastAsia="Times New Roman"/>
          <w:lang w:val="es-UY"/>
        </w:rPr>
        <w:t xml:space="preserve"> también dejar una huella ambiental importante]];]</w:t>
      </w:r>
    </w:p>
    <w:p w14:paraId="654A2003"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[Ser coherente con los derechos humanos y las obligaciones internacionales;]</w:t>
      </w:r>
    </w:p>
    <w:p w14:paraId="67BAFCBD"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lastRenderedPageBreak/>
        <w:t>[El Convenio sobre la Diversidad Biológica [podría] brindar un marco para una solución en materia de participación justa y equitativa en los beneficios derivados de [la utilización de recursos genéticos en forma de] [el uso de] información digital sobre secuencias;]</w:t>
      </w:r>
    </w:p>
    <w:p w14:paraId="0B7EBCD9"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[Es probable que una solución en materia de información digital sobre secuencias de recursos genéticos incluya un mecanismo multilateral (por ejemplo, un fondo multilateral). Existen varias opiniones respecto de las ventajas de un sistema meramente multilateral en comparación con un sistema híbrido (esto es, multilateral con excepciones bilaterales limitadas) y respecto de la necesidad de modelos de financiación o gobernanza mixtos para esos sistemas;]</w:t>
      </w:r>
    </w:p>
    <w:p w14:paraId="181F90AC"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[La forma más eficiente y eficaz de compartir los beneficios es a través de un mecanismo multilateral de participación en los beneficios;]</w:t>
      </w:r>
    </w:p>
    <w:p w14:paraId="0DFDE709"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[[En la eventualidad de que la 15ª reunión de la Conferencia de las Partes no llegara a un acuerdo sobre una solución para la participación en los beneficios en materia de información digital sobre secuencias,] alienta a las Partes a salvaguardar sus derechos soberanos sobre los recursos genéticos mediante la inclusión explícita de medidas para controlar el acceso a información digital sobre secuencias en sus disposiciones jurídicas, administrativas y de políticas nacionales adoptadas de conformidad con los artículos 3 y 15 del Convenio sobre la Diversidad Biológica, así como el Protocolo de Nagoya;]</w:t>
      </w:r>
    </w:p>
    <w:p w14:paraId="609501DC" w14:textId="77777777" w:rsidR="00F461FB" w:rsidRPr="00AA1454" w:rsidRDefault="00F461FB">
      <w:pPr>
        <w:pStyle w:val="Para1"/>
        <w:numPr>
          <w:ilvl w:val="0"/>
          <w:numId w:val="20"/>
        </w:numPr>
        <w:ind w:left="0" w:firstLine="720"/>
        <w:rPr>
          <w:rFonts w:eastAsia="Times New Roman"/>
          <w:lang w:val="es-UY"/>
        </w:rPr>
      </w:pPr>
      <w:r w:rsidRPr="00AA1454">
        <w:rPr>
          <w:rFonts w:eastAsia="Times New Roman"/>
          <w:lang w:val="es-UY"/>
        </w:rPr>
        <w:t xml:space="preserve">[[Observa que] algunas Partes han adoptado medidas nacionales que regulan el acceso </w:t>
      </w:r>
      <w:r w:rsidR="00D03BD0" w:rsidRPr="00AA1454">
        <w:rPr>
          <w:rFonts w:eastAsia="Times New Roman"/>
          <w:lang w:val="es-UY"/>
        </w:rPr>
        <w:t>y uso de</w:t>
      </w:r>
      <w:r w:rsidRPr="00AA1454">
        <w:rPr>
          <w:rFonts w:eastAsia="Times New Roman"/>
          <w:lang w:val="es-UY"/>
        </w:rPr>
        <w:t xml:space="preserve"> información </w:t>
      </w:r>
      <w:r w:rsidRPr="00AA1454">
        <w:rPr>
          <w:rFonts w:eastAsia="Times New Roman"/>
          <w:kern w:val="22"/>
          <w:lang w:val="es-UY"/>
        </w:rPr>
        <w:t xml:space="preserve">digital </w:t>
      </w:r>
      <w:r w:rsidRPr="00AA1454">
        <w:rPr>
          <w:rFonts w:eastAsia="Times New Roman"/>
          <w:lang w:val="es-UY"/>
        </w:rPr>
        <w:t xml:space="preserve">sobre secuencias de recursos </w:t>
      </w:r>
      <w:r w:rsidRPr="00AA1454">
        <w:rPr>
          <w:rFonts w:eastAsia="Times New Roman"/>
          <w:kern w:val="22"/>
          <w:lang w:val="es-UY"/>
        </w:rPr>
        <w:t>genéticos</w:t>
      </w:r>
      <w:r w:rsidR="00D03BD0" w:rsidRPr="00AA1454">
        <w:rPr>
          <w:rFonts w:eastAsia="Times New Roman"/>
          <w:lang w:val="es-UY"/>
        </w:rPr>
        <w:t xml:space="preserve">, </w:t>
      </w:r>
      <w:r w:rsidR="00D03BD0" w:rsidRPr="00AA1454">
        <w:rPr>
          <w:rFonts w:eastAsia="Times New Roman"/>
          <w:kern w:val="22"/>
          <w:lang w:val="es-UY"/>
        </w:rPr>
        <w:t>como parte de sus marcos de acceso y participación en los beneficios</w:t>
      </w:r>
      <w:r w:rsidRPr="00AA1454">
        <w:rPr>
          <w:rFonts w:eastAsia="Times New Roman"/>
          <w:kern w:val="22"/>
          <w:lang w:val="es-UY"/>
        </w:rPr>
        <w:t>;]</w:t>
      </w:r>
    </w:p>
    <w:p w14:paraId="4F753A99" w14:textId="77777777" w:rsidR="00F461FB" w:rsidRPr="00AA1454" w:rsidRDefault="00F461FB">
      <w:pPr>
        <w:pStyle w:val="Para1"/>
        <w:numPr>
          <w:ilvl w:val="0"/>
          <w:numId w:val="20"/>
        </w:numPr>
        <w:tabs>
          <w:tab w:val="clear" w:pos="0"/>
        </w:tabs>
        <w:ind w:left="0" w:firstLine="720"/>
        <w:rPr>
          <w:rFonts w:eastAsia="Times New Roman"/>
          <w:lang w:val="es-UY"/>
        </w:rPr>
      </w:pPr>
      <w:r w:rsidRPr="00AA1454">
        <w:rPr>
          <w:rFonts w:eastAsia="Times New Roman"/>
          <w:kern w:val="22"/>
          <w:lang w:val="es-UY"/>
        </w:rPr>
        <w:t>[Reconoce</w:t>
      </w:r>
      <w:r w:rsidRPr="00AA1454">
        <w:rPr>
          <w:rFonts w:eastAsia="Times New Roman"/>
          <w:i/>
          <w:iCs/>
          <w:kern w:val="22"/>
          <w:lang w:val="es-UY"/>
        </w:rPr>
        <w:t xml:space="preserve"> </w:t>
      </w:r>
      <w:r w:rsidRPr="00AA1454">
        <w:rPr>
          <w:rFonts w:eastAsia="Times New Roman"/>
          <w:kern w:val="22"/>
          <w:lang w:val="es-UY"/>
        </w:rPr>
        <w:t>que [la solución a la][el enfoque práctico al] que se hace referencia en el párrafo [--] anterior</w:t>
      </w:r>
      <w:r w:rsidRPr="00AA1454">
        <w:rPr>
          <w:rFonts w:eastAsia="Times New Roman"/>
          <w:i/>
          <w:iCs/>
          <w:kern w:val="22"/>
          <w:lang w:val="es-UY"/>
        </w:rPr>
        <w:t xml:space="preserve"> </w:t>
      </w:r>
      <w:r w:rsidRPr="00AA1454">
        <w:rPr>
          <w:rFonts w:eastAsia="Times New Roman"/>
          <w:kern w:val="22"/>
          <w:lang w:val="es-UY"/>
        </w:rPr>
        <w:t>[podría incluir][incluirá] el establecimiento de un mecanismo multilateral de participación en los beneficios, según lo descrito en [el apéndice de] la presente decisión[, como contribución a la movilización de recursos para la implementación del marco mundial de la diversidad biológica posterior a 2020, y, por la presente, decide establecer el mecanismo multilateral de participación en los beneficios que se describe en la decisión 15/--]</w:t>
      </w:r>
      <w:r w:rsidRPr="00AA1454">
        <w:rPr>
          <w:rFonts w:eastAsia="Times New Roman"/>
          <w:lang w:val="es-UY"/>
        </w:rPr>
        <w:t>;]</w:t>
      </w:r>
    </w:p>
    <w:p w14:paraId="5F55EC14" w14:textId="77777777" w:rsidR="00F461FB" w:rsidRPr="00AA1454" w:rsidRDefault="00F461FB">
      <w:pPr>
        <w:pStyle w:val="Para1"/>
        <w:numPr>
          <w:ilvl w:val="0"/>
          <w:numId w:val="20"/>
        </w:numPr>
        <w:tabs>
          <w:tab w:val="clear" w:pos="0"/>
        </w:tabs>
        <w:ind w:left="0" w:firstLine="720"/>
        <w:rPr>
          <w:rFonts w:eastAsia="Times New Roman"/>
          <w:lang w:val="es-UY"/>
        </w:rPr>
      </w:pPr>
      <w:r w:rsidRPr="00AA1454">
        <w:rPr>
          <w:rFonts w:eastAsia="Times New Roman"/>
          <w:kern w:val="22"/>
          <w:lang w:val="es-UY"/>
        </w:rPr>
        <w:t>[Decide establecer un diálogo [entre múltiples interesados</w:t>
      </w:r>
      <w:r w:rsidRPr="00AA1454">
        <w:rPr>
          <w:rFonts w:eastAsia="Times New Roman"/>
          <w:lang w:val="es-UY"/>
        </w:rPr>
        <w:t xml:space="preserve">][intergubernamental] para la coordinación intersectorial sobre cuestiones relacionadas con la información digital sobre secuencias de recursos genéticos [, invitando además a organizaciones internacionales y de múltiples interesados,] [en particular, </w:t>
      </w:r>
      <w:r w:rsidR="00D03BD0" w:rsidRPr="00AA1454">
        <w:rPr>
          <w:rFonts w:eastAsia="Times New Roman"/>
          <w:lang w:val="es-UY"/>
        </w:rPr>
        <w:t xml:space="preserve">sobre </w:t>
      </w:r>
      <w:r w:rsidRPr="00AA1454">
        <w:rPr>
          <w:rFonts w:eastAsia="Times New Roman"/>
          <w:lang w:val="es-UY"/>
        </w:rPr>
        <w:t>cuestiones relacionadas con la creación de capacidad y la transferencia de tecnología para países en desarrollo] con [la cooperación de] organizaciones internacionales pertinentes [e instituciones académicas[, comunidades científicas e industrias]] relacionadas con la información digital sobre secuencias, con miras a promover la coherencia, incluido en materia de terminologías, según proceda, entre órganos creados en virtud de tratados y normas jurídicas internacionales pertinentes, respetando, a la vez, los límites de los respectivos mandatos e instrumentos de cada organización [que no sea contrario a los objetivos del Convenio y sus Protocolos];]</w:t>
      </w:r>
    </w:p>
    <w:p w14:paraId="7E4E95B3" w14:textId="77777777" w:rsidR="00F461FB" w:rsidRPr="00AA1454" w:rsidRDefault="00F461FB">
      <w:pPr>
        <w:pStyle w:val="Para1"/>
        <w:numPr>
          <w:ilvl w:val="0"/>
          <w:numId w:val="20"/>
        </w:numPr>
        <w:tabs>
          <w:tab w:val="clear" w:pos="0"/>
        </w:tabs>
        <w:ind w:left="0" w:firstLine="720"/>
        <w:rPr>
          <w:rFonts w:eastAsia="Times New Roman"/>
          <w:lang w:val="es-UY"/>
        </w:rPr>
      </w:pPr>
      <w:r w:rsidRPr="00AA1454">
        <w:rPr>
          <w:rFonts w:eastAsia="Times New Roman"/>
          <w:lang w:val="es-UY"/>
        </w:rPr>
        <w:t>[Pide a la Asamblea General de las Naciones Unidas que establezca un comité intergubernamental encargado de negociar un instrumento jurídicamente vinculante que rija el acceso y la participación en los beneficios para la información digital sobre secuencias de recursos genéticos;]</w:t>
      </w:r>
    </w:p>
    <w:p w14:paraId="27D1FD73" w14:textId="77777777" w:rsidR="00F461FB" w:rsidRPr="00AA1454" w:rsidRDefault="00F461FB">
      <w:pPr>
        <w:pStyle w:val="Para1"/>
        <w:numPr>
          <w:ilvl w:val="0"/>
          <w:numId w:val="20"/>
        </w:numPr>
        <w:tabs>
          <w:tab w:val="clear" w:pos="0"/>
        </w:tabs>
        <w:ind w:left="0" w:firstLine="720"/>
        <w:rPr>
          <w:rFonts w:eastAsia="Times New Roman"/>
          <w:lang w:val="es-UY"/>
        </w:rPr>
      </w:pPr>
      <w:r w:rsidRPr="00AA1454">
        <w:rPr>
          <w:rFonts w:eastAsia="Times New Roman"/>
          <w:lang w:val="es-UY"/>
        </w:rPr>
        <w:t>[Decide que debería renovarse el mandato del Grupo Especial de Expertos Técnicos ampliado, establecido en virtud de la decisión 14/20, para que examine la diversidad de cuestiones relacionadas con la información digital sobre secuencias de recursos genéticos, incluidos los resultados del diálogo entre múltiples interesados, al que se hace referencia en el párrafo [--] de la presente decisión, y pide al Grupo Especial de Expertos Técnicos que presente sus recomendaciones a la Conferencia de las Partes para que las considere en su 16ª reunión;]</w:t>
      </w:r>
    </w:p>
    <w:p w14:paraId="3DF4DD59" w14:textId="77777777" w:rsidR="00F461FB" w:rsidRPr="00AA1454" w:rsidRDefault="00F461FB">
      <w:pPr>
        <w:pStyle w:val="Para1"/>
        <w:numPr>
          <w:ilvl w:val="0"/>
          <w:numId w:val="20"/>
        </w:numPr>
        <w:tabs>
          <w:tab w:val="clear" w:pos="0"/>
        </w:tabs>
        <w:ind w:left="0" w:firstLine="720"/>
        <w:rPr>
          <w:rFonts w:eastAsia="Times New Roman"/>
          <w:lang w:val="es-UY"/>
        </w:rPr>
      </w:pPr>
      <w:r w:rsidRPr="00AA1454">
        <w:rPr>
          <w:rFonts w:eastAsia="Times New Roman"/>
          <w:lang w:val="es-UY"/>
        </w:rPr>
        <w:t>[</w:t>
      </w:r>
      <w:r w:rsidR="00D03BD0" w:rsidRPr="00AA1454">
        <w:rPr>
          <w:rFonts w:eastAsia="Times New Roman"/>
          <w:lang w:val="es-UY"/>
        </w:rPr>
        <w:t>Una amplia participación de los interesados en un proceso de formulación de políticas para una cuestión compleja como la información digital sobre secuencias de recursos genéticos es crucial para</w:t>
      </w:r>
      <w:r w:rsidRPr="00AA1454">
        <w:rPr>
          <w:rFonts w:eastAsia="Times New Roman"/>
          <w:lang w:val="es-UY"/>
        </w:rPr>
        <w:t xml:space="preserve"> lograr una comprensión pragmática del espectro de opiniones, perspectivas e intereses con miras a avanzar hacia una solución de políticas potencialmente pragmática, que tome en cuenta los intereses de </w:t>
      </w:r>
      <w:r w:rsidRPr="00AA1454">
        <w:rPr>
          <w:rFonts w:eastAsia="Times New Roman"/>
          <w:lang w:val="es-UY"/>
        </w:rPr>
        <w:lastRenderedPageBreak/>
        <w:t>los afectados. Mantener un diálogo continuo entre múltiples interesados también será importante para poder aplicar eficazmente cualquier solución.</w:t>
      </w:r>
      <w:r w:rsidR="002446E4" w:rsidRPr="00AA1454">
        <w:rPr>
          <w:rFonts w:eastAsia="Times New Roman"/>
          <w:lang w:val="es-UY"/>
        </w:rPr>
        <w:t>]</w:t>
      </w:r>
    </w:p>
    <w:p w14:paraId="75DC7E7D" w14:textId="77777777" w:rsidR="00F461FB" w:rsidRPr="00AA1454" w:rsidRDefault="00F461FB">
      <w:pPr>
        <w:jc w:val="left"/>
        <w:rPr>
          <w:rFonts w:eastAsia="Times New Roman"/>
          <w:lang w:val="es-UY"/>
        </w:rPr>
      </w:pPr>
    </w:p>
    <w:p w14:paraId="26ED757A" w14:textId="77777777" w:rsidR="00F461FB" w:rsidRPr="00AA1454" w:rsidRDefault="00F461FB">
      <w:pPr>
        <w:keepNext/>
        <w:spacing w:before="120" w:after="120" w:line="260" w:lineRule="auto"/>
        <w:jc w:val="center"/>
        <w:outlineLvl w:val="2"/>
        <w:rPr>
          <w:rFonts w:eastAsia="Times New Roman"/>
          <w:i/>
          <w:iCs/>
          <w:kern w:val="22"/>
          <w:lang w:val="es-UY"/>
        </w:rPr>
      </w:pPr>
      <w:r w:rsidRPr="00AA1454">
        <w:rPr>
          <w:rFonts w:eastAsia="Times New Roman"/>
          <w:i/>
          <w:iCs/>
          <w:kern w:val="22"/>
          <w:lang w:val="es-UY"/>
        </w:rPr>
        <w:t>[Apéndice de la decisión recomendada a la 15ª reunión de la Conferencia de las Partes</w:t>
      </w:r>
    </w:p>
    <w:p w14:paraId="7EC08ABB" w14:textId="77777777" w:rsidR="00F461FB" w:rsidRPr="00AA1454" w:rsidRDefault="00A6703E">
      <w:pPr>
        <w:keepNext/>
        <w:spacing w:before="120" w:after="120" w:line="260" w:lineRule="auto"/>
        <w:jc w:val="center"/>
        <w:rPr>
          <w:rFonts w:eastAsia="Times New Roman"/>
          <w:b/>
          <w:bCs/>
          <w:kern w:val="22"/>
          <w:lang w:val="es-UY"/>
        </w:rPr>
      </w:pPr>
      <w:r w:rsidRPr="00AA1454">
        <w:rPr>
          <w:rFonts w:eastAsia="Times New Roman"/>
          <w:b/>
          <w:bCs/>
          <w:kern w:val="22"/>
          <w:lang w:val="es-UY"/>
        </w:rPr>
        <w:t>PROPUESTAS DE ENFOQUES MULTILATERALES E HÍBRIDOS PARA LA PARTICIPACIÓN EN LOS BENEFICIOS DE LA UTILIZACIÓN DE INFORMACIÓN DIGITAL SOBRE SECUENCIAS DE RECURSOS GENÉTICO</w:t>
      </w:r>
      <w:r w:rsidR="00F461FB" w:rsidRPr="00AA1454">
        <w:rPr>
          <w:rFonts w:eastAsia="Times New Roman"/>
          <w:b/>
          <w:bCs/>
          <w:kern w:val="22"/>
          <w:lang w:val="es-UY"/>
        </w:rPr>
        <w:t>S</w:t>
      </w:r>
    </w:p>
    <w:p w14:paraId="3B9717BA" w14:textId="77777777" w:rsidR="00F134FC" w:rsidRPr="00AA1454" w:rsidRDefault="00A2493A" w:rsidP="008668B3">
      <w:pPr>
        <w:keepNext/>
        <w:spacing w:before="120" w:after="120" w:line="260" w:lineRule="auto"/>
        <w:ind w:left="264"/>
        <w:jc w:val="left"/>
        <w:rPr>
          <w:rFonts w:eastAsia="Times New Roman"/>
          <w:b/>
          <w:bCs/>
          <w:kern w:val="22"/>
          <w:lang w:val="es-UY"/>
        </w:rPr>
      </w:pPr>
      <w:r w:rsidRPr="00AA1454">
        <w:rPr>
          <w:rFonts w:eastAsia="Times New Roman"/>
          <w:b/>
          <w:bCs/>
          <w:kern w:val="22"/>
          <w:lang w:val="es-UY"/>
        </w:rPr>
        <w:t xml:space="preserve"> </w:t>
      </w:r>
      <w:r w:rsidR="00F134FC" w:rsidRPr="00AA1454">
        <w:rPr>
          <w:rFonts w:eastAsia="Times New Roman"/>
          <w:b/>
          <w:bCs/>
          <w:kern w:val="22"/>
          <w:lang w:val="es-UY"/>
        </w:rPr>
        <w:t xml:space="preserve">A. </w:t>
      </w:r>
      <w:proofErr w:type="gramStart"/>
      <w:r w:rsidR="00B12F46">
        <w:rPr>
          <w:rFonts w:eastAsia="Times New Roman"/>
          <w:b/>
          <w:bCs/>
          <w:kern w:val="22"/>
          <w:lang w:val="es-UY"/>
        </w:rPr>
        <w:tab/>
        <w:t xml:space="preserve">  </w:t>
      </w:r>
      <w:r w:rsidR="00F134FC" w:rsidRPr="00AA1454">
        <w:rPr>
          <w:rFonts w:eastAsia="Calibri"/>
          <w:b/>
          <w:bCs/>
          <w:iCs/>
          <w:snapToGrid/>
          <w:szCs w:val="24"/>
          <w:lang w:val="es-UY" w:eastAsia="en-US"/>
        </w:rPr>
        <w:t>Propuesta</w:t>
      </w:r>
      <w:proofErr w:type="gramEnd"/>
      <w:r w:rsidR="00F134FC" w:rsidRPr="00AA1454">
        <w:rPr>
          <w:rFonts w:eastAsia="Calibri"/>
          <w:b/>
          <w:bCs/>
          <w:iCs/>
          <w:snapToGrid/>
          <w:szCs w:val="24"/>
          <w:lang w:val="es-UY" w:eastAsia="en-US"/>
        </w:rPr>
        <w:t xml:space="preserve"> para el establecimiento de un mecanismo multi</w:t>
      </w:r>
      <w:r w:rsidR="008668B3" w:rsidRPr="00AA1454">
        <w:rPr>
          <w:rFonts w:eastAsia="Calibri"/>
          <w:b/>
          <w:bCs/>
          <w:iCs/>
          <w:snapToGrid/>
          <w:szCs w:val="24"/>
          <w:lang w:val="es-UY" w:eastAsia="en-US"/>
        </w:rPr>
        <w:t xml:space="preserve">lateral de participación en los </w:t>
      </w:r>
      <w:r w:rsidR="008668B3" w:rsidRPr="00AA1454">
        <w:rPr>
          <w:rFonts w:eastAsia="Calibri"/>
          <w:b/>
          <w:bCs/>
          <w:iCs/>
          <w:snapToGrid/>
          <w:szCs w:val="24"/>
          <w:lang w:val="es-UY" w:eastAsia="en-US"/>
        </w:rPr>
        <w:br/>
        <w:t xml:space="preserve">          </w:t>
      </w:r>
      <w:r w:rsidRPr="00AA1454">
        <w:rPr>
          <w:rFonts w:eastAsia="Calibri"/>
          <w:b/>
          <w:bCs/>
          <w:iCs/>
          <w:snapToGrid/>
          <w:szCs w:val="24"/>
          <w:lang w:val="es-UY" w:eastAsia="en-US"/>
        </w:rPr>
        <w:t xml:space="preserve"> </w:t>
      </w:r>
      <w:r w:rsidR="00F134FC" w:rsidRPr="00AA1454">
        <w:rPr>
          <w:rFonts w:eastAsia="Calibri"/>
          <w:b/>
          <w:bCs/>
          <w:iCs/>
          <w:snapToGrid/>
          <w:szCs w:val="24"/>
          <w:lang w:val="es-UY" w:eastAsia="en-US"/>
        </w:rPr>
        <w:t>beneficios</w:t>
      </w:r>
    </w:p>
    <w:p w14:paraId="2E7614B6" w14:textId="77777777" w:rsidR="00F461FB" w:rsidRPr="00AA1454" w:rsidRDefault="00F461FB">
      <w:pPr>
        <w:spacing w:before="120" w:after="120"/>
        <w:rPr>
          <w:rFonts w:eastAsia="Times New Roman"/>
          <w:lang w:val="es-UY"/>
        </w:rPr>
      </w:pPr>
      <w:r w:rsidRPr="00AA1454">
        <w:rPr>
          <w:rFonts w:eastAsia="Times New Roman"/>
          <w:lang w:val="es-UY"/>
        </w:rPr>
        <w:t xml:space="preserve">1. </w:t>
      </w:r>
      <w:r w:rsidRPr="00AA1454">
        <w:rPr>
          <w:rFonts w:eastAsia="Times New Roman"/>
          <w:lang w:val="es-UY"/>
        </w:rPr>
        <w:tab/>
        <w:t>Un mecanismo multilateral de participación en los beneficios podría funcionar de la siguiente manera</w:t>
      </w:r>
      <w:r w:rsidRPr="00AA1454">
        <w:rPr>
          <w:rFonts w:eastAsia="Times New Roman"/>
          <w:kern w:val="22"/>
          <w:vertAlign w:val="superscript"/>
          <w:lang w:val="es-UY"/>
        </w:rPr>
        <w:footnoteReference w:id="3"/>
      </w:r>
      <w:r w:rsidRPr="00AA1454">
        <w:rPr>
          <w:rFonts w:eastAsia="Times New Roman"/>
          <w:lang w:val="es-UY"/>
        </w:rPr>
        <w:t>:</w:t>
      </w:r>
    </w:p>
    <w:p w14:paraId="0305514E" w14:textId="77777777" w:rsidR="00F461FB" w:rsidRPr="00AA1454" w:rsidRDefault="00F461FB">
      <w:pPr>
        <w:numPr>
          <w:ilvl w:val="0"/>
          <w:numId w:val="22"/>
        </w:numPr>
        <w:spacing w:before="120" w:after="120" w:line="260" w:lineRule="auto"/>
        <w:ind w:left="0" w:firstLine="720"/>
        <w:rPr>
          <w:rFonts w:eastAsia="Times New Roman"/>
          <w:lang w:val="es-UY"/>
        </w:rPr>
      </w:pPr>
      <w:r w:rsidRPr="00AA1454">
        <w:rPr>
          <w:rFonts w:eastAsia="Times New Roman"/>
          <w:lang w:val="es-UY"/>
        </w:rPr>
        <w:t>De conformidad con los artículos 20 y 15.7 del Convenio, todas las Partes que son países desarrollados tomarán medidas legislativas, administrativas o de política, según proceda, para garantizar que un 1 % del precio minorista de todos los ingresos comerciales que resulten de la utilización de recursos genéticos, conocimientos tradicionales asociados a recursos genéticos o información digital sobre secuencias de recursos genéticos se comparta a través del mecanismo multilateral de participación en los beneficios para apoyar la conservación y la utilización sostenible de la diversidad biológica, a menos que tales beneficios sean compartidos de otra manera según condiciones mutuamente acordadas establecidas en el sistema bilateral;</w:t>
      </w:r>
    </w:p>
    <w:p w14:paraId="7E0CBFE0" w14:textId="77777777" w:rsidR="00F461FB" w:rsidRPr="00AA1454" w:rsidRDefault="00F461FB">
      <w:pPr>
        <w:numPr>
          <w:ilvl w:val="0"/>
          <w:numId w:val="22"/>
        </w:numPr>
        <w:spacing w:before="120" w:after="120"/>
        <w:ind w:left="0" w:firstLine="720"/>
        <w:rPr>
          <w:rFonts w:eastAsia="Times New Roman"/>
          <w:lang w:val="es-UY"/>
        </w:rPr>
      </w:pPr>
      <w:r w:rsidRPr="00AA1454">
        <w:rPr>
          <w:rFonts w:eastAsia="Times New Roman"/>
          <w:lang w:val="es-UY"/>
        </w:rPr>
        <w:t>Todos los beneficios monetarios compartidos en el marco del mecanismo multilateral de participación en los beneficios se depositarán en un fondo mundial de la diversidad biológica gestionado por el Fondo para el Medio Ambiente Mundial, en calidad de mecanismo financiero del Convenio, y dicho fondo mundial estará también abierto a contribuciones voluntarias de todas las fuentes;</w:t>
      </w:r>
    </w:p>
    <w:p w14:paraId="4A29EA77" w14:textId="77777777" w:rsidR="00F461FB" w:rsidRPr="00AA1454" w:rsidRDefault="00F461FB">
      <w:pPr>
        <w:numPr>
          <w:ilvl w:val="0"/>
          <w:numId w:val="22"/>
        </w:numPr>
        <w:spacing w:before="120" w:after="120"/>
        <w:ind w:left="0" w:firstLine="720"/>
        <w:rPr>
          <w:rFonts w:eastAsia="Times New Roman"/>
          <w:lang w:val="es-UY"/>
        </w:rPr>
      </w:pPr>
      <w:r w:rsidRPr="00AA1454">
        <w:rPr>
          <w:rFonts w:eastAsia="Times New Roman"/>
          <w:lang w:val="es-UY"/>
        </w:rPr>
        <w:t xml:space="preserve">El </w:t>
      </w:r>
      <w:r w:rsidRPr="00AA1454">
        <w:rPr>
          <w:rFonts w:eastAsia="Times New Roman"/>
          <w:kern w:val="22"/>
          <w:lang w:val="es-UY"/>
        </w:rPr>
        <w:t xml:space="preserve">fondo mundial de la diversidad biológica se utilizará, de manera abierta, competitiva y sobre la base de proyectos, para apoyar las actividades sobre el terreno dirigidas a la conservación de la diversidad biológica y la utilización sostenible de sus componentes, en consonancia con el enfoque basado en los ecosistemas, </w:t>
      </w:r>
      <w:r w:rsidR="007B2F1F" w:rsidRPr="00AA1454">
        <w:rPr>
          <w:rFonts w:eastAsia="Times New Roman"/>
          <w:kern w:val="22"/>
          <w:lang w:val="es-UY"/>
        </w:rPr>
        <w:t xml:space="preserve">que </w:t>
      </w:r>
      <w:r w:rsidRPr="00AA1454">
        <w:rPr>
          <w:rFonts w:eastAsia="Times New Roman"/>
          <w:kern w:val="22"/>
          <w:lang w:val="es-UY"/>
        </w:rPr>
        <w:t>llev</w:t>
      </w:r>
      <w:r w:rsidR="007B2F1F" w:rsidRPr="00AA1454">
        <w:rPr>
          <w:rFonts w:eastAsia="Times New Roman"/>
          <w:kern w:val="22"/>
          <w:lang w:val="es-UY"/>
        </w:rPr>
        <w:t>en</w:t>
      </w:r>
      <w:r w:rsidRPr="00AA1454">
        <w:rPr>
          <w:rFonts w:eastAsia="Times New Roman"/>
          <w:kern w:val="22"/>
          <w:lang w:val="es-UY"/>
        </w:rPr>
        <w:t xml:space="preserve"> a cabo pueblos indígenas, comunidades locales y otros, atendiendo las prioridades de gastos que determine periódicamente la Plataforma Intergubernamental Científico-Normativa sobre Diversidad Biológica y Servicios de los Ecosistemas a través de evaluaciones científicas</w:t>
      </w:r>
      <w:r w:rsidRPr="00AA1454">
        <w:rPr>
          <w:rFonts w:eastAsia="Times New Roman"/>
          <w:lang w:val="es-UY"/>
        </w:rPr>
        <w:t>.</w:t>
      </w:r>
    </w:p>
    <w:p w14:paraId="4514ABF9" w14:textId="77777777" w:rsidR="00F461FB" w:rsidRPr="00AA1454" w:rsidRDefault="00F461FB">
      <w:pPr>
        <w:pStyle w:val="Para1"/>
        <w:numPr>
          <w:ilvl w:val="0"/>
          <w:numId w:val="0"/>
        </w:numPr>
        <w:rPr>
          <w:rFonts w:eastAsia="Times New Roman"/>
          <w:kern w:val="22"/>
          <w:lang w:val="es-UY"/>
        </w:rPr>
      </w:pPr>
      <w:r w:rsidRPr="00AA1454">
        <w:rPr>
          <w:rFonts w:eastAsia="Times New Roman"/>
          <w:lang w:val="es-UY"/>
        </w:rPr>
        <w:t>2.</w:t>
      </w:r>
      <w:r w:rsidRPr="00AA1454">
        <w:rPr>
          <w:rFonts w:eastAsia="Times New Roman"/>
          <w:lang w:val="es-UY"/>
        </w:rPr>
        <w:tab/>
      </w:r>
      <w:r w:rsidRPr="00AA1454">
        <w:rPr>
          <w:rFonts w:eastAsia="Times New Roman"/>
          <w:color w:val="000000"/>
          <w:lang w:val="es-UY"/>
        </w:rPr>
        <w:t xml:space="preserve">Se pediría a la </w:t>
      </w:r>
      <w:proofErr w:type="gramStart"/>
      <w:r w:rsidRPr="00AA1454">
        <w:rPr>
          <w:rFonts w:eastAsia="Times New Roman"/>
          <w:color w:val="000000"/>
          <w:lang w:val="es-UY"/>
        </w:rPr>
        <w:t>Secretaria Ejecutiva</w:t>
      </w:r>
      <w:proofErr w:type="gramEnd"/>
      <w:r w:rsidRPr="00AA1454">
        <w:rPr>
          <w:rFonts w:eastAsia="Times New Roman"/>
          <w:color w:val="000000"/>
          <w:lang w:val="es-UY"/>
        </w:rPr>
        <w:t xml:space="preserve"> </w:t>
      </w:r>
      <w:r w:rsidRPr="00AA1454">
        <w:rPr>
          <w:rFonts w:eastAsia="Times New Roman"/>
          <w:color w:val="000000"/>
          <w:kern w:val="22"/>
          <w:lang w:val="es-UY"/>
        </w:rPr>
        <w:t>que, en consulta con todas las Partes y el Fondo para el Medio Ambiente Mundial, prepare opciones de medidas legislativas, administrativas o de política nacionales para implementar un sistema multilateral de participación en los beneficios</w:t>
      </w:r>
      <w:r w:rsidR="007B2F1F" w:rsidRPr="00AA1454">
        <w:rPr>
          <w:rFonts w:eastAsia="Times New Roman"/>
          <w:color w:val="000000"/>
          <w:kern w:val="22"/>
          <w:lang w:val="es-UY"/>
        </w:rPr>
        <w:t>,</w:t>
      </w:r>
      <w:r w:rsidRPr="00AA1454">
        <w:rPr>
          <w:rFonts w:eastAsia="Times New Roman"/>
          <w:color w:val="000000"/>
          <w:kern w:val="22"/>
          <w:lang w:val="es-UY"/>
        </w:rPr>
        <w:t xml:space="preserve"> y que informe al respecto a la Conferencia de las</w:t>
      </w:r>
      <w:r w:rsidRPr="00AA1454">
        <w:rPr>
          <w:rFonts w:eastAsia="Times New Roman"/>
          <w:lang w:val="es-UY"/>
        </w:rPr>
        <w:t xml:space="preserve"> </w:t>
      </w:r>
      <w:r w:rsidRPr="00AA1454">
        <w:rPr>
          <w:rFonts w:eastAsia="Times New Roman"/>
          <w:color w:val="000000"/>
          <w:kern w:val="22"/>
          <w:lang w:val="es-UY"/>
        </w:rPr>
        <w:t>Partes en su 16ª reunión</w:t>
      </w:r>
      <w:r w:rsidRPr="00AA1454">
        <w:rPr>
          <w:rFonts w:eastAsia="Times New Roman"/>
          <w:kern w:val="22"/>
          <w:lang w:val="es-UY"/>
        </w:rPr>
        <w:t>.</w:t>
      </w:r>
    </w:p>
    <w:p w14:paraId="45165A01" w14:textId="77777777" w:rsidR="008668B3" w:rsidRPr="00AA1454" w:rsidRDefault="008668B3" w:rsidP="00A2493A">
      <w:pPr>
        <w:keepNext/>
        <w:tabs>
          <w:tab w:val="left" w:pos="720"/>
        </w:tabs>
        <w:spacing w:before="120" w:after="120"/>
        <w:ind w:left="1080" w:hanging="654"/>
        <w:jc w:val="left"/>
        <w:outlineLvl w:val="1"/>
        <w:rPr>
          <w:rFonts w:eastAsia="Calibri"/>
          <w:b/>
          <w:bCs/>
          <w:iCs/>
          <w:snapToGrid/>
          <w:szCs w:val="24"/>
          <w:lang w:val="es-UY" w:eastAsia="zh-CN"/>
        </w:rPr>
      </w:pPr>
      <w:r w:rsidRPr="00AA1454">
        <w:rPr>
          <w:rFonts w:eastAsia="Calibri"/>
          <w:b/>
          <w:bCs/>
          <w:iCs/>
          <w:snapToGrid/>
          <w:szCs w:val="24"/>
          <w:lang w:val="es-UY" w:eastAsia="zh-CN"/>
        </w:rPr>
        <w:t xml:space="preserve">B. </w:t>
      </w:r>
      <w:r w:rsidRPr="00AA1454">
        <w:rPr>
          <w:rFonts w:eastAsia="Calibri"/>
          <w:b/>
          <w:bCs/>
          <w:iCs/>
          <w:snapToGrid/>
          <w:szCs w:val="24"/>
          <w:lang w:val="es-UY" w:eastAsia="zh-CN"/>
        </w:rPr>
        <w:tab/>
      </w:r>
      <w:r w:rsidR="00B12F46">
        <w:rPr>
          <w:rFonts w:eastAsia="Calibri"/>
          <w:b/>
          <w:bCs/>
          <w:iCs/>
          <w:snapToGrid/>
          <w:szCs w:val="24"/>
          <w:lang w:val="es-UY" w:eastAsia="zh-CN"/>
        </w:rPr>
        <w:tab/>
      </w:r>
      <w:r w:rsidRPr="00AA1454">
        <w:rPr>
          <w:rFonts w:eastAsia="Calibri"/>
          <w:b/>
          <w:bCs/>
          <w:iCs/>
          <w:snapToGrid/>
          <w:szCs w:val="24"/>
          <w:lang w:val="es-UY" w:eastAsia="zh-CN"/>
        </w:rPr>
        <w:t xml:space="preserve">Posibles enfoques para una solución híbrida sobre el acceso y </w:t>
      </w:r>
      <w:r w:rsidR="00B77D56" w:rsidRPr="00AA1454">
        <w:rPr>
          <w:rFonts w:eastAsia="Calibri"/>
          <w:b/>
          <w:bCs/>
          <w:iCs/>
          <w:snapToGrid/>
          <w:szCs w:val="24"/>
          <w:lang w:val="es-UY" w:eastAsia="zh-CN"/>
        </w:rPr>
        <w:t xml:space="preserve">la </w:t>
      </w:r>
      <w:r w:rsidRPr="00AA1454">
        <w:rPr>
          <w:rFonts w:eastAsia="Calibri"/>
          <w:b/>
          <w:bCs/>
          <w:iCs/>
          <w:snapToGrid/>
          <w:szCs w:val="24"/>
          <w:lang w:val="es-UY" w:eastAsia="zh-CN"/>
        </w:rPr>
        <w:t xml:space="preserve">participación en los beneficios derivados de la utilización de información digital sobre secuencias de recursos genéticos </w:t>
      </w:r>
    </w:p>
    <w:p w14:paraId="607BC41E" w14:textId="77777777" w:rsidR="00A57214" w:rsidRDefault="008668B3" w:rsidP="008134D5">
      <w:pPr>
        <w:spacing w:before="120" w:after="120"/>
        <w:rPr>
          <w:rFonts w:eastAsia="Calibri"/>
          <w:szCs w:val="18"/>
          <w:lang w:val="es-UY" w:eastAsia="zh-CN"/>
        </w:rPr>
      </w:pPr>
      <w:r w:rsidRPr="00AA1454">
        <w:rPr>
          <w:rFonts w:eastAsia="Calibri"/>
          <w:lang w:val="es-UY" w:eastAsia="zh-CN"/>
        </w:rPr>
        <w:t xml:space="preserve">1. </w:t>
      </w:r>
      <w:r w:rsidRPr="00AA1454">
        <w:rPr>
          <w:rFonts w:eastAsia="Calibri"/>
          <w:lang w:val="es-UY" w:eastAsia="zh-CN"/>
        </w:rPr>
        <w:tab/>
      </w:r>
      <w:r w:rsidR="00DB45A9" w:rsidRPr="00AA1454">
        <w:rPr>
          <w:rFonts w:eastAsia="Calibri"/>
          <w:szCs w:val="18"/>
          <w:lang w:val="es-UY" w:eastAsia="zh-CN"/>
        </w:rPr>
        <w:t>Los posibles enfoques para una solución híbrida sobre el acceso y la participación en los beneficios derivados del uso de información digital sobre secuencias de recursos genéticos se reflejan en los párrafos 40 a) y b) del documento CBD/WG2020/3/INF/8.</w:t>
      </w:r>
    </w:p>
    <w:p w14:paraId="437B732A" w14:textId="6235CB82" w:rsidR="008668B3" w:rsidRPr="00AA1454" w:rsidRDefault="00ED07C7" w:rsidP="00A57214">
      <w:pPr>
        <w:spacing w:before="120" w:after="120"/>
        <w:rPr>
          <w:rFonts w:eastAsia="Times New Roman"/>
          <w:i/>
          <w:iCs/>
          <w:lang w:val="es-UY"/>
        </w:rPr>
      </w:pPr>
      <w:r w:rsidRPr="00AA1454">
        <w:rPr>
          <w:rFonts w:eastAsia="Times New Roman"/>
          <w:kern w:val="22"/>
          <w:lang w:val="es-UY"/>
        </w:rPr>
        <w:t>]</w:t>
      </w:r>
    </w:p>
    <w:p w14:paraId="71FDE74C" w14:textId="77777777" w:rsidR="00F461FB" w:rsidRPr="00AA1454" w:rsidRDefault="00F461FB" w:rsidP="00FB3A36">
      <w:pPr>
        <w:pStyle w:val="BodyText"/>
        <w:jc w:val="center"/>
        <w:rPr>
          <w:rFonts w:eastAsia="Times New Roman"/>
          <w:lang w:val="es-UY"/>
        </w:rPr>
      </w:pPr>
      <w:r w:rsidRPr="00AA1454">
        <w:rPr>
          <w:rFonts w:eastAsia="Times New Roman"/>
          <w:lang w:val="es-UY"/>
        </w:rPr>
        <w:t>__________</w:t>
      </w:r>
    </w:p>
    <w:sectPr w:rsidR="00F461FB" w:rsidRPr="00AA1454" w:rsidSect="00A57214">
      <w:headerReference w:type="even" r:id="rId10"/>
      <w:headerReference w:type="default" r:id="rId11"/>
      <w:footerReference w:type="even" r:id="rId12"/>
      <w:footerReference w:type="default" r:id="rId13"/>
      <w:headerReference w:type="first" r:id="rId14"/>
      <w:footerReference w:type="first" r:id="rId15"/>
      <w:pgSz w:w="12240" w:h="15840"/>
      <w:pgMar w:top="1022"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2305" w14:textId="77777777" w:rsidR="00143C12" w:rsidRDefault="00143C12">
      <w:pPr>
        <w:rPr>
          <w:rFonts w:eastAsia="Times New Roman"/>
        </w:rPr>
      </w:pPr>
      <w:r>
        <w:rPr>
          <w:rFonts w:eastAsia="Times New Roman"/>
        </w:rPr>
        <w:separator/>
      </w:r>
    </w:p>
  </w:endnote>
  <w:endnote w:type="continuationSeparator" w:id="0">
    <w:p w14:paraId="4AFCB15D" w14:textId="77777777" w:rsidR="00143C12" w:rsidRDefault="00143C12">
      <w:pPr>
        <w:rPr>
          <w:rFonts w:eastAsia="Times New Roman"/>
        </w:rPr>
      </w:pPr>
      <w:r>
        <w:rPr>
          <w:rFonts w:eastAsia="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529B" w14:textId="77777777" w:rsidR="00312F02" w:rsidRDefault="0031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424E" w14:textId="77777777" w:rsidR="00312F02" w:rsidRDefault="00312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5826" w14:textId="77777777" w:rsidR="00312F02" w:rsidRDefault="0031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8D30" w14:textId="77777777" w:rsidR="00143C12" w:rsidRDefault="00143C12">
      <w:pPr>
        <w:rPr>
          <w:rFonts w:eastAsia="Times New Roman"/>
        </w:rPr>
      </w:pPr>
      <w:r>
        <w:rPr>
          <w:rFonts w:eastAsia="Times New Roman"/>
        </w:rPr>
        <w:separator/>
      </w:r>
    </w:p>
  </w:footnote>
  <w:footnote w:type="continuationSeparator" w:id="0">
    <w:p w14:paraId="034E700C" w14:textId="77777777" w:rsidR="00143C12" w:rsidRDefault="00143C12">
      <w:pPr>
        <w:rPr>
          <w:rFonts w:eastAsia="Times New Roman"/>
        </w:rPr>
      </w:pPr>
      <w:r>
        <w:rPr>
          <w:rFonts w:eastAsia="Times New Roman"/>
        </w:rPr>
        <w:continuationSeparator/>
      </w:r>
    </w:p>
  </w:footnote>
  <w:footnote w:id="1">
    <w:p w14:paraId="6CFA04EB" w14:textId="77777777" w:rsidR="00F461FB" w:rsidRPr="003644ED" w:rsidRDefault="00F461FB">
      <w:pPr>
        <w:pStyle w:val="FootnoteText"/>
        <w:ind w:firstLine="0"/>
        <w:rPr>
          <w:rFonts w:eastAsia="Times New Roman"/>
          <w:lang w:val="es-MX"/>
        </w:rPr>
      </w:pPr>
      <w:r w:rsidRPr="00EE4C17">
        <w:rPr>
          <w:rStyle w:val="FootnoteReference"/>
          <w:rFonts w:eastAsia="Times New Roman"/>
          <w:sz w:val="18"/>
          <w:szCs w:val="18"/>
        </w:rPr>
        <w:footnoteRef/>
      </w:r>
      <w:r w:rsidRPr="003644ED">
        <w:rPr>
          <w:rFonts w:eastAsia="Times New Roman"/>
          <w:lang w:val="es-MX"/>
        </w:rPr>
        <w:t xml:space="preserve"> </w:t>
      </w:r>
      <w:r w:rsidRPr="00EE4C17">
        <w:rPr>
          <w:rFonts w:eastAsia="Times New Roman"/>
          <w:lang w:val="es-ES"/>
        </w:rPr>
        <w:t xml:space="preserve">Los siguientes elementos están numerados </w:t>
      </w:r>
      <w:r w:rsidR="003E7380">
        <w:rPr>
          <w:rFonts w:eastAsia="Times New Roman"/>
          <w:lang w:val="es-ES"/>
        </w:rPr>
        <w:t xml:space="preserve">solamente </w:t>
      </w:r>
      <w:r w:rsidRPr="00EE4C17">
        <w:rPr>
          <w:rFonts w:eastAsia="Times New Roman"/>
          <w:lang w:val="es-ES"/>
        </w:rPr>
        <w:t>a efectos de facilitar su referencia.</w:t>
      </w:r>
    </w:p>
  </w:footnote>
  <w:footnote w:id="2">
    <w:p w14:paraId="4E9BA25B" w14:textId="77777777" w:rsidR="00F461FB" w:rsidRPr="003644ED" w:rsidRDefault="00F461FB">
      <w:pPr>
        <w:pStyle w:val="FootnoteText"/>
        <w:ind w:firstLine="0"/>
        <w:rPr>
          <w:rFonts w:eastAsia="Times New Roman"/>
          <w:lang w:val="es-MX"/>
        </w:rPr>
      </w:pPr>
      <w:r>
        <w:rPr>
          <w:rStyle w:val="FootnoteReference"/>
          <w:rFonts w:eastAsia="Times New Roman"/>
        </w:rPr>
        <w:footnoteRef/>
      </w:r>
      <w:r w:rsidRPr="003644ED">
        <w:rPr>
          <w:rFonts w:eastAsia="Times New Roman"/>
          <w:lang w:val="es-MX"/>
        </w:rPr>
        <w:t xml:space="preserve"> </w:t>
      </w:r>
      <w:r>
        <w:rPr>
          <w:rFonts w:eastAsia="Times New Roman"/>
          <w:lang w:val="es-ES"/>
        </w:rPr>
        <w:t>CBD/DSI/AHTEG/2020/1/3, sección 2.3.3</w:t>
      </w:r>
    </w:p>
  </w:footnote>
  <w:footnote w:id="3">
    <w:p w14:paraId="43B067FB" w14:textId="77777777" w:rsidR="00F461FB" w:rsidRPr="003644ED" w:rsidRDefault="00F461FB">
      <w:pPr>
        <w:pStyle w:val="FootnoteText"/>
        <w:ind w:firstLine="0"/>
        <w:rPr>
          <w:rFonts w:eastAsia="Times New Roman"/>
          <w:lang w:val="es-MX"/>
        </w:rPr>
      </w:pPr>
      <w:r>
        <w:rPr>
          <w:rStyle w:val="FootnoteReference"/>
          <w:rFonts w:eastAsia="Times New Roman"/>
        </w:rPr>
        <w:footnoteRef/>
      </w:r>
      <w:r w:rsidRPr="003644ED">
        <w:rPr>
          <w:rFonts w:eastAsia="Times New Roman"/>
          <w:lang w:val="es-MX"/>
        </w:rPr>
        <w:t xml:space="preserve"> </w:t>
      </w:r>
      <w:r>
        <w:rPr>
          <w:rFonts w:eastAsia="Times New Roman"/>
          <w:lang w:val="es-ES"/>
        </w:rPr>
        <w:t>La inclusión de esta opción sugerida se entiende sin perjuicio de las deliberaciones de la Conferencia de las Partes y no tiene por objeto indicar preferencia alguna entre las posibles opciones/soluciones.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510422773"/>
      <w:placeholder>
        <w:docPart w:val="F2E0854AF41A4D56A737993DA3DC8ED1"/>
      </w:placeholder>
      <w:dataBinding w:prefixMappings="xmlns:ns0='http://purl.org/dc/elements/1.1/' xmlns:ns1='http://schemas.openxmlformats.org/package/2006/metadata/core-properties' " w:xpath="/ns1:coreProperties[1]/ns0:subject[1]" w:storeItemID="{6C3C8BC8-F283-45AE-878A-BAB7291924A1}"/>
      <w:text/>
    </w:sdtPr>
    <w:sdtEndPr/>
    <w:sdtContent>
      <w:p w14:paraId="6A82188A" w14:textId="77777777" w:rsidR="00312F02" w:rsidRPr="00134846" w:rsidRDefault="00312F02" w:rsidP="00312F02">
        <w:pPr>
          <w:pStyle w:val="Header"/>
          <w:rPr>
            <w:lang w:val="fr-FR"/>
          </w:rPr>
        </w:pPr>
        <w:r>
          <w:rPr>
            <w:lang w:val="fr-FR"/>
          </w:rPr>
          <w:t>CBD/WG2020/REC/4/2</w:t>
        </w:r>
      </w:p>
    </w:sdtContent>
  </w:sdt>
  <w:p w14:paraId="1BF448F7" w14:textId="77777777" w:rsidR="00F461FB" w:rsidRDefault="00F461FB">
    <w:pPr>
      <w:pStyle w:val="Header"/>
      <w:rPr>
        <w:rFonts w:eastAsia="Times New Roman"/>
      </w:rPr>
    </w:pPr>
    <w:r w:rsidRPr="00BA3A85">
      <w:rPr>
        <w:rFonts w:eastAsia="Times New Roman"/>
        <w:lang w:val="es-UY"/>
      </w:rPr>
      <w:t>Página</w:t>
    </w:r>
    <w:r>
      <w:rPr>
        <w:rFonts w:eastAsia="Times New Roman"/>
      </w:rPr>
      <w:t xml:space="preserve"> </w:t>
    </w:r>
    <w:r>
      <w:rPr>
        <w:rFonts w:eastAsia="Times New Roman"/>
      </w:rPr>
      <w:fldChar w:fldCharType="begin"/>
    </w:r>
    <w:r>
      <w:rPr>
        <w:rFonts w:eastAsia="Times New Roman"/>
      </w:rPr>
      <w:instrText xml:space="preserve"> PAGE   \* MERGEFORMAT </w:instrText>
    </w:r>
    <w:r>
      <w:rPr>
        <w:rFonts w:eastAsia="Times New Roman"/>
      </w:rPr>
      <w:fldChar w:fldCharType="separate"/>
    </w:r>
    <w:r w:rsidR="00FB3A36">
      <w:rPr>
        <w:rFonts w:eastAsia="Times New Roman"/>
        <w:noProof/>
      </w:rPr>
      <w:t>4</w:t>
    </w:r>
    <w:r>
      <w:rPr>
        <w:rFonts w:eastAsia="Times New Roman"/>
      </w:rPr>
      <w:fldChar w:fldCharType="end"/>
    </w:r>
  </w:p>
  <w:p w14:paraId="059FF59D" w14:textId="77777777" w:rsidR="00F461FB" w:rsidRDefault="00F461FB">
    <w:pPr>
      <w:pStyle w:val="Header"/>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5ED9BCC" w14:textId="77777777" w:rsidR="00312F02" w:rsidRDefault="00312F02" w:rsidP="00312F02">
        <w:pPr>
          <w:pStyle w:val="Header"/>
          <w:jc w:val="right"/>
          <w:rPr>
            <w:lang w:val="fr-FR"/>
          </w:rPr>
        </w:pPr>
        <w:r>
          <w:rPr>
            <w:lang w:val="fr-FR"/>
          </w:rPr>
          <w:t>CBD/WG2020/REC/4/2</w:t>
        </w:r>
      </w:p>
    </w:sdtContent>
  </w:sdt>
  <w:p w14:paraId="277EAC44" w14:textId="77777777" w:rsidR="00F461FB" w:rsidRDefault="00F461FB">
    <w:pPr>
      <w:pStyle w:val="Header"/>
      <w:jc w:val="right"/>
      <w:rPr>
        <w:rFonts w:eastAsia="Times New Roman"/>
        <w:noProof/>
        <w:lang w:val="en-US"/>
      </w:rPr>
    </w:pPr>
    <w:r>
      <w:rPr>
        <w:rFonts w:eastAsia="Times New Roman"/>
        <w:noProof/>
        <w:lang w:val="en-US"/>
      </w:rPr>
      <w:t xml:space="preserve">Página </w:t>
    </w:r>
    <w:r>
      <w:rPr>
        <w:rFonts w:eastAsia="Times New Roman"/>
        <w:noProof/>
        <w:lang w:val="en-US"/>
      </w:rPr>
      <w:fldChar w:fldCharType="begin"/>
    </w:r>
    <w:r>
      <w:rPr>
        <w:rFonts w:eastAsia="Times New Roman"/>
        <w:noProof/>
        <w:lang w:val="en-US"/>
      </w:rPr>
      <w:instrText xml:space="preserve"> PAGE   \* MERGEFORMAT </w:instrText>
    </w:r>
    <w:r>
      <w:rPr>
        <w:rFonts w:eastAsia="Times New Roman"/>
        <w:noProof/>
        <w:lang w:val="en-US"/>
      </w:rPr>
      <w:fldChar w:fldCharType="separate"/>
    </w:r>
    <w:r w:rsidR="00FB3A36">
      <w:rPr>
        <w:rFonts w:eastAsia="Times New Roman"/>
        <w:noProof/>
        <w:lang w:val="en-US"/>
      </w:rPr>
      <w:t>5</w:t>
    </w:r>
    <w:r>
      <w:rPr>
        <w:rFonts w:eastAsia="Times New Roman"/>
        <w:noProof/>
        <w:lang w:val="en-US"/>
      </w:rPr>
      <w:fldChar w:fldCharType="end"/>
    </w:r>
  </w:p>
  <w:p w14:paraId="41A3674C" w14:textId="77777777" w:rsidR="00F461FB" w:rsidRDefault="00F461FB">
    <w:pPr>
      <w:pStyle w:val="Header"/>
      <w:rPr>
        <w:rFonts w:eastAsia="Times New Roman"/>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1B6A" w14:textId="77777777" w:rsidR="00312F02" w:rsidRDefault="00312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C865DC"/>
    <w:multiLevelType w:val="multilevel"/>
    <w:tmpl w:val="EFC881E6"/>
    <w:lvl w:ilvl="0">
      <w:start w:val="1"/>
      <w:numFmt w:val="lowerLetter"/>
      <w:lvlText w:val="(%1)"/>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24114B0B"/>
    <w:multiLevelType w:val="hybridMultilevel"/>
    <w:tmpl w:val="7E922D64"/>
    <w:lvl w:ilvl="0" w:tplc="BEF0AD84">
      <w:start w:val="1"/>
      <w:numFmt w:val="lowerRoman"/>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3BF56088"/>
    <w:multiLevelType w:val="hybridMultilevel"/>
    <w:tmpl w:val="270A1C94"/>
    <w:lvl w:ilvl="0" w:tplc="C358B9DC">
      <w:start w:val="1"/>
      <w:numFmt w:val="lowerLetter"/>
      <w:lvlText w:val="%1)"/>
      <w:lvlJc w:val="left"/>
      <w:pPr>
        <w:tabs>
          <w:tab w:val="num" w:pos="360"/>
        </w:tabs>
        <w:ind w:left="10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3AF208A"/>
    <w:multiLevelType w:val="hybridMultilevel"/>
    <w:tmpl w:val="D1DA4E5A"/>
    <w:lvl w:ilvl="0" w:tplc="C358B9DC">
      <w:start w:val="1"/>
      <w:numFmt w:val="lowerLetter"/>
      <w:lvlText w:val="%1)"/>
      <w:lvlJc w:val="left"/>
      <w:pPr>
        <w:tabs>
          <w:tab w:val="num" w:pos="0"/>
        </w:tabs>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EBC6D06"/>
    <w:multiLevelType w:val="hybridMultilevel"/>
    <w:tmpl w:val="29203E7A"/>
    <w:lvl w:ilvl="0" w:tplc="8E2A84E0">
      <w:start w:val="1"/>
      <w:numFmt w:val="lowerLetter"/>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1"/>
  </w:num>
  <w:num w:numId="17">
    <w:abstractNumId w:val="15"/>
  </w:num>
  <w:num w:numId="18">
    <w:abstractNumId w:val="16"/>
  </w:num>
  <w:num w:numId="19">
    <w:abstractNumId w:val="4"/>
  </w:num>
  <w:num w:numId="20">
    <w:abstractNumId w:val="10"/>
  </w:num>
  <w:num w:numId="21">
    <w:abstractNumId w:val="2"/>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activeWritingStyle w:appName="MSWord" w:lang="es-UY" w:vendorID="64" w:dllVersion="6" w:nlCheck="1" w:checkStyle="0"/>
  <w:activeWritingStyle w:appName="MSWord" w:lang="en-US" w:vendorID="64" w:dllVersion="6" w:nlCheck="1" w:checkStyle="1"/>
  <w:activeWritingStyle w:appName="MSWord" w:lang="en-GB" w:vendorID="64" w:dllVersion="6" w:nlCheck="1" w:checkStyle="1"/>
  <w:activeWritingStyle w:appName="MSWord" w:lang="es-MX" w:vendorID="64" w:dllVersion="6" w:nlCheck="1" w:checkStyle="0"/>
  <w:activeWritingStyle w:appName="MSWord" w:lang="es-ES" w:vendorID="64" w:dllVersion="6" w:nlCheck="1" w:checkStyle="0"/>
  <w:activeWritingStyle w:appName="MSWord" w:lang="es-UY"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2575"/>
    <w:rsid w:val="00005AD5"/>
    <w:rsid w:val="000373C1"/>
    <w:rsid w:val="00043DC6"/>
    <w:rsid w:val="00047B89"/>
    <w:rsid w:val="000654B6"/>
    <w:rsid w:val="0007171B"/>
    <w:rsid w:val="00074E24"/>
    <w:rsid w:val="000B4321"/>
    <w:rsid w:val="000D1EF7"/>
    <w:rsid w:val="000E0E23"/>
    <w:rsid w:val="000E673A"/>
    <w:rsid w:val="000F74F5"/>
    <w:rsid w:val="00105372"/>
    <w:rsid w:val="0011367A"/>
    <w:rsid w:val="001169CD"/>
    <w:rsid w:val="001169D5"/>
    <w:rsid w:val="00121308"/>
    <w:rsid w:val="001278DA"/>
    <w:rsid w:val="001312AD"/>
    <w:rsid w:val="00131E7A"/>
    <w:rsid w:val="00134846"/>
    <w:rsid w:val="00143C12"/>
    <w:rsid w:val="00152929"/>
    <w:rsid w:val="001601B5"/>
    <w:rsid w:val="001636D2"/>
    <w:rsid w:val="00172AF6"/>
    <w:rsid w:val="00172D90"/>
    <w:rsid w:val="00176CEE"/>
    <w:rsid w:val="00184EB7"/>
    <w:rsid w:val="00186DD8"/>
    <w:rsid w:val="00196E56"/>
    <w:rsid w:val="001B13FE"/>
    <w:rsid w:val="001F5F4D"/>
    <w:rsid w:val="002132ED"/>
    <w:rsid w:val="00215539"/>
    <w:rsid w:val="002446E4"/>
    <w:rsid w:val="002453C8"/>
    <w:rsid w:val="00274499"/>
    <w:rsid w:val="0028071A"/>
    <w:rsid w:val="00281545"/>
    <w:rsid w:val="002904A9"/>
    <w:rsid w:val="00291520"/>
    <w:rsid w:val="002C4C6E"/>
    <w:rsid w:val="002D4B8D"/>
    <w:rsid w:val="0030169D"/>
    <w:rsid w:val="00301D9F"/>
    <w:rsid w:val="003060EB"/>
    <w:rsid w:val="00311AAC"/>
    <w:rsid w:val="00312F02"/>
    <w:rsid w:val="003153EB"/>
    <w:rsid w:val="003158FA"/>
    <w:rsid w:val="00321985"/>
    <w:rsid w:val="00347493"/>
    <w:rsid w:val="00351205"/>
    <w:rsid w:val="003644ED"/>
    <w:rsid w:val="00372F74"/>
    <w:rsid w:val="003B3C28"/>
    <w:rsid w:val="003D0BA2"/>
    <w:rsid w:val="003D7D75"/>
    <w:rsid w:val="003E7380"/>
    <w:rsid w:val="003F718C"/>
    <w:rsid w:val="003F7224"/>
    <w:rsid w:val="00402015"/>
    <w:rsid w:val="00427D21"/>
    <w:rsid w:val="00457498"/>
    <w:rsid w:val="004644C2"/>
    <w:rsid w:val="00464EC5"/>
    <w:rsid w:val="00467F9C"/>
    <w:rsid w:val="00474DF2"/>
    <w:rsid w:val="004B28DF"/>
    <w:rsid w:val="004B338B"/>
    <w:rsid w:val="004B44DE"/>
    <w:rsid w:val="004C01BF"/>
    <w:rsid w:val="004E0699"/>
    <w:rsid w:val="004F0222"/>
    <w:rsid w:val="004F073D"/>
    <w:rsid w:val="004F4353"/>
    <w:rsid w:val="004F5B1C"/>
    <w:rsid w:val="004F7099"/>
    <w:rsid w:val="00503816"/>
    <w:rsid w:val="00521288"/>
    <w:rsid w:val="00534681"/>
    <w:rsid w:val="00563442"/>
    <w:rsid w:val="00565B42"/>
    <w:rsid w:val="00574DB4"/>
    <w:rsid w:val="00582FF3"/>
    <w:rsid w:val="00590667"/>
    <w:rsid w:val="005A1D66"/>
    <w:rsid w:val="005C4CE6"/>
    <w:rsid w:val="005C54D0"/>
    <w:rsid w:val="005E1665"/>
    <w:rsid w:val="006122BA"/>
    <w:rsid w:val="00623FF2"/>
    <w:rsid w:val="006260DD"/>
    <w:rsid w:val="00645492"/>
    <w:rsid w:val="006571D1"/>
    <w:rsid w:val="006712D1"/>
    <w:rsid w:val="006A6664"/>
    <w:rsid w:val="006B2290"/>
    <w:rsid w:val="006F6D6A"/>
    <w:rsid w:val="007135CE"/>
    <w:rsid w:val="007161D2"/>
    <w:rsid w:val="00717D88"/>
    <w:rsid w:val="00752D23"/>
    <w:rsid w:val="00762A2E"/>
    <w:rsid w:val="0077704A"/>
    <w:rsid w:val="00786056"/>
    <w:rsid w:val="007861E1"/>
    <w:rsid w:val="007942D3"/>
    <w:rsid w:val="007B2099"/>
    <w:rsid w:val="007B2F1F"/>
    <w:rsid w:val="007B6C09"/>
    <w:rsid w:val="007B7383"/>
    <w:rsid w:val="007B7741"/>
    <w:rsid w:val="007D2E09"/>
    <w:rsid w:val="007E09DA"/>
    <w:rsid w:val="007E56F2"/>
    <w:rsid w:val="007F17C0"/>
    <w:rsid w:val="00803866"/>
    <w:rsid w:val="008134D5"/>
    <w:rsid w:val="008178B6"/>
    <w:rsid w:val="00822F2D"/>
    <w:rsid w:val="008340FE"/>
    <w:rsid w:val="008403C0"/>
    <w:rsid w:val="008530EE"/>
    <w:rsid w:val="00855AD1"/>
    <w:rsid w:val="00863B0B"/>
    <w:rsid w:val="00864407"/>
    <w:rsid w:val="00865B74"/>
    <w:rsid w:val="008668B3"/>
    <w:rsid w:val="008926A2"/>
    <w:rsid w:val="008974F0"/>
    <w:rsid w:val="008B012A"/>
    <w:rsid w:val="008C1139"/>
    <w:rsid w:val="008E7656"/>
    <w:rsid w:val="008F73CA"/>
    <w:rsid w:val="009021C8"/>
    <w:rsid w:val="00906E17"/>
    <w:rsid w:val="00911FFA"/>
    <w:rsid w:val="009303DB"/>
    <w:rsid w:val="00930BA1"/>
    <w:rsid w:val="0093169E"/>
    <w:rsid w:val="00935085"/>
    <w:rsid w:val="00941413"/>
    <w:rsid w:val="009505C9"/>
    <w:rsid w:val="00950752"/>
    <w:rsid w:val="009527B2"/>
    <w:rsid w:val="00966424"/>
    <w:rsid w:val="00980F66"/>
    <w:rsid w:val="009C2DE6"/>
    <w:rsid w:val="009C67D3"/>
    <w:rsid w:val="00A04DF9"/>
    <w:rsid w:val="00A05362"/>
    <w:rsid w:val="00A2493A"/>
    <w:rsid w:val="00A41EF0"/>
    <w:rsid w:val="00A56CD5"/>
    <w:rsid w:val="00A57214"/>
    <w:rsid w:val="00A63920"/>
    <w:rsid w:val="00A6703E"/>
    <w:rsid w:val="00A72E1B"/>
    <w:rsid w:val="00AA1454"/>
    <w:rsid w:val="00AA6F92"/>
    <w:rsid w:val="00AB2F97"/>
    <w:rsid w:val="00AB6934"/>
    <w:rsid w:val="00AC1C7F"/>
    <w:rsid w:val="00AD70E9"/>
    <w:rsid w:val="00AE237C"/>
    <w:rsid w:val="00AF42DE"/>
    <w:rsid w:val="00B02AC0"/>
    <w:rsid w:val="00B12F46"/>
    <w:rsid w:val="00B24DFA"/>
    <w:rsid w:val="00B3369F"/>
    <w:rsid w:val="00B423ED"/>
    <w:rsid w:val="00B50FA8"/>
    <w:rsid w:val="00B77D56"/>
    <w:rsid w:val="00B94B77"/>
    <w:rsid w:val="00B94E6C"/>
    <w:rsid w:val="00BA1B38"/>
    <w:rsid w:val="00BA3A85"/>
    <w:rsid w:val="00BB329C"/>
    <w:rsid w:val="00BB4606"/>
    <w:rsid w:val="00BC4512"/>
    <w:rsid w:val="00BC64E1"/>
    <w:rsid w:val="00BD5117"/>
    <w:rsid w:val="00BE2453"/>
    <w:rsid w:val="00C21C3F"/>
    <w:rsid w:val="00C23D2F"/>
    <w:rsid w:val="00C316BD"/>
    <w:rsid w:val="00C443BD"/>
    <w:rsid w:val="00C451C5"/>
    <w:rsid w:val="00C55886"/>
    <w:rsid w:val="00C67FA2"/>
    <w:rsid w:val="00C9161D"/>
    <w:rsid w:val="00CA0C1D"/>
    <w:rsid w:val="00CC15C9"/>
    <w:rsid w:val="00CD0011"/>
    <w:rsid w:val="00CD7779"/>
    <w:rsid w:val="00CE26A1"/>
    <w:rsid w:val="00CE2C0E"/>
    <w:rsid w:val="00CF1848"/>
    <w:rsid w:val="00D03BD0"/>
    <w:rsid w:val="00D04875"/>
    <w:rsid w:val="00D11EA7"/>
    <w:rsid w:val="00D12044"/>
    <w:rsid w:val="00D137AF"/>
    <w:rsid w:val="00D24410"/>
    <w:rsid w:val="00D33EFC"/>
    <w:rsid w:val="00D40DBC"/>
    <w:rsid w:val="00D62BBA"/>
    <w:rsid w:val="00D76A18"/>
    <w:rsid w:val="00D80849"/>
    <w:rsid w:val="00D82E8F"/>
    <w:rsid w:val="00D85F4A"/>
    <w:rsid w:val="00D97624"/>
    <w:rsid w:val="00DA67A6"/>
    <w:rsid w:val="00DB3534"/>
    <w:rsid w:val="00DB45A9"/>
    <w:rsid w:val="00DC2B4C"/>
    <w:rsid w:val="00DD118C"/>
    <w:rsid w:val="00DD49E9"/>
    <w:rsid w:val="00E127E6"/>
    <w:rsid w:val="00E32075"/>
    <w:rsid w:val="00E46652"/>
    <w:rsid w:val="00E66235"/>
    <w:rsid w:val="00E771FA"/>
    <w:rsid w:val="00E82576"/>
    <w:rsid w:val="00E83C24"/>
    <w:rsid w:val="00E9318D"/>
    <w:rsid w:val="00ED07C7"/>
    <w:rsid w:val="00EE4C17"/>
    <w:rsid w:val="00EE4F45"/>
    <w:rsid w:val="00EE5245"/>
    <w:rsid w:val="00EE630D"/>
    <w:rsid w:val="00F041DD"/>
    <w:rsid w:val="00F134FC"/>
    <w:rsid w:val="00F22575"/>
    <w:rsid w:val="00F24A53"/>
    <w:rsid w:val="00F461FB"/>
    <w:rsid w:val="00F53193"/>
    <w:rsid w:val="00F5357E"/>
    <w:rsid w:val="00F56FC7"/>
    <w:rsid w:val="00F6586C"/>
    <w:rsid w:val="00F72FE6"/>
    <w:rsid w:val="00F94774"/>
    <w:rsid w:val="00F948F0"/>
    <w:rsid w:val="00FA663B"/>
    <w:rsid w:val="00FB3A36"/>
    <w:rsid w:val="00FC53DB"/>
    <w:rsid w:val="00FD22E7"/>
    <w:rsid w:val="00FF1E1D"/>
    <w:rsid w:val="00FF1FC4"/>
    <w:rsid w:val="00FF4E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40C0C53"/>
  <w15:docId w15:val="{07C01D8B-D91B-45BE-A99D-5CDE0D84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Heading8Char"/>
    <w:qFormat/>
    <w:pPr>
      <w:jc w:val="both"/>
    </w:pPr>
    <w:rPr>
      <w:rFonts w:eastAsia="MS Mincho"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cs="Univers"/>
      <w:b/>
      <w:bCs/>
      <w:sz w:val="28"/>
      <w:szCs w:val="28"/>
    </w:rPr>
  </w:style>
  <w:style w:type="paragraph" w:styleId="Heading8">
    <w:name w:val="heading 8"/>
    <w:basedOn w:val="Normal"/>
    <w:next w:val="Normal"/>
    <w:qFormat/>
    <w:pPr>
      <w:keepNext/>
      <w:jc w:val="right"/>
      <w:outlineLvl w:val="7"/>
    </w:pPr>
    <w:rPr>
      <w:rFonts w:ascii="Univers" w:hAnsi="Univers" w:cs="Univers"/>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Pr>
      <w:color w:val="808080"/>
    </w:rPr>
  </w:style>
  <w:style w:type="paragraph" w:styleId="Header">
    <w:name w:val="header"/>
    <w:basedOn w:val="Normal"/>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rFonts w:eastAsia="Times New Roman"/>
      <w:i/>
      <w:iCs/>
      <w:color w:val="4F81BD"/>
      <w:spacing w:val="15"/>
      <w:sz w:val="24"/>
      <w:szCs w:val="24"/>
    </w:rPr>
  </w:style>
  <w:style w:type="character" w:customStyle="1" w:styleId="SubtitleChar">
    <w:name w:val="Subtitle Char"/>
    <w:basedOn w:val="DefaultParagraphFont"/>
    <w:locked/>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pPr>
      <w:spacing w:before="120" w:after="120"/>
      <w:ind w:firstLine="720"/>
    </w:pPr>
  </w:style>
  <w:style w:type="character" w:customStyle="1" w:styleId="BalloonTextChar1">
    <w:name w:val="Balloon Text Char1"/>
    <w:basedOn w:val="DefaultParagraphFont"/>
    <w:link w:val="BalloonText"/>
    <w:locked/>
    <w:rPr>
      <w:rFonts w:ascii="Times New Roman" w:hAnsi="Times New Roman" w:cs="Times New Roman"/>
      <w:sz w:val="22"/>
      <w:szCs w:val="22"/>
      <w:lang w:val="en-GB"/>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sz w:val="22"/>
      <w:szCs w:val="22"/>
      <w:u w:val="none"/>
      <w:vertAlign w:val="superscript"/>
    </w:rPr>
  </w:style>
  <w:style w:type="paragraph" w:styleId="FootnoteText">
    <w:name w:val="footnote text"/>
    <w:basedOn w:val="Normal"/>
    <w:semiHidden/>
    <w:pPr>
      <w:keepLines/>
      <w:spacing w:after="60"/>
      <w:ind w:firstLine="720"/>
    </w:pPr>
    <w:rPr>
      <w:sz w:val="18"/>
      <w:szCs w:val="18"/>
    </w:rPr>
  </w:style>
  <w:style w:type="character" w:customStyle="1" w:styleId="FootnoteTextChar">
    <w:name w:val="Footnote Text Char"/>
    <w:basedOn w:val="DefaultParagraphFont"/>
    <w:semiHidden/>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Univers" w:hAnsi="Univers" w:cs="Univers"/>
      <w:b/>
      <w:bCs/>
      <w:sz w:val="28"/>
      <w:szCs w:val="28"/>
      <w:lang w:val="en-GB"/>
    </w:rPr>
  </w:style>
  <w:style w:type="character" w:customStyle="1" w:styleId="Heading8Char">
    <w:name w:val="Heading 8 Char"/>
    <w:basedOn w:val="DefaultParagraphFont"/>
    <w:locked/>
    <w:rPr>
      <w:rFonts w:ascii="Univers" w:hAnsi="Univers" w:cs="Univers"/>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4"/>
      </w:numPr>
      <w:tabs>
        <w:tab w:val="clear" w:pos="360"/>
      </w:tabs>
      <w:spacing w:before="120" w:after="120"/>
    </w:p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styleId="Revision">
    <w:name w:val="Revision"/>
    <w:hidden/>
    <w:semiHidden/>
    <w:rPr>
      <w:rFonts w:eastAsia="MS Mincho" w:cs="Times New Roman"/>
      <w:snapToGrid w:val="0"/>
      <w:sz w:val="22"/>
      <w:szCs w:val="22"/>
      <w:lang w:val="en-GB" w:eastAsia="ko-KR"/>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ommentSubjectChar">
    <w:name w:val="Comment Subject Char"/>
    <w:basedOn w:val="CommentTextChar"/>
    <w:semiHidden/>
    <w:locked/>
    <w:rPr>
      <w:rFonts w:ascii="Times New Roman" w:hAnsi="Times New Roman" w:cs="Times New Roman"/>
      <w:b/>
      <w:bCs/>
      <w:sz w:val="20"/>
      <w:szCs w:val="20"/>
      <w:lang w:val="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5A6A14B8FC458B88938CAD9EA33734"/>
        <w:category>
          <w:name w:val="General"/>
          <w:gallery w:val="placeholder"/>
        </w:category>
        <w:types>
          <w:type w:val="bbPlcHdr"/>
        </w:types>
        <w:behaviors>
          <w:behavior w:val="content"/>
        </w:behaviors>
        <w:guid w:val="{8AFFFE17-764F-43D2-A597-88B41E613A42}"/>
      </w:docPartPr>
      <w:docPartBody>
        <w:p w:rsidR="008B7839" w:rsidRDefault="002E6A1E" w:rsidP="002E6A1E">
          <w:pPr>
            <w:pStyle w:val="BF5A6A14B8FC458B88938CAD9EA33734"/>
          </w:pPr>
          <w:r w:rsidRPr="007E02EB">
            <w:rPr>
              <w:rStyle w:val="PlaceholderText"/>
            </w:rPr>
            <w:t>[Subject]</w:t>
          </w:r>
        </w:p>
      </w:docPartBody>
    </w:docPart>
    <w:docPart>
      <w:docPartPr>
        <w:name w:val="470B7046CBFB4DF39E9706EBAA631383"/>
        <w:category>
          <w:name w:val="General"/>
          <w:gallery w:val="placeholder"/>
        </w:category>
        <w:types>
          <w:type w:val="bbPlcHdr"/>
        </w:types>
        <w:behaviors>
          <w:behavior w:val="content"/>
        </w:behaviors>
        <w:guid w:val="{ECF1992B-0B34-4CB1-8A8B-97F586D1C65D}"/>
      </w:docPartPr>
      <w:docPartBody>
        <w:p w:rsidR="00DE4B92" w:rsidRDefault="00F94514" w:rsidP="00F94514">
          <w:pPr>
            <w:pStyle w:val="470B7046CBFB4DF39E9706EBAA631383"/>
          </w:pPr>
          <w:r w:rsidRPr="007E02EB">
            <w:rPr>
              <w:rStyle w:val="PlaceholderText"/>
            </w:rPr>
            <w:t>[Title]</w:t>
          </w:r>
        </w:p>
      </w:docPartBody>
    </w:docPart>
    <w:docPart>
      <w:docPartPr>
        <w:name w:val="F2E0854AF41A4D56A737993DA3DC8ED1"/>
        <w:category>
          <w:name w:val="General"/>
          <w:gallery w:val="placeholder"/>
        </w:category>
        <w:types>
          <w:type w:val="bbPlcHdr"/>
        </w:types>
        <w:behaviors>
          <w:behavior w:val="content"/>
        </w:behaviors>
        <w:guid w:val="{715458B7-B494-4F8D-AF3E-91039F508012}"/>
      </w:docPartPr>
      <w:docPartBody>
        <w:p w:rsidR="00DE4B92" w:rsidRDefault="00F94514" w:rsidP="00F94514">
          <w:pPr>
            <w:pStyle w:val="F2E0854AF41A4D56A737993DA3DC8ED1"/>
          </w:pPr>
          <w:r w:rsidRPr="00345DF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1E"/>
    <w:rsid w:val="00162C4A"/>
    <w:rsid w:val="002E6A1E"/>
    <w:rsid w:val="004607D5"/>
    <w:rsid w:val="005916C4"/>
    <w:rsid w:val="006B594D"/>
    <w:rsid w:val="008B7839"/>
    <w:rsid w:val="00A80520"/>
    <w:rsid w:val="00DE4B92"/>
    <w:rsid w:val="00F945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4514"/>
    <w:rPr>
      <w:color w:val="808080"/>
    </w:rPr>
  </w:style>
  <w:style w:type="paragraph" w:customStyle="1" w:styleId="BF5A6A14B8FC458B88938CAD9EA33734">
    <w:name w:val="BF5A6A14B8FC458B88938CAD9EA33734"/>
    <w:rsid w:val="002E6A1E"/>
  </w:style>
  <w:style w:type="paragraph" w:customStyle="1" w:styleId="470B7046CBFB4DF39E9706EBAA631383">
    <w:name w:val="470B7046CBFB4DF39E9706EBAA631383"/>
    <w:rsid w:val="00F94514"/>
  </w:style>
  <w:style w:type="paragraph" w:customStyle="1" w:styleId="F2E0854AF41A4D56A737993DA3DC8ED1">
    <w:name w:val="F2E0854AF41A4D56A737993DA3DC8ED1"/>
    <w:rsid w:val="00F94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RECOMENDACIÓN ADOPTADA POR EL GRUPO DE TRABAJO SOBRE EL MARCO MUNDIAL DE LA DIVERSIDAD BIOLÓGICA POSTERIOR A 2020</vt:lpstr>
    </vt:vector>
  </TitlesOfParts>
  <Company>SCBD</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GRUPO DE TRABAJO SOBRE EL MARCO MUNDIAL DE LA DIVERSIDAD BIOLÓGICA POSTERIOR A 2020</dc:title>
  <dc:subject>CBD/WG2020/REC/4/2</dc:subject>
  <dc:creator>Veronique</dc:creator>
  <cp:keywords>Subsidiary Body on Implementation, Implementation of the Convention</cp:keywords>
  <cp:lastModifiedBy>Xue He Yan</cp:lastModifiedBy>
  <cp:revision>64</cp:revision>
  <cp:lastPrinted>2022-06-25T21:20:00Z</cp:lastPrinted>
  <dcterms:created xsi:type="dcterms:W3CDTF">2022-06-25T23:09:00Z</dcterms:created>
  <dcterms:modified xsi:type="dcterms:W3CDTF">2022-08-05T17:59:00Z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0x010100CE5168B70EF8A948A2BF18FDAD9143CB</vt:lpwstr>
  </property>
</Properties>
</file>