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94A16" w:rsidRPr="00FF1AFD" w14:paraId="2B214BBA" w14:textId="77777777" w:rsidTr="004F0B45">
        <w:trPr>
          <w:trHeight w:val="844"/>
        </w:trPr>
        <w:tc>
          <w:tcPr>
            <w:tcW w:w="976" w:type="dxa"/>
            <w:tcBorders>
              <w:bottom w:val="single" w:sz="12" w:space="0" w:color="auto"/>
            </w:tcBorders>
          </w:tcPr>
          <w:p w14:paraId="0B0E95C6" w14:textId="77777777" w:rsidR="00994A16" w:rsidRPr="00771552" w:rsidRDefault="00994A16" w:rsidP="004F0B45">
            <w:pPr>
              <w:suppressLineNumbers/>
              <w:suppressAutoHyphens/>
              <w:rPr>
                <w:snapToGrid w:val="0"/>
                <w:kern w:val="22"/>
              </w:rPr>
            </w:pPr>
            <w:r>
              <w:rPr>
                <w:noProof/>
                <w:snapToGrid w:val="0"/>
                <w:kern w:val="22"/>
                <w:lang w:val="es-ES_tradnl" w:eastAsia="es-ES_tradnl"/>
              </w:rPr>
              <w:drawing>
                <wp:anchor distT="0" distB="0" distL="114300" distR="114300" simplePos="0" relativeHeight="251659264" behindDoc="0" locked="0" layoutInCell="1" allowOverlap="1" wp14:anchorId="492AECB2" wp14:editId="0EC74F18">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49948D4B" w14:textId="77777777" w:rsidR="00994A16" w:rsidRPr="00771552" w:rsidRDefault="00994A16" w:rsidP="004F0B45">
            <w:pPr>
              <w:suppressLineNumbers/>
              <w:suppressAutoHyphens/>
              <w:rPr>
                <w:snapToGrid w:val="0"/>
                <w:kern w:val="22"/>
              </w:rPr>
            </w:pPr>
            <w:r w:rsidRPr="00F81F8A">
              <w:rPr>
                <w:noProof/>
                <w:lang w:val="es-ES_tradnl" w:eastAsia="es-ES_tradnl"/>
              </w:rPr>
              <w:drawing>
                <wp:inline distT="0" distB="0" distL="0" distR="0" wp14:anchorId="0F320AD0" wp14:editId="0DD57ECB">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9"/>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62FD5135" w14:textId="77777777" w:rsidR="00994A16" w:rsidRPr="00771552" w:rsidRDefault="00994A16" w:rsidP="004F0B45">
            <w:pPr>
              <w:suppressLineNumbers/>
              <w:suppressAutoHyphens/>
              <w:jc w:val="right"/>
              <w:rPr>
                <w:rFonts w:ascii="Arial" w:hAnsi="Arial" w:cs="Arial"/>
                <w:b/>
                <w:snapToGrid w:val="0"/>
                <w:kern w:val="22"/>
                <w:sz w:val="32"/>
                <w:szCs w:val="32"/>
              </w:rPr>
            </w:pPr>
            <w:r>
              <w:rPr>
                <w:rFonts w:ascii="Arial" w:hAnsi="Arial" w:cs="Arial"/>
                <w:b/>
                <w:bCs/>
                <w:snapToGrid w:val="0"/>
                <w:kern w:val="22"/>
                <w:sz w:val="32"/>
                <w:szCs w:val="32"/>
              </w:rPr>
              <w:t>CBD</w:t>
            </w:r>
          </w:p>
        </w:tc>
      </w:tr>
      <w:tr w:rsidR="00994A16" w:rsidRPr="00FF1AFD" w14:paraId="2BC83C17" w14:textId="77777777" w:rsidTr="004F0B45">
        <w:tc>
          <w:tcPr>
            <w:tcW w:w="6117" w:type="dxa"/>
            <w:gridSpan w:val="2"/>
            <w:tcBorders>
              <w:top w:val="single" w:sz="12" w:space="0" w:color="auto"/>
              <w:bottom w:val="single" w:sz="36" w:space="0" w:color="auto"/>
            </w:tcBorders>
            <w:vAlign w:val="center"/>
          </w:tcPr>
          <w:p w14:paraId="3762E082" w14:textId="77777777" w:rsidR="00994A16" w:rsidRPr="00771552" w:rsidRDefault="00994A16" w:rsidP="004F0B45">
            <w:pPr>
              <w:suppressLineNumbers/>
              <w:suppressAutoHyphens/>
              <w:rPr>
                <w:snapToGrid w:val="0"/>
                <w:kern w:val="22"/>
              </w:rPr>
            </w:pPr>
            <w:r w:rsidRPr="00F81F8A">
              <w:rPr>
                <w:noProof/>
                <w:snapToGrid w:val="0"/>
                <w:kern w:val="22"/>
                <w:lang w:val="es-ES_tradnl" w:eastAsia="es-ES_tradnl"/>
              </w:rPr>
              <w:drawing>
                <wp:inline distT="0" distB="0" distL="0" distR="0" wp14:anchorId="526DF22F" wp14:editId="5EF0D701">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0"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674BAF12" w14:textId="77777777" w:rsidR="00994A16" w:rsidRPr="00771552" w:rsidRDefault="00994A16" w:rsidP="004F0B45">
            <w:pPr>
              <w:suppressLineNumbers/>
              <w:suppressAutoHyphens/>
              <w:ind w:left="1215"/>
              <w:rPr>
                <w:snapToGrid w:val="0"/>
                <w:kern w:val="22"/>
                <w:szCs w:val="22"/>
              </w:rPr>
            </w:pPr>
            <w:r w:rsidRPr="00E34AF5">
              <w:rPr>
                <w:snapToGrid w:val="0"/>
                <w:kern w:val="22"/>
                <w:szCs w:val="22"/>
                <w:lang w:val="en-US"/>
              </w:rPr>
              <w:t>Distr.</w:t>
            </w:r>
          </w:p>
          <w:p w14:paraId="5D882931" w14:textId="1C801E0E" w:rsidR="00994A16" w:rsidRPr="00771552" w:rsidRDefault="00653B83" w:rsidP="004F0B45">
            <w:pPr>
              <w:suppressLineNumbers/>
              <w:suppressAutoHyphens/>
              <w:ind w:left="1215"/>
              <w:jc w:val="left"/>
              <w:rPr>
                <w:snapToGrid w:val="0"/>
                <w:kern w:val="22"/>
                <w:szCs w:val="22"/>
              </w:rPr>
            </w:pPr>
            <w:sdt>
              <w:sdtPr>
                <w:rPr>
                  <w:snapToGrid w:val="0"/>
                  <w:kern w:val="22"/>
                  <w:szCs w:val="22"/>
                </w:rPr>
                <w:alias w:val="Status"/>
                <w:tag w:val=""/>
                <w:id w:val="307985777"/>
                <w:placeholder>
                  <w:docPart w:val="0304D75EC7B47345A8D0D10A533130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994A16" w:rsidRPr="00FA2436">
                  <w:rPr>
                    <w:snapToGrid w:val="0"/>
                    <w:kern w:val="22"/>
                    <w:szCs w:val="22"/>
                  </w:rPr>
                  <w:t>GENERAL</w:t>
                </w:r>
              </w:sdtContent>
            </w:sdt>
          </w:p>
          <w:p w14:paraId="4BA12CF8" w14:textId="77777777" w:rsidR="00994A16" w:rsidRPr="00771552" w:rsidRDefault="00994A16" w:rsidP="004F0B45">
            <w:pPr>
              <w:suppressLineNumbers/>
              <w:suppressAutoHyphens/>
              <w:ind w:left="1215"/>
              <w:rPr>
                <w:snapToGrid w:val="0"/>
                <w:kern w:val="22"/>
                <w:szCs w:val="22"/>
              </w:rPr>
            </w:pPr>
          </w:p>
          <w:p w14:paraId="0146FCB7" w14:textId="1D5E00CE" w:rsidR="00994A16" w:rsidRPr="00771552" w:rsidRDefault="00653B83" w:rsidP="004F0B45">
            <w:pPr>
              <w:suppressLineNumbers/>
              <w:suppressAutoHyphens/>
              <w:ind w:left="1215"/>
              <w:rPr>
                <w:snapToGrid w:val="0"/>
                <w:kern w:val="22"/>
                <w:szCs w:val="22"/>
              </w:rPr>
            </w:pPr>
            <w:sdt>
              <w:sdtPr>
                <w:rPr>
                  <w:snapToGrid w:val="0"/>
                  <w:kern w:val="22"/>
                  <w:szCs w:val="22"/>
                </w:rPr>
                <w:alias w:val="Subject"/>
                <w:tag w:val=""/>
                <w:id w:val="2137136483"/>
                <w:placeholder>
                  <w:docPart w:val="B150CAC2BDB40148B3917DD44FEE1AD7"/>
                </w:placeholder>
                <w:dataBinding w:prefixMappings="xmlns:ns0='http://purl.org/dc/elements/1.1/' xmlns:ns1='http://schemas.openxmlformats.org/package/2006/metadata/core-properties' " w:xpath="/ns1:coreProperties[1]/ns0:subject[1]" w:storeItemID="{6C3C8BC8-F283-45AE-878A-BAB7291924A1}"/>
                <w:text/>
              </w:sdtPr>
              <w:sdtEndPr/>
              <w:sdtContent>
                <w:r w:rsidR="00994A16" w:rsidRPr="00E50F80">
                  <w:rPr>
                    <w:snapToGrid w:val="0"/>
                    <w:kern w:val="22"/>
                    <w:szCs w:val="22"/>
                  </w:rPr>
                  <w:t>CBD/WG2020/REC/4/2</w:t>
                </w:r>
              </w:sdtContent>
            </w:sdt>
          </w:p>
          <w:p w14:paraId="1B59AB0F" w14:textId="16C7C146" w:rsidR="00994A16" w:rsidRPr="00771552" w:rsidRDefault="00653B83" w:rsidP="004F0B45">
            <w:pPr>
              <w:suppressLineNumbers/>
              <w:suppressAutoHyphens/>
              <w:ind w:left="1215"/>
              <w:jc w:val="left"/>
              <w:rPr>
                <w:snapToGrid w:val="0"/>
                <w:kern w:val="22"/>
                <w:szCs w:val="22"/>
              </w:rPr>
            </w:pPr>
            <w:sdt>
              <w:sdtPr>
                <w:rPr>
                  <w:snapToGrid w:val="0"/>
                  <w:kern w:val="22"/>
                  <w:szCs w:val="22"/>
                </w:rPr>
                <w:alias w:val="Publish Date"/>
                <w:tag w:val=""/>
                <w:id w:val="276757068"/>
                <w:placeholder>
                  <w:docPart w:val="7DF4C43ABEC08B44B9288AB5C564D884"/>
                </w:placeholder>
                <w:dataBinding w:prefixMappings="xmlns:ns0='http://schemas.microsoft.com/office/2006/coverPageProps' " w:xpath="/ns0:CoverPageProperties[1]/ns0:PublishDate[1]" w:storeItemID="{55AF091B-3C7A-41E3-B477-F2FDAA23CFDA}"/>
                <w:date w:fullDate="2022-06-26T00:00:00Z">
                  <w:dateFormat w:val="d MMMM yyyy"/>
                  <w:lid w:val="en-US"/>
                  <w:storeMappedDataAs w:val="dateTime"/>
                  <w:calendar w:val="gregorian"/>
                </w:date>
              </w:sdtPr>
              <w:sdtEndPr/>
              <w:sdtContent>
                <w:r w:rsidR="00994A16" w:rsidRPr="00E87FEF">
                  <w:rPr>
                    <w:snapToGrid w:val="0"/>
                    <w:kern w:val="22"/>
                    <w:szCs w:val="22"/>
                  </w:rPr>
                  <w:t>26 June 2022</w:t>
                </w:r>
              </w:sdtContent>
            </w:sdt>
          </w:p>
          <w:p w14:paraId="5A04293A" w14:textId="77777777" w:rsidR="00994A16" w:rsidRPr="008849A6" w:rsidRDefault="00994A16" w:rsidP="004F0B45">
            <w:pPr>
              <w:suppressLineNumbers/>
              <w:suppressAutoHyphens/>
              <w:ind w:left="1215"/>
              <w:rPr>
                <w:snapToGrid w:val="0"/>
                <w:kern w:val="22"/>
                <w:szCs w:val="22"/>
                <w:lang w:val="en-US"/>
              </w:rPr>
            </w:pPr>
          </w:p>
          <w:p w14:paraId="6CAE860C" w14:textId="77777777" w:rsidR="00994A16" w:rsidRPr="00E34AF5" w:rsidRDefault="00994A16" w:rsidP="004F0B45">
            <w:pPr>
              <w:suppressLineNumbers/>
              <w:suppressAutoHyphens/>
              <w:ind w:left="1215"/>
              <w:rPr>
                <w:snapToGrid w:val="0"/>
                <w:kern w:val="22"/>
                <w:szCs w:val="22"/>
                <w:lang w:val="en-US"/>
              </w:rPr>
            </w:pPr>
            <w:r>
              <w:rPr>
                <w:snapToGrid w:val="0"/>
                <w:kern w:val="22"/>
                <w:szCs w:val="22"/>
                <w:lang w:val="en-US"/>
              </w:rPr>
              <w:t>RUSSIAN</w:t>
            </w:r>
          </w:p>
          <w:p w14:paraId="7E597922" w14:textId="77777777" w:rsidR="00994A16" w:rsidRPr="00771552" w:rsidRDefault="00994A16" w:rsidP="004F0B45">
            <w:pPr>
              <w:suppressLineNumbers/>
              <w:suppressAutoHyphens/>
              <w:ind w:left="1215"/>
              <w:rPr>
                <w:snapToGrid w:val="0"/>
                <w:kern w:val="22"/>
                <w:szCs w:val="22"/>
              </w:rPr>
            </w:pPr>
            <w:r>
              <w:rPr>
                <w:snapToGrid w:val="0"/>
                <w:kern w:val="22"/>
                <w:szCs w:val="22"/>
              </w:rPr>
              <w:t>ORIGINAL: ENGLISH</w:t>
            </w:r>
          </w:p>
          <w:p w14:paraId="49891A71" w14:textId="77777777" w:rsidR="00994A16" w:rsidRPr="00771552" w:rsidRDefault="00994A16" w:rsidP="004F0B45">
            <w:pPr>
              <w:suppressLineNumbers/>
              <w:suppressAutoHyphens/>
              <w:rPr>
                <w:snapToGrid w:val="0"/>
                <w:kern w:val="22"/>
                <w:szCs w:val="22"/>
              </w:rPr>
            </w:pPr>
          </w:p>
        </w:tc>
      </w:tr>
    </w:tbl>
    <w:p w14:paraId="3BB60C6E" w14:textId="77777777" w:rsidR="00994A16" w:rsidRPr="00E34AF5" w:rsidRDefault="00994A16" w:rsidP="00994A16">
      <w:pPr>
        <w:pStyle w:val="meetingname"/>
        <w:suppressLineNumbers/>
        <w:suppressAutoHyphens/>
        <w:ind w:right="4373"/>
        <w:jc w:val="left"/>
        <w:rPr>
          <w:caps w:val="0"/>
          <w:snapToGrid w:val="0"/>
          <w:kern w:val="22"/>
          <w:lang w:val="ru-RU"/>
        </w:rPr>
      </w:pPr>
      <w:r w:rsidRPr="008849A6">
        <w:rPr>
          <w:caps w:val="0"/>
          <w:snapToGrid w:val="0"/>
          <w:kern w:val="22"/>
          <w:lang w:val="ru-RU"/>
        </w:rPr>
        <w:t>РАБОЧАЯ ГРУППА ОТКРЫТОГО СОСТАВА ПО ПОДГОТОВКЕ ГЛОБАЛЬНОЙ РАМОЧНОЙ ПРОГРАММЫ В ОБЛАСТИ БИОРАЗНООБРАЗИЯ НА ПЕРИОД ПОСЛЕ 2020 ГОДА</w:t>
      </w:r>
    </w:p>
    <w:p w14:paraId="5207BC24" w14:textId="77777777" w:rsidR="00994A16" w:rsidRPr="00E34AF5" w:rsidRDefault="00994A16" w:rsidP="00994A16">
      <w:pPr>
        <w:suppressLineNumbers/>
        <w:suppressAutoHyphens/>
        <w:ind w:left="142" w:right="4824" w:hanging="142"/>
        <w:jc w:val="left"/>
        <w:rPr>
          <w:snapToGrid w:val="0"/>
          <w:kern w:val="22"/>
          <w:szCs w:val="22"/>
          <w:lang w:val="ru-RU"/>
        </w:rPr>
      </w:pPr>
      <w:r>
        <w:rPr>
          <w:snapToGrid w:val="0"/>
          <w:kern w:val="22"/>
          <w:szCs w:val="22"/>
          <w:lang w:val="ru-RU"/>
        </w:rPr>
        <w:t xml:space="preserve">Четвертое </w:t>
      </w:r>
      <w:r w:rsidRPr="008849A6">
        <w:rPr>
          <w:snapToGrid w:val="0"/>
          <w:kern w:val="22"/>
          <w:szCs w:val="22"/>
          <w:lang w:val="ru-RU"/>
        </w:rPr>
        <w:t>совещание</w:t>
      </w:r>
    </w:p>
    <w:p w14:paraId="0DC9854D" w14:textId="77777777" w:rsidR="00994A16" w:rsidRDefault="00994A16" w:rsidP="00994A16">
      <w:pPr>
        <w:suppressLineNumbers/>
        <w:suppressAutoHyphens/>
        <w:ind w:left="142" w:right="4824" w:hanging="142"/>
        <w:jc w:val="left"/>
        <w:rPr>
          <w:snapToGrid w:val="0"/>
          <w:kern w:val="22"/>
          <w:lang w:val="ru-RU"/>
        </w:rPr>
      </w:pPr>
      <w:r>
        <w:rPr>
          <w:snapToGrid w:val="0"/>
          <w:kern w:val="22"/>
          <w:lang w:val="ru-RU"/>
        </w:rPr>
        <w:t>Найроби, 21-26 июня 2022 года</w:t>
      </w:r>
    </w:p>
    <w:p w14:paraId="070B94BF" w14:textId="77777777" w:rsidR="00994A16" w:rsidRPr="00E34AF5" w:rsidRDefault="00994A16" w:rsidP="00994A16">
      <w:pPr>
        <w:suppressLineNumbers/>
        <w:suppressAutoHyphens/>
        <w:ind w:left="142" w:right="4824" w:hanging="142"/>
        <w:jc w:val="left"/>
        <w:rPr>
          <w:snapToGrid w:val="0"/>
          <w:kern w:val="22"/>
          <w:szCs w:val="22"/>
          <w:lang w:val="ru-RU"/>
        </w:rPr>
      </w:pPr>
      <w:r>
        <w:rPr>
          <w:snapToGrid w:val="0"/>
          <w:kern w:val="22"/>
          <w:lang w:val="ru-RU"/>
        </w:rPr>
        <w:t xml:space="preserve">Пункт 5 повестки дня </w:t>
      </w:r>
    </w:p>
    <w:p w14:paraId="62561896" w14:textId="1186CCE1" w:rsidR="00994A16" w:rsidRPr="00994A16" w:rsidRDefault="00653B83" w:rsidP="00994A16">
      <w:pPr>
        <w:pStyle w:val="Style1"/>
        <w:outlineLvl w:val="9"/>
        <w:rPr>
          <w:i w:val="0"/>
          <w:iCs w:val="0"/>
          <w:lang w:val="ru-RU"/>
        </w:rPr>
      </w:pPr>
      <w:sdt>
        <w:sdtPr>
          <w:rPr>
            <w:i w:val="0"/>
            <w:iCs w:val="0"/>
            <w:lang w:val="ru-RU"/>
          </w:rPr>
          <w:alias w:val="Title"/>
          <w:id w:val="301582339"/>
          <w:placeholder>
            <w:docPart w:val="2F4724A35FC9D0468AAEBD1C9429F0D5"/>
          </w:placeholder>
          <w:dataBinding w:prefixMappings="xmlns:ns0='http://purl.org/dc/elements/1.1/' xmlns:ns1='http://schemas.openxmlformats.org/package/2006/metadata/core-properties' " w:xpath="/ns1:coreProperties[1]/ns0:title[1]" w:storeItemID="{6C3C8BC8-F283-45AE-878A-BAB7291924A1}"/>
          <w:text/>
        </w:sdtPr>
        <w:sdtEndPr/>
        <w:sdtContent>
          <w:r w:rsidR="00994A16" w:rsidRPr="00994A16">
            <w:rPr>
              <w:i w:val="0"/>
              <w:iCs w:val="0"/>
              <w:lang w:val="ru-RU"/>
            </w:rPr>
            <w:t>РЕКОМЕНДАЦИЯ, ПРИНЯТАЯ РАБОЧЕЙ ГРУППОЙ ПО ПОДГОТОВКЕ ГЛОБАЛЬНОЙ РАМОЧНОЙ ПРОГРАММЫ В ОБЛАСТИ БИОРАЗНООБРАЗИЯ НА ПЕРИОД ПОСЛЕ 2020 ГОДА</w:t>
          </w:r>
        </w:sdtContent>
      </w:sdt>
    </w:p>
    <w:p w14:paraId="1BFA0AFC" w14:textId="77777777" w:rsidR="00994A16" w:rsidRPr="00F249E0" w:rsidRDefault="00994A16" w:rsidP="00994A16">
      <w:pPr>
        <w:pStyle w:val="Heading1"/>
        <w:tabs>
          <w:tab w:val="clear" w:pos="720"/>
        </w:tabs>
        <w:rPr>
          <w:rFonts w:ascii="Times New Roman Bold" w:hAnsi="Times New Roman Bold" w:cs="Times New Roman Bold"/>
          <w:snapToGrid w:val="0"/>
          <w:kern w:val="22"/>
          <w:szCs w:val="22"/>
          <w:lang w:val="ru-RU"/>
        </w:rPr>
      </w:pPr>
      <w:r w:rsidRPr="00C27C0C">
        <w:rPr>
          <w:b w:val="0"/>
          <w:bCs/>
          <w:i/>
          <w:lang w:val="ru-RU"/>
        </w:rPr>
        <w:t>4/2.</w:t>
      </w:r>
      <w:r w:rsidRPr="00C27C0C">
        <w:rPr>
          <w:b w:val="0"/>
          <w:bCs/>
          <w:i/>
          <w:lang w:val="ru-RU"/>
        </w:rPr>
        <w:tab/>
      </w:r>
      <w:r w:rsidRPr="00C27C0C">
        <w:rPr>
          <w:b w:val="0"/>
          <w:bCs/>
          <w:i/>
          <w:iCs/>
          <w:caps w:val="0"/>
          <w:lang w:val="ru-RU"/>
        </w:rPr>
        <w:t>Цифровая информация о последовательностях в отношении генетических ресурсов</w:t>
      </w:r>
    </w:p>
    <w:p w14:paraId="62842CE0" w14:textId="77777777" w:rsidR="00994A16" w:rsidRPr="004653EE" w:rsidRDefault="00994A16" w:rsidP="00994A16">
      <w:pPr>
        <w:pStyle w:val="BodyText"/>
        <w:rPr>
          <w:i/>
          <w:iCs w:val="0"/>
          <w:lang w:val="ru-RU"/>
        </w:rPr>
      </w:pPr>
      <w:r w:rsidRPr="004653EE">
        <w:rPr>
          <w:i/>
          <w:lang w:val="ru-RU"/>
        </w:rPr>
        <w:t>Рабочая группа открытого состава по подготовке глобальной рамочной программы в области биоразнообразия на период после 2020 года,</w:t>
      </w:r>
    </w:p>
    <w:p w14:paraId="03BA8A96" w14:textId="77777777" w:rsidR="00994A16" w:rsidRPr="004653EE" w:rsidRDefault="00994A16" w:rsidP="00994A16">
      <w:pPr>
        <w:pStyle w:val="Para1"/>
        <w:numPr>
          <w:ilvl w:val="0"/>
          <w:numId w:val="0"/>
        </w:numPr>
        <w:ind w:firstLine="709"/>
        <w:rPr>
          <w:lang w:val="ru-RU"/>
        </w:rPr>
      </w:pPr>
      <w:r w:rsidRPr="004653EE">
        <w:rPr>
          <w:i/>
          <w:lang w:val="ru-RU"/>
        </w:rPr>
        <w:t xml:space="preserve">ссылаясь </w:t>
      </w:r>
      <w:r w:rsidRPr="004653EE">
        <w:rPr>
          <w:lang w:val="ru-RU"/>
        </w:rPr>
        <w:t>на рекомендацию 3/2 Рабочей группы открытого состава по подготовке глобальной рамочной программы в области биоразнообразия на период после 2020 года,</w:t>
      </w:r>
    </w:p>
    <w:p w14:paraId="26633D9D" w14:textId="77777777" w:rsidR="00994A16" w:rsidRPr="004653EE" w:rsidRDefault="00994A16" w:rsidP="00994A16">
      <w:pPr>
        <w:pStyle w:val="Para1"/>
        <w:numPr>
          <w:ilvl w:val="0"/>
          <w:numId w:val="0"/>
        </w:numPr>
        <w:ind w:firstLine="709"/>
        <w:rPr>
          <w:lang w:val="ru-RU"/>
        </w:rPr>
      </w:pPr>
      <w:r w:rsidRPr="004653EE">
        <w:rPr>
          <w:i/>
          <w:lang w:val="ru-RU"/>
        </w:rPr>
        <w:t xml:space="preserve">признавая, </w:t>
      </w:r>
      <w:r w:rsidRPr="004653EE">
        <w:rPr>
          <w:lang w:val="ru-RU"/>
        </w:rPr>
        <w:t>что неофициальная консультативная группа проведет дальнейшую работу до начала 15-го совещания Конференции Сторон,</w:t>
      </w:r>
    </w:p>
    <w:p w14:paraId="483F6E73" w14:textId="77777777" w:rsidR="00994A16" w:rsidRPr="004653EE" w:rsidRDefault="00994A16" w:rsidP="00994A16">
      <w:pPr>
        <w:pStyle w:val="Para1"/>
        <w:numPr>
          <w:ilvl w:val="0"/>
          <w:numId w:val="0"/>
        </w:numPr>
        <w:ind w:firstLine="709"/>
        <w:rPr>
          <w:lang w:val="ru-RU"/>
        </w:rPr>
      </w:pPr>
      <w:r w:rsidRPr="004653EE">
        <w:rPr>
          <w:i/>
          <w:lang w:val="ru-RU"/>
        </w:rPr>
        <w:t xml:space="preserve">рекомендует </w:t>
      </w:r>
      <w:r w:rsidRPr="004653EE">
        <w:rPr>
          <w:lang w:val="ru-RU"/>
        </w:rPr>
        <w:t>Конференции Сторон на ее 15-м совещании принять решение, опирающееся на элементы, приведенные в приложении к настоящей рекомендации.</w:t>
      </w:r>
    </w:p>
    <w:p w14:paraId="447D1761" w14:textId="77777777" w:rsidR="00994A16" w:rsidRPr="004653EE" w:rsidRDefault="00994A16" w:rsidP="00994A16">
      <w:pPr>
        <w:pStyle w:val="Para1"/>
        <w:numPr>
          <w:ilvl w:val="0"/>
          <w:numId w:val="0"/>
        </w:numPr>
        <w:spacing w:before="240"/>
        <w:jc w:val="center"/>
        <w:rPr>
          <w:i/>
          <w:iCs/>
          <w:lang w:val="ru-RU"/>
        </w:rPr>
      </w:pPr>
      <w:r w:rsidRPr="004653EE">
        <w:rPr>
          <w:i/>
          <w:lang w:val="ru-RU"/>
        </w:rPr>
        <w:t>Приложение</w:t>
      </w:r>
    </w:p>
    <w:p w14:paraId="0DF6C9C5" w14:textId="77777777" w:rsidR="00994A16" w:rsidRPr="004653EE" w:rsidRDefault="00994A16" w:rsidP="00994A16">
      <w:pPr>
        <w:jc w:val="center"/>
        <w:rPr>
          <w:i/>
          <w:iCs/>
          <w:lang w:val="ru-RU"/>
        </w:rPr>
      </w:pPr>
      <w:r w:rsidRPr="004653EE">
        <w:rPr>
          <w:b/>
          <w:lang w:val="ru-RU"/>
        </w:rPr>
        <w:t>ЭЛЕМЕНТЫ ДЛЯ РЕШЕНИЯ</w:t>
      </w:r>
    </w:p>
    <w:p w14:paraId="4FA742C3" w14:textId="77777777" w:rsidR="00994A16" w:rsidRPr="004653EE" w:rsidRDefault="00994A16" w:rsidP="00994A16">
      <w:pPr>
        <w:spacing w:before="120" w:after="120"/>
        <w:ind w:firstLine="720"/>
        <w:rPr>
          <w:i/>
          <w:iCs/>
          <w:szCs w:val="22"/>
          <w:lang w:val="ru-RU"/>
        </w:rPr>
      </w:pPr>
      <w:r w:rsidRPr="004653EE">
        <w:rPr>
          <w:i/>
          <w:lang w:val="ru-RU"/>
        </w:rPr>
        <w:t xml:space="preserve">[[Вновь подтверждая </w:t>
      </w:r>
      <w:r w:rsidRPr="004653EE">
        <w:rPr>
          <w:lang w:val="ru-RU"/>
        </w:rPr>
        <w:t>суверенные права государств на их природные ресурсы и в соответствии с положениями Конвенции,]</w:t>
      </w:r>
    </w:p>
    <w:p w14:paraId="5EB91585" w14:textId="77777777" w:rsidR="00994A16" w:rsidRPr="004653EE" w:rsidRDefault="00994A16" w:rsidP="00994A16">
      <w:pPr>
        <w:spacing w:before="120" w:after="120"/>
        <w:ind w:firstLine="720"/>
        <w:rPr>
          <w:szCs w:val="22"/>
          <w:lang w:val="ru-RU"/>
        </w:rPr>
      </w:pPr>
      <w:r w:rsidRPr="004653EE">
        <w:rPr>
          <w:i/>
          <w:lang w:val="ru-RU"/>
        </w:rPr>
        <w:t>ссылаясь</w:t>
      </w:r>
      <w:r w:rsidRPr="004653EE">
        <w:rPr>
          <w:lang w:val="ru-RU"/>
        </w:rPr>
        <w:t xml:space="preserve"> на решение 14/20,</w:t>
      </w:r>
    </w:p>
    <w:p w14:paraId="7D7B719E" w14:textId="77777777" w:rsidR="00994A16" w:rsidRPr="004653EE" w:rsidRDefault="00994A16" w:rsidP="00994A16">
      <w:pPr>
        <w:spacing w:before="120" w:after="120"/>
        <w:ind w:firstLine="720"/>
        <w:rPr>
          <w:szCs w:val="22"/>
          <w:lang w:val="ru-RU"/>
        </w:rPr>
      </w:pPr>
      <w:r w:rsidRPr="004653EE">
        <w:rPr>
          <w:i/>
          <w:lang w:val="ru-RU"/>
        </w:rPr>
        <w:t>[отмечая,</w:t>
      </w:r>
      <w:r w:rsidRPr="004653EE">
        <w:rPr>
          <w:lang w:val="ru-RU"/>
        </w:rPr>
        <w:t xml:space="preserve"> что некоторые Стороны приняли меры на национальном уровне, регулирующие доступ к цифровой информации о последовательностях в отношении генетических ресурсов и ее использование, в рамках их структур регулирования доступа и совместного использования выгод, </w:t>
      </w:r>
    </w:p>
    <w:p w14:paraId="03C2C698" w14:textId="77777777" w:rsidR="00994A16" w:rsidRPr="004653EE" w:rsidRDefault="00994A16" w:rsidP="00994A16">
      <w:pPr>
        <w:spacing w:before="120" w:after="120"/>
        <w:ind w:firstLine="720"/>
        <w:rPr>
          <w:szCs w:val="22"/>
          <w:lang w:val="ru-RU"/>
        </w:rPr>
      </w:pPr>
      <w:r w:rsidRPr="004653EE">
        <w:rPr>
          <w:i/>
          <w:lang w:val="ru-RU"/>
        </w:rPr>
        <w:t>отмечая также</w:t>
      </w:r>
      <w:r w:rsidRPr="004653EE">
        <w:rPr>
          <w:lang w:val="ru-RU"/>
        </w:rPr>
        <w:t xml:space="preserve"> различные подходы, применяемые в отношении цифровой информации о последовательностях в рамках мер на национальном уровне,]</w:t>
      </w:r>
    </w:p>
    <w:p w14:paraId="62496300" w14:textId="77777777" w:rsidR="00994A16" w:rsidRPr="004653EE" w:rsidRDefault="00994A16" w:rsidP="00994A16">
      <w:pPr>
        <w:spacing w:before="120" w:after="120"/>
        <w:rPr>
          <w:szCs w:val="22"/>
          <w:lang w:val="ru-RU"/>
        </w:rPr>
      </w:pPr>
      <w:r w:rsidRPr="004653EE">
        <w:rPr>
          <w:i/>
          <w:lang w:val="ru-RU"/>
        </w:rPr>
        <w:tab/>
        <w:t xml:space="preserve">принимая во внимание </w:t>
      </w:r>
      <w:r w:rsidRPr="004653EE">
        <w:rPr>
          <w:lang w:val="ru-RU"/>
        </w:rPr>
        <w:t>работу, проведенную в период после 14-го совещания Конференции Сторон касательно сферы охвата и определения «цифровой информации о последовательностях в отношении генетических ресурсов», и в частности доклад специальной группы технических экспертов,</w:t>
      </w:r>
    </w:p>
    <w:p w14:paraId="3467D02A" w14:textId="77777777" w:rsidR="00994A16" w:rsidRPr="004653EE" w:rsidRDefault="00994A16" w:rsidP="00994A16">
      <w:pPr>
        <w:spacing w:before="120" w:after="120"/>
        <w:rPr>
          <w:rFonts w:eastAsia="Calibri"/>
          <w:szCs w:val="22"/>
          <w:lang w:val="ru-RU"/>
        </w:rPr>
      </w:pPr>
      <w:r w:rsidRPr="004653EE">
        <w:rPr>
          <w:lang w:val="ru-RU"/>
        </w:rPr>
        <w:lastRenderedPageBreak/>
        <w:tab/>
      </w:r>
      <w:r w:rsidRPr="004653EE">
        <w:rPr>
          <w:i/>
          <w:lang w:val="ru-RU"/>
        </w:rPr>
        <w:t>[признавая</w:t>
      </w:r>
      <w:r w:rsidRPr="004653EE">
        <w:rPr>
          <w:lang w:val="ru-RU"/>
        </w:rPr>
        <w:t>, что [цифровая информация о последовательностях в отношении генетических ресурсов [возникает] [может возникать] в результате использования] [генетическая информация является неотъемлемой частью] генетических ресурсов,]</w:t>
      </w:r>
    </w:p>
    <w:p w14:paraId="0DA9BAF2" w14:textId="77777777" w:rsidR="00994A16" w:rsidRPr="00EA3BFE" w:rsidRDefault="00994A16" w:rsidP="00994A16">
      <w:pPr>
        <w:tabs>
          <w:tab w:val="left" w:pos="720"/>
        </w:tabs>
        <w:spacing w:before="120" w:after="120"/>
        <w:rPr>
          <w:szCs w:val="22"/>
          <w:lang w:val="ru-RU"/>
        </w:rPr>
      </w:pPr>
      <w:r w:rsidRPr="004653EE">
        <w:rPr>
          <w:lang w:val="ru-RU"/>
        </w:rPr>
        <w:tab/>
        <w:t>[</w:t>
      </w:r>
      <w:r w:rsidRPr="004653EE">
        <w:rPr>
          <w:i/>
          <w:lang w:val="ru-RU"/>
        </w:rPr>
        <w:t xml:space="preserve">ссылаясь </w:t>
      </w:r>
      <w:r w:rsidRPr="004653EE">
        <w:rPr>
          <w:lang w:val="ru-RU"/>
        </w:rPr>
        <w:t>на Многостороннюю систему доступа к генетическим ресурсам растений и распределения выгод, созданную в рамках Международного договора о генетических ресурсах растений для производства продовольствия и ведения сельского хозяйства, который был разработан в согласии с Конвенцией,</w:t>
      </w:r>
      <w:r w:rsidRPr="00EA3BFE">
        <w:rPr>
          <w:lang w:val="ru-RU"/>
        </w:rPr>
        <w:t>]]</w:t>
      </w:r>
    </w:p>
    <w:p w14:paraId="437587AB" w14:textId="77777777" w:rsidR="00994A16" w:rsidRPr="004653EE" w:rsidRDefault="00994A16" w:rsidP="00994A16">
      <w:pPr>
        <w:spacing w:before="120" w:after="120"/>
        <w:ind w:firstLine="709"/>
        <w:rPr>
          <w:rFonts w:ascii="Calibri" w:eastAsia="Calibri" w:hAnsi="Calibri" w:cs="Arial"/>
          <w:szCs w:val="22"/>
          <w:lang w:val="ru-RU"/>
        </w:rPr>
      </w:pPr>
      <w:r w:rsidRPr="004653EE">
        <w:rPr>
          <w:lang w:val="ru-RU"/>
        </w:rPr>
        <w:tab/>
        <w:t>[</w:t>
      </w:r>
      <w:r w:rsidRPr="004653EE">
        <w:rPr>
          <w:i/>
          <w:iCs/>
          <w:lang w:val="ru-RU"/>
        </w:rPr>
        <w:t>постановляет</w:t>
      </w:r>
      <w:r w:rsidRPr="004653EE">
        <w:rPr>
          <w:lang w:val="ru-RU"/>
        </w:rPr>
        <w:t xml:space="preserve"> учесть вопросы цифровой информации о последовательностях в отношении генетических ресурсов в глобальной рамочной программе в области биоразнообразия на период после 2020 года к […]]</w:t>
      </w:r>
    </w:p>
    <w:p w14:paraId="0EE275FA" w14:textId="77777777" w:rsidR="00994A16" w:rsidRPr="004E7C53" w:rsidRDefault="00994A16" w:rsidP="00994A16">
      <w:pPr>
        <w:spacing w:before="120" w:after="120"/>
        <w:ind w:firstLine="720"/>
        <w:rPr>
          <w:b/>
          <w:bCs/>
          <w:szCs w:val="22"/>
          <w:lang w:val="ru-RU"/>
        </w:rPr>
      </w:pPr>
      <w:r w:rsidRPr="004653EE">
        <w:rPr>
          <w:lang w:val="ru-RU"/>
        </w:rPr>
        <w:t>[</w:t>
      </w:r>
      <w:r w:rsidRPr="004653EE">
        <w:rPr>
          <w:i/>
          <w:iCs/>
          <w:lang w:val="ru-RU"/>
        </w:rPr>
        <w:t>признает</w:t>
      </w:r>
      <w:r w:rsidRPr="004653EE">
        <w:rPr>
          <w:lang w:val="ru-RU"/>
        </w:rPr>
        <w:t xml:space="preserve"> необходимость [своевременно разработать] практический подход [к обеспечению [упрощенного доступа к генетическим ресурсам и цифровой информации о последовательностях в отношении генетических ресурсов и] совместного использования на справедливой и равной основе выгод от [применения] [использования] цифровой информации о последовательностях в отношении генетических ресурсов] [в целях нахождения][и] решения в отношении [совместного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 [в соответствии с ключевыми моментами, представленными в пункте 5 рекомендации 3/2 Рабочей группы открытого состава по подготовке глобальной рамочной программы в области биоразнообразия на период после 2020 года];</w:t>
      </w:r>
      <w:r w:rsidRPr="004E7C53">
        <w:rPr>
          <w:b/>
          <w:bCs/>
          <w:lang w:val="ru-RU"/>
        </w:rPr>
        <w:t>]</w:t>
      </w:r>
    </w:p>
    <w:p w14:paraId="20D4BCE8" w14:textId="77777777" w:rsidR="00994A16" w:rsidRPr="004653EE" w:rsidRDefault="00994A16" w:rsidP="00994A16">
      <w:pPr>
        <w:pStyle w:val="Para1"/>
        <w:ind w:left="720"/>
        <w:jc w:val="left"/>
        <w:rPr>
          <w:rFonts w:eastAsia="Calibri"/>
          <w:kern w:val="22"/>
          <w:szCs w:val="22"/>
          <w:lang w:val="ru-RU"/>
        </w:rPr>
      </w:pPr>
      <w:r w:rsidRPr="004653EE">
        <w:rPr>
          <w:lang w:val="ru-RU"/>
        </w:rPr>
        <w:t>[</w:t>
      </w:r>
      <w:r w:rsidRPr="004653EE">
        <w:rPr>
          <w:i/>
          <w:lang w:val="ru-RU"/>
        </w:rPr>
        <w:t>договаривается</w:t>
      </w:r>
      <w:r w:rsidRPr="004653EE">
        <w:rPr>
          <w:lang w:val="ru-RU"/>
        </w:rPr>
        <w:t xml:space="preserve"> о следующем:]</w:t>
      </w:r>
      <w:r w:rsidRPr="00930E75">
        <w:rPr>
          <w:rStyle w:val="FootnoteReference"/>
          <w:rFonts w:eastAsia="Calibri"/>
          <w:kern w:val="22"/>
          <w:szCs w:val="22"/>
          <w:lang w:val="ru-RU"/>
        </w:rPr>
        <w:footnoteReference w:id="1"/>
      </w:r>
    </w:p>
    <w:p w14:paraId="1C5FD5E4" w14:textId="77777777" w:rsidR="00994A16" w:rsidRPr="004653EE" w:rsidRDefault="00994A16" w:rsidP="00994A16">
      <w:pPr>
        <w:pStyle w:val="Para1"/>
        <w:numPr>
          <w:ilvl w:val="0"/>
          <w:numId w:val="2"/>
        </w:numPr>
        <w:ind w:firstLine="698"/>
        <w:rPr>
          <w:lang w:val="ru-RU"/>
        </w:rPr>
      </w:pPr>
      <w:r w:rsidRPr="004653EE">
        <w:rPr>
          <w:lang w:val="ru-RU"/>
        </w:rPr>
        <w:t>[принять меры] для стимулирования предоставления большего количества данных;</w:t>
      </w:r>
    </w:p>
    <w:p w14:paraId="239D5BDB" w14:textId="77777777" w:rsidR="00994A16" w:rsidRPr="004653EE" w:rsidRDefault="00994A16" w:rsidP="00994A16">
      <w:pPr>
        <w:pStyle w:val="Para1"/>
        <w:numPr>
          <w:ilvl w:val="0"/>
          <w:numId w:val="2"/>
        </w:numPr>
        <w:ind w:firstLine="698"/>
        <w:rPr>
          <w:lang w:val="ru-RU"/>
        </w:rPr>
      </w:pPr>
      <w:r w:rsidRPr="004653EE">
        <w:rPr>
          <w:lang w:val="ru-RU"/>
        </w:rPr>
        <w:t>использование маркировки с указанием [страны [или региона] [или места] происхождения [и предоставления] генетических ресурсов, на основе которых была получена цифровая информация о последовательностях для предоставления новых данных [и имеющейся цифровой информации о последовательностях] [в общедоступные] [во все] базы данных;</w:t>
      </w:r>
    </w:p>
    <w:p w14:paraId="66D993BC" w14:textId="77777777" w:rsidR="00994A16" w:rsidRPr="004653EE" w:rsidRDefault="00994A16" w:rsidP="00994A16">
      <w:pPr>
        <w:pStyle w:val="Para1"/>
        <w:numPr>
          <w:ilvl w:val="0"/>
          <w:numId w:val="2"/>
        </w:numPr>
        <w:ind w:firstLine="698"/>
        <w:rPr>
          <w:lang w:val="ru-RU"/>
        </w:rPr>
      </w:pPr>
      <w:r w:rsidRPr="004653EE">
        <w:rPr>
          <w:lang w:val="ru-RU"/>
        </w:rPr>
        <w:t>обеспечивать правовую определенность и ясность для поставщиков [генетических ресурсов, которыми [предоставляется] [формируется]] цифровая информация о последовательностях в отношении генетических ресурсов и [для] пользователей [этой] цифровой информации о последовательностях в отношении генетических ресурсов;</w:t>
      </w:r>
    </w:p>
    <w:p w14:paraId="44056F75" w14:textId="77777777" w:rsidR="00994A16" w:rsidRPr="004653EE" w:rsidRDefault="00994A16" w:rsidP="00994A16">
      <w:pPr>
        <w:pStyle w:val="ListParagraph"/>
        <w:numPr>
          <w:ilvl w:val="0"/>
          <w:numId w:val="2"/>
        </w:numPr>
        <w:tabs>
          <w:tab w:val="left" w:pos="1418"/>
        </w:tabs>
        <w:spacing w:before="120" w:after="120" w:line="259" w:lineRule="auto"/>
        <w:ind w:firstLine="698"/>
        <w:rPr>
          <w:rFonts w:eastAsia="Calibri"/>
          <w:szCs w:val="22"/>
          <w:lang w:val="ru-RU"/>
        </w:rPr>
      </w:pPr>
      <w:r w:rsidRPr="004653EE">
        <w:rPr>
          <w:lang w:val="ru-RU"/>
        </w:rPr>
        <w:t>быть эффективными, осуществимыми и применимыми на практике</w:t>
      </w:r>
      <w:r w:rsidRPr="009A6595">
        <w:rPr>
          <w:lang w:val="ru-RU"/>
        </w:rPr>
        <w:t>[</w:t>
      </w:r>
      <w:r w:rsidRPr="004653EE">
        <w:rPr>
          <w:lang w:val="ru-RU"/>
        </w:rPr>
        <w:t>[, быть</w:t>
      </w:r>
      <w:r w:rsidRPr="001619B6">
        <w:rPr>
          <w:lang w:val="ru-RU"/>
        </w:rPr>
        <w:t>]</w:t>
      </w:r>
      <w:r w:rsidRPr="004653EE">
        <w:rPr>
          <w:lang w:val="ru-RU"/>
        </w:rPr>
        <w:t xml:space="preserve"> [и] эффективными в [обеспечении] [предоставлении надлежащего доступа и] справедливого и равного распределения выгод, получаемых от применения цифровой информации о последовательностях в отношении генетических ресурсов,</w:t>
      </w:r>
      <w:r w:rsidRPr="009A6595">
        <w:rPr>
          <w:lang w:val="ru-RU"/>
        </w:rPr>
        <w:t>]</w:t>
      </w:r>
      <w:r w:rsidRPr="004653EE">
        <w:rPr>
          <w:lang w:val="ru-RU"/>
        </w:rPr>
        <w:t xml:space="preserve"> и приносить больше выгод, как денежных, так и неденежных, чем затрат;</w:t>
      </w:r>
    </w:p>
    <w:p w14:paraId="1F91C561" w14:textId="77777777" w:rsidR="00994A16" w:rsidRPr="004653EE" w:rsidRDefault="00994A16" w:rsidP="00994A16">
      <w:pPr>
        <w:pStyle w:val="Para1"/>
        <w:numPr>
          <w:ilvl w:val="0"/>
          <w:numId w:val="2"/>
        </w:numPr>
        <w:ind w:firstLine="698"/>
        <w:rPr>
          <w:lang w:val="ru-RU"/>
        </w:rPr>
      </w:pPr>
      <w:r w:rsidRPr="004653EE">
        <w:rPr>
          <w:lang w:val="ru-RU"/>
        </w:rPr>
        <w:t>обладать потенциалом для адаптации к будущим изменениям технологии;</w:t>
      </w:r>
    </w:p>
    <w:p w14:paraId="364DE6F7" w14:textId="77777777" w:rsidR="00994A16" w:rsidRPr="004653EE" w:rsidRDefault="00994A16" w:rsidP="00994A16">
      <w:pPr>
        <w:pStyle w:val="Para1"/>
        <w:numPr>
          <w:ilvl w:val="0"/>
          <w:numId w:val="2"/>
        </w:numPr>
        <w:ind w:firstLine="698"/>
        <w:rPr>
          <w:lang w:val="ru-RU"/>
        </w:rPr>
      </w:pPr>
      <w:r w:rsidRPr="004653EE">
        <w:rPr>
          <w:lang w:val="ru-RU"/>
        </w:rPr>
        <w:t>[решения в отношении совместного использования на справедливой и равной основе выгод от [применения] [использования] цифровой информации о последовательностях должны] быть взаимодополняющими [и адаптируемыми к] другим [соответствующим] инструментам доступа и совместного использования выгод;</w:t>
      </w:r>
    </w:p>
    <w:p w14:paraId="65A26B91" w14:textId="77777777" w:rsidR="00994A16" w:rsidRPr="004653EE" w:rsidRDefault="00994A16" w:rsidP="00994A16">
      <w:pPr>
        <w:pStyle w:val="Para1"/>
        <w:numPr>
          <w:ilvl w:val="0"/>
          <w:numId w:val="2"/>
        </w:numPr>
        <w:ind w:firstLine="698"/>
        <w:rPr>
          <w:lang w:val="ru-RU"/>
        </w:rPr>
      </w:pPr>
      <w:r w:rsidRPr="004653EE">
        <w:rPr>
          <w:lang w:val="ru-RU"/>
        </w:rPr>
        <w:t xml:space="preserve">[настоятельно призвать Стороны принять меры для содействия] [содействие] научным исследованиям, инновациям и научно-техническому сотрудничеству, созданию потенциала и передаче технологий [развивающимся странам [на справедливых и наиболее </w:t>
      </w:r>
      <w:r w:rsidRPr="004653EE">
        <w:rPr>
          <w:lang w:val="ru-RU"/>
        </w:rPr>
        <w:lastRenderedPageBreak/>
        <w:t>благоприятных условиях] [как предусмотрено в статье[статьях] 16 [и 18] Конвенции] [на взаимосогласованных условиях]] [и расширению масштабов мобилизации ресурсов] в целях сохранения и устойчивого использования биоразнообразия;</w:t>
      </w:r>
    </w:p>
    <w:p w14:paraId="230591B7" w14:textId="77777777" w:rsidR="00994A16" w:rsidRPr="004653EE" w:rsidRDefault="00994A16" w:rsidP="00994A16">
      <w:pPr>
        <w:pStyle w:val="ListParagraph"/>
        <w:numPr>
          <w:ilvl w:val="0"/>
          <w:numId w:val="2"/>
        </w:numPr>
        <w:spacing w:after="120" w:line="259" w:lineRule="auto"/>
        <w:ind w:firstLine="698"/>
        <w:rPr>
          <w:lang w:val="ru-RU"/>
        </w:rPr>
      </w:pPr>
      <w:r w:rsidRPr="004653EE">
        <w:rPr>
          <w:lang w:val="ru-RU"/>
        </w:rPr>
        <w:t xml:space="preserve">[уважать и защищать] права коренных народов и местных общин на их традиционные знания, связанные с генетическими ресурсами [и учитывать их роль как хранителей биологического, </w:t>
      </w:r>
      <w:proofErr w:type="spellStart"/>
      <w:r w:rsidRPr="004653EE">
        <w:rPr>
          <w:lang w:val="ru-RU"/>
        </w:rPr>
        <w:t>биокультурного</w:t>
      </w:r>
      <w:proofErr w:type="spellEnd"/>
      <w:r w:rsidRPr="004653EE">
        <w:rPr>
          <w:lang w:val="ru-RU"/>
        </w:rPr>
        <w:t xml:space="preserve"> и генетического разнообразия;]</w:t>
      </w:r>
    </w:p>
    <w:p w14:paraId="27B3CC82" w14:textId="77777777" w:rsidR="00994A16" w:rsidRPr="004653EE" w:rsidRDefault="00994A16" w:rsidP="00994A16">
      <w:pPr>
        <w:pStyle w:val="Para1"/>
        <w:numPr>
          <w:ilvl w:val="0"/>
          <w:numId w:val="2"/>
        </w:numPr>
        <w:ind w:firstLine="698"/>
        <w:rPr>
          <w:lang w:val="ru-RU"/>
        </w:rPr>
      </w:pPr>
      <w:r w:rsidRPr="004653EE">
        <w:rPr>
          <w:lang w:val="ru-RU"/>
        </w:rPr>
        <w:t>[признает, что] денежные и неденежные выгоды от использования цифровой информации о последовательностях в отношении генетических ресурсов должны использоваться в поддержку сохранения и устойчивого использования биоразнообразия и [в том числе] приносить пользу коренным народам и местным общинам;</w:t>
      </w:r>
    </w:p>
    <w:p w14:paraId="37B96574" w14:textId="77777777" w:rsidR="00994A16" w:rsidRPr="004653EE" w:rsidRDefault="00994A16" w:rsidP="00994A16">
      <w:pPr>
        <w:pStyle w:val="Para1"/>
        <w:numPr>
          <w:ilvl w:val="0"/>
          <w:numId w:val="2"/>
        </w:numPr>
        <w:ind w:firstLine="698"/>
        <w:rPr>
          <w:lang w:val="ru-RU"/>
        </w:rPr>
      </w:pPr>
      <w:r w:rsidRPr="004653EE">
        <w:rPr>
          <w:lang w:val="ru-RU"/>
        </w:rPr>
        <w:t>[признает, что] денежные [и] [или] неденежные выгоды от использования цифровой информации о последовательностях в отношении генетических ресурсов [должны распределяться справедливым и равным образом и] [, которые распределяются] должны использоваться в поддержку сохранения и устойчивого использования биоразнообразия[, а также устойчивого развития] и [в том числе]</w:t>
      </w:r>
      <w:r w:rsidRPr="004653EE">
        <w:rPr>
          <w:i/>
          <w:lang w:val="ru-RU"/>
        </w:rPr>
        <w:t xml:space="preserve"> </w:t>
      </w:r>
      <w:r w:rsidRPr="004653EE">
        <w:rPr>
          <w:lang w:val="ru-RU"/>
        </w:rPr>
        <w:t>[в соответствующих случаях] приносить пользу коренным народам и местным общинам;</w:t>
      </w:r>
    </w:p>
    <w:p w14:paraId="5E75DEE4" w14:textId="77777777" w:rsidR="00994A16" w:rsidRPr="004653EE" w:rsidRDefault="00994A16" w:rsidP="00994A16">
      <w:pPr>
        <w:pStyle w:val="Para1"/>
        <w:numPr>
          <w:ilvl w:val="0"/>
          <w:numId w:val="2"/>
        </w:numPr>
        <w:ind w:firstLine="698"/>
        <w:rPr>
          <w:lang w:val="ru-RU"/>
        </w:rPr>
      </w:pPr>
      <w:r w:rsidRPr="004653EE">
        <w:rPr>
          <w:lang w:val="ru-RU"/>
        </w:rPr>
        <w:t>[[соглашается с тем, что] «цифровая информация о последовательностях [в отношении генетических ресурсов]» [состоит из] [информации о][последовательностях и химических структурах] [аннотированных последовательностей] [ДНК, РНК, [белков, эпигенетических модификаций</w:t>
      </w:r>
      <w:r w:rsidRPr="004653EE">
        <w:rPr>
          <w:sz w:val="18"/>
          <w:vertAlign w:val="superscript"/>
          <w:lang w:val="ru-RU"/>
        </w:rPr>
        <w:footnoteReference w:id="2"/>
      </w:r>
      <w:r w:rsidRPr="004653EE">
        <w:rPr>
          <w:lang w:val="ru-RU"/>
        </w:rPr>
        <w:t>, метаболитов] [и других макромолекул, [производных]], и признает значимость связанной с ней информации [в частности традиционных знаний]];]</w:t>
      </w:r>
    </w:p>
    <w:p w14:paraId="6AF4C32B" w14:textId="77777777" w:rsidR="00994A16" w:rsidRPr="004653EE" w:rsidRDefault="00994A16" w:rsidP="00994A16">
      <w:pPr>
        <w:pStyle w:val="Para1"/>
        <w:numPr>
          <w:ilvl w:val="0"/>
          <w:numId w:val="2"/>
        </w:numPr>
        <w:ind w:firstLine="698"/>
        <w:rPr>
          <w:lang w:val="ru-RU"/>
        </w:rPr>
      </w:pPr>
      <w:r w:rsidRPr="004653EE">
        <w:rPr>
          <w:lang w:val="ru-RU"/>
        </w:rPr>
        <w:t>[«цифровая информация о последовательностях» представляет собой любую информацию в [электронном] [любом] формате, получаемую в результате «использования генетических ресурсов»;]</w:t>
      </w:r>
    </w:p>
    <w:p w14:paraId="4AF02981" w14:textId="77777777" w:rsidR="00994A16" w:rsidRPr="004653EE" w:rsidRDefault="00994A16" w:rsidP="00994A16">
      <w:pPr>
        <w:pStyle w:val="Para1"/>
        <w:numPr>
          <w:ilvl w:val="0"/>
          <w:numId w:val="2"/>
        </w:numPr>
        <w:ind w:firstLine="698"/>
        <w:rPr>
          <w:lang w:val="ru-RU"/>
        </w:rPr>
      </w:pPr>
      <w:r w:rsidRPr="004653EE">
        <w:rPr>
          <w:lang w:val="ru-RU"/>
        </w:rPr>
        <w:t>[любое решение применительно к цифровой информации о последовательностях в отношении генетических ресурсов в принципе должно находиться в пределах правовых рамок Конвенции. решения, находящиеся за пределами сферы юрисдикции Конвенции о биологическом разнообразии, будут в первую очередь требовать пересмотра Конвенции;]</w:t>
      </w:r>
    </w:p>
    <w:p w14:paraId="7A750E74" w14:textId="77777777" w:rsidR="00994A16" w:rsidRPr="004653EE" w:rsidRDefault="00994A16" w:rsidP="00994A16">
      <w:pPr>
        <w:pStyle w:val="Para1"/>
        <w:numPr>
          <w:ilvl w:val="0"/>
          <w:numId w:val="2"/>
        </w:numPr>
        <w:ind w:firstLine="698"/>
        <w:rPr>
          <w:lang w:val="ru-RU"/>
        </w:rPr>
      </w:pPr>
      <w:r w:rsidRPr="004653EE">
        <w:rPr>
          <w:lang w:val="ru-RU"/>
        </w:rPr>
        <w:t>[доступ к [объединенной] [объединениям различной] цифровой информации о последовательностях в отношении [генетических ресурсов] [генетического разнообразия] в общедоступных базах данных способствует научным исследования</w:t>
      </w:r>
      <w:r>
        <w:rPr>
          <w:lang w:val="ru-RU"/>
        </w:rPr>
        <w:t>м и инновациям и следовательно</w:t>
      </w:r>
      <w:r w:rsidRPr="004653EE">
        <w:rPr>
          <w:lang w:val="ru-RU"/>
        </w:rPr>
        <w:t xml:space="preserve"> остается открытым [и неограниченным] [в соответствии с текущей [наилучшей [имеющейся] научной] практикой [и международными стандартами]], [при условии соблюдения положений по обеспечению] [при одновременном решении проблем, имеющих отношение к] совместного использования выгод и защиты традиционных знаний, связанных с генетическими ресурсами, по мере необходимости и в соответствующих случаях[, с тем чтобы не создавать препятствий для [ответственных] научных исследований и инноваций[, а также для справедливого и равного распределения результатов таких исследований и инноваций] [, [в том числе для] общественного здравоохранения и продовольственной безопасности] и не противоречить [принципам открытой науки] [открытому доступу к данным</w:t>
      </w:r>
      <w:r w:rsidRPr="009A6595">
        <w:rPr>
          <w:lang w:val="ru-RU"/>
        </w:rPr>
        <w:t>]</w:t>
      </w:r>
      <w:r w:rsidRPr="004653EE">
        <w:rPr>
          <w:lang w:val="ru-RU"/>
        </w:rPr>
        <w:t>];]</w:t>
      </w:r>
    </w:p>
    <w:p w14:paraId="77B87B1D" w14:textId="77777777" w:rsidR="00994A16" w:rsidRPr="004653EE" w:rsidRDefault="00994A16" w:rsidP="00994A16">
      <w:pPr>
        <w:pStyle w:val="Para1"/>
        <w:numPr>
          <w:ilvl w:val="0"/>
          <w:numId w:val="2"/>
        </w:numPr>
        <w:ind w:firstLine="698"/>
        <w:rPr>
          <w:lang w:val="ru-RU"/>
        </w:rPr>
      </w:pPr>
      <w:r w:rsidRPr="004653EE">
        <w:rPr>
          <w:lang w:val="ru-RU"/>
        </w:rPr>
        <w:t>[цифровая информация о последовательностях в отношении генетических ресурсов доступна общественности;]</w:t>
      </w:r>
    </w:p>
    <w:p w14:paraId="7B57F4DA" w14:textId="77777777" w:rsidR="00994A16" w:rsidRPr="004653EE" w:rsidRDefault="00994A16" w:rsidP="00994A16">
      <w:pPr>
        <w:pStyle w:val="Para1"/>
        <w:numPr>
          <w:ilvl w:val="0"/>
          <w:numId w:val="2"/>
        </w:numPr>
        <w:ind w:firstLine="698"/>
        <w:rPr>
          <w:lang w:val="ru-RU"/>
        </w:rPr>
      </w:pPr>
      <w:r w:rsidRPr="004653EE">
        <w:rPr>
          <w:lang w:val="ru-RU"/>
        </w:rPr>
        <w:lastRenderedPageBreak/>
        <w:t>[объединение данных [из различных источников] отвечает интересам научных исследований и инноваций и несет взаимную выгоду научно-исследовательскому сообществу и базам данных[, несмотря на то, что открытые данные сами по себе не являются средством обеспечения совместного использования выгод];]</w:t>
      </w:r>
    </w:p>
    <w:p w14:paraId="78594FFE" w14:textId="77777777" w:rsidR="00994A16" w:rsidRPr="004653EE" w:rsidRDefault="00994A16" w:rsidP="00994A16">
      <w:pPr>
        <w:pStyle w:val="Para1"/>
        <w:numPr>
          <w:ilvl w:val="0"/>
          <w:numId w:val="2"/>
        </w:numPr>
        <w:ind w:firstLine="698"/>
        <w:rPr>
          <w:lang w:val="ru-RU"/>
        </w:rPr>
      </w:pPr>
      <w:r w:rsidRPr="004653EE">
        <w:rPr>
          <w:lang w:val="ru-RU"/>
        </w:rPr>
        <w:t>[Значимость [слежения и] отслеживания может зависеть от подхода, принятого для рассмотрения вопроса о цифровой информации о последовательностях[, например, в отношении гибридных подходов];]</w:t>
      </w:r>
    </w:p>
    <w:p w14:paraId="155ECCC5" w14:textId="77777777" w:rsidR="00994A16" w:rsidRPr="004653EE" w:rsidRDefault="00994A16" w:rsidP="00994A16">
      <w:pPr>
        <w:pStyle w:val="Para1"/>
        <w:numPr>
          <w:ilvl w:val="0"/>
          <w:numId w:val="2"/>
        </w:numPr>
        <w:ind w:firstLine="698"/>
        <w:rPr>
          <w:lang w:val="ru-RU"/>
        </w:rPr>
      </w:pPr>
      <w:r w:rsidRPr="004653EE">
        <w:rPr>
          <w:lang w:val="ru-RU"/>
        </w:rPr>
        <w:t>[пользователи цифровой информации о последовательностях должны информировать страну [происхождения или страну-поставщика] до получения доступа в случае как коммерческого, так и некоммерческого использования;]</w:t>
      </w:r>
    </w:p>
    <w:p w14:paraId="70E26107" w14:textId="77777777" w:rsidR="00994A16" w:rsidRPr="004653EE" w:rsidRDefault="00994A16" w:rsidP="00994A16">
      <w:pPr>
        <w:pStyle w:val="Para1"/>
        <w:numPr>
          <w:ilvl w:val="0"/>
          <w:numId w:val="2"/>
        </w:numPr>
        <w:ind w:firstLine="698"/>
        <w:rPr>
          <w:lang w:val="ru-RU"/>
        </w:rPr>
      </w:pPr>
      <w:r w:rsidRPr="004653EE">
        <w:rPr>
          <w:lang w:val="ru-RU"/>
        </w:rPr>
        <w:t>[отсл</w:t>
      </w:r>
      <w:r>
        <w:rPr>
          <w:lang w:val="ru-RU"/>
        </w:rPr>
        <w:t>еживание может [использоваться</w:t>
      </w:r>
      <w:r w:rsidRPr="004653EE">
        <w:rPr>
          <w:lang w:val="ru-RU"/>
        </w:rPr>
        <w:t>] [быть полезным] для ограниченного числа специализированных подгрупп цифровой информации о последовательностях в отношении генетических ресурсов [но в настоящее время это не осуществимо в крупных масштабах с технической или финансовой точек зрения[, а также может повлечь за собой значительный экологический след]];]</w:t>
      </w:r>
    </w:p>
    <w:p w14:paraId="37B143FA" w14:textId="77777777" w:rsidR="00994A16" w:rsidRPr="004653EE" w:rsidRDefault="00994A16" w:rsidP="00994A16">
      <w:pPr>
        <w:pStyle w:val="Para1"/>
        <w:numPr>
          <w:ilvl w:val="0"/>
          <w:numId w:val="2"/>
        </w:numPr>
        <w:ind w:firstLine="698"/>
        <w:rPr>
          <w:lang w:val="ru-RU"/>
        </w:rPr>
      </w:pPr>
      <w:r w:rsidRPr="004653EE">
        <w:rPr>
          <w:lang w:val="ru-RU"/>
        </w:rPr>
        <w:t>[соответствовать международным правам человека и обязательствам;]</w:t>
      </w:r>
    </w:p>
    <w:p w14:paraId="2689A02B" w14:textId="77777777" w:rsidR="00994A16" w:rsidRPr="004653EE" w:rsidRDefault="00994A16" w:rsidP="00994A16">
      <w:pPr>
        <w:pStyle w:val="Para1"/>
        <w:numPr>
          <w:ilvl w:val="0"/>
          <w:numId w:val="2"/>
        </w:numPr>
        <w:ind w:firstLine="698"/>
        <w:rPr>
          <w:lang w:val="ru-RU"/>
        </w:rPr>
      </w:pPr>
      <w:r w:rsidRPr="004653EE">
        <w:rPr>
          <w:szCs w:val="22"/>
          <w:lang w:val="ru-RU"/>
        </w:rPr>
        <w:t>[Конвенция о биологическом разнообразии [могла бы] обеспечить основу для решения о совместном использовании выгод на справедливой и равной основе от [применения генетических ресурсов в виде] [использования] цифровой информации о последовательностях;]</w:t>
      </w:r>
    </w:p>
    <w:p w14:paraId="08D25D01" w14:textId="77777777" w:rsidR="00994A16" w:rsidRPr="004653EE" w:rsidRDefault="00994A16" w:rsidP="00994A16">
      <w:pPr>
        <w:pStyle w:val="Para1"/>
        <w:numPr>
          <w:ilvl w:val="0"/>
          <w:numId w:val="2"/>
        </w:numPr>
        <w:ind w:firstLine="698"/>
        <w:rPr>
          <w:lang w:val="ru-RU"/>
        </w:rPr>
      </w:pPr>
      <w:r w:rsidRPr="004653EE">
        <w:rPr>
          <w:szCs w:val="22"/>
          <w:lang w:val="ru-RU"/>
        </w:rPr>
        <w:t>[</w:t>
      </w:r>
      <w:r>
        <w:rPr>
          <w:szCs w:val="22"/>
          <w:lang w:val="ru-RU"/>
        </w:rPr>
        <w:t>р</w:t>
      </w:r>
      <w:r w:rsidRPr="004653EE">
        <w:rPr>
          <w:szCs w:val="22"/>
          <w:lang w:val="ru-RU"/>
        </w:rPr>
        <w:t>ешение о цифровой информация о последовательностях в отношении генетических ресурсов, скорее всего, будет включать многосторонний механизм (например, многосторонний фонд). Существуют различные мнения относительно преимуществ только многосторонней системы по сравнению с гибридной системой (т.е. многосторонней с ограниченными двусторонними исключениями) и относительно необходимости смешанных моделей финансирования или управления для таких систем;]</w:t>
      </w:r>
    </w:p>
    <w:p w14:paraId="09469881" w14:textId="77777777" w:rsidR="00994A16" w:rsidRPr="004653EE" w:rsidRDefault="00994A16" w:rsidP="00994A16">
      <w:pPr>
        <w:pStyle w:val="Para1"/>
        <w:numPr>
          <w:ilvl w:val="0"/>
          <w:numId w:val="2"/>
        </w:numPr>
        <w:ind w:firstLine="698"/>
        <w:rPr>
          <w:lang w:val="ru-RU"/>
        </w:rPr>
      </w:pPr>
      <w:r>
        <w:rPr>
          <w:rFonts w:eastAsia="Calibri"/>
          <w:szCs w:val="22"/>
          <w:lang w:val="ru-RU"/>
        </w:rPr>
        <w:t>[н</w:t>
      </w:r>
      <w:r w:rsidRPr="004653EE">
        <w:rPr>
          <w:rFonts w:eastAsia="Calibri"/>
          <w:szCs w:val="22"/>
          <w:lang w:val="ru-RU"/>
        </w:rPr>
        <w:t>аиболее эффективным и действенным способом совместного использования выгод является многосторонний механизм совместного использования выгод;]</w:t>
      </w:r>
    </w:p>
    <w:p w14:paraId="7455359F" w14:textId="77777777" w:rsidR="00994A16" w:rsidRPr="004653EE" w:rsidRDefault="00994A16" w:rsidP="00994A16">
      <w:pPr>
        <w:pStyle w:val="Para1"/>
        <w:numPr>
          <w:ilvl w:val="0"/>
          <w:numId w:val="2"/>
        </w:numPr>
        <w:ind w:firstLine="698"/>
        <w:rPr>
          <w:lang w:val="ru-RU"/>
        </w:rPr>
      </w:pPr>
      <w:r w:rsidRPr="004653EE">
        <w:rPr>
          <w:szCs w:val="22"/>
          <w:lang w:val="ru-RU"/>
        </w:rPr>
        <w:t>[[</w:t>
      </w:r>
      <w:r>
        <w:rPr>
          <w:szCs w:val="22"/>
          <w:lang w:val="ru-RU"/>
        </w:rPr>
        <w:t>в</w:t>
      </w:r>
      <w:r w:rsidRPr="004653EE">
        <w:rPr>
          <w:szCs w:val="22"/>
          <w:lang w:val="ru-RU"/>
        </w:rPr>
        <w:t xml:space="preserve"> случае если 15-е совещание Конференции Сторон не сможет договориться о решении о совместном использовании выгод от цифровой информации о последовательностях] призывает Стороны защищать свои суверенные права на генетические ресурсы путем прямого включения мер по контролю доступа к цифровой информации о последовательностях в свои национальные правовые, административные и политические меры, принимаемые в соответствии со статьями 3 и 15 Конвенции о биологическом разнообразии, а также </w:t>
      </w:r>
      <w:proofErr w:type="spellStart"/>
      <w:r w:rsidRPr="004653EE">
        <w:rPr>
          <w:szCs w:val="22"/>
          <w:lang w:val="ru-RU"/>
        </w:rPr>
        <w:t>Нагойским</w:t>
      </w:r>
      <w:proofErr w:type="spellEnd"/>
      <w:r w:rsidRPr="004653EE">
        <w:rPr>
          <w:szCs w:val="22"/>
          <w:lang w:val="ru-RU"/>
        </w:rPr>
        <w:t xml:space="preserve"> протоколом;]</w:t>
      </w:r>
    </w:p>
    <w:p w14:paraId="03F70DC6" w14:textId="77777777" w:rsidR="00994A16" w:rsidRPr="004653EE" w:rsidRDefault="00994A16" w:rsidP="00994A16">
      <w:pPr>
        <w:pStyle w:val="Para1"/>
        <w:numPr>
          <w:ilvl w:val="0"/>
          <w:numId w:val="2"/>
        </w:numPr>
        <w:ind w:firstLine="698"/>
        <w:rPr>
          <w:lang w:val="ru-RU"/>
        </w:rPr>
      </w:pPr>
      <w:r w:rsidRPr="004653EE">
        <w:rPr>
          <w:szCs w:val="22"/>
          <w:lang w:val="ru-RU"/>
        </w:rPr>
        <w:t>[[отмечает, что] в рамках своих структур регулирования доступа и совместного использования выгод некоторые Стороны приняли меры на национальном уровне, регулирующие доступ к цифровой информации о последовательностях в отношении генетических ресурсов и ее использование;]</w:t>
      </w:r>
    </w:p>
    <w:p w14:paraId="37D825E5" w14:textId="77777777" w:rsidR="00994A16" w:rsidRPr="004653EE" w:rsidRDefault="00994A16" w:rsidP="00994A16">
      <w:pPr>
        <w:pStyle w:val="Para1"/>
        <w:numPr>
          <w:ilvl w:val="0"/>
          <w:numId w:val="2"/>
        </w:numPr>
        <w:ind w:firstLine="698"/>
        <w:rPr>
          <w:lang w:val="ru-RU"/>
        </w:rPr>
      </w:pPr>
      <w:r w:rsidRPr="004653EE">
        <w:rPr>
          <w:szCs w:val="22"/>
          <w:lang w:val="ru-RU"/>
        </w:rPr>
        <w:t xml:space="preserve">[признает, что [решение] [практический подход], упомянутый в пункте [--] выше, [может] [должен] включать создание многостороннего механизма совместного использования выгод, как описано в [приложении] к настоящему решению [в качестве вклада в мобилизацию ресурсов для реализации глобальной рамочной программы в области биоразнообразия на период после 2020 года, и настоящим постановляет создать многосторонний механизм совместного использования выгод, как описано в решении 15/--];] </w:t>
      </w:r>
    </w:p>
    <w:p w14:paraId="7A32882C" w14:textId="77777777" w:rsidR="00994A16" w:rsidRPr="004653EE" w:rsidRDefault="00994A16" w:rsidP="00994A16">
      <w:pPr>
        <w:pStyle w:val="Para1"/>
        <w:numPr>
          <w:ilvl w:val="0"/>
          <w:numId w:val="2"/>
        </w:numPr>
        <w:ind w:firstLine="698"/>
        <w:rPr>
          <w:lang w:val="ru-RU"/>
        </w:rPr>
      </w:pPr>
      <w:r>
        <w:rPr>
          <w:szCs w:val="22"/>
          <w:lang w:val="ru-RU"/>
        </w:rPr>
        <w:t>[п</w:t>
      </w:r>
      <w:r w:rsidRPr="004653EE">
        <w:rPr>
          <w:szCs w:val="22"/>
          <w:lang w:val="ru-RU"/>
        </w:rPr>
        <w:t xml:space="preserve">остановляет наладить [многосторонний] [межправительственный] диалог для </w:t>
      </w:r>
      <w:proofErr w:type="spellStart"/>
      <w:r w:rsidRPr="004653EE">
        <w:rPr>
          <w:szCs w:val="22"/>
          <w:lang w:val="ru-RU"/>
        </w:rPr>
        <w:t>межсекторальной</w:t>
      </w:r>
      <w:proofErr w:type="spellEnd"/>
      <w:r w:rsidRPr="004653EE">
        <w:rPr>
          <w:szCs w:val="22"/>
          <w:lang w:val="ru-RU"/>
        </w:rPr>
        <w:t xml:space="preserve"> координации по вопросам, связанным с цифровой информацией о </w:t>
      </w:r>
      <w:r w:rsidRPr="004653EE">
        <w:rPr>
          <w:szCs w:val="22"/>
          <w:lang w:val="ru-RU"/>
        </w:rPr>
        <w:lastRenderedPageBreak/>
        <w:t>последовательностях в отношении генетических ресурсов [, дополнительно приглашая многосторонние заинтересованные стороны и международные организации,] [в частности, по вопросам, связанным с наращиванием потенциала и передачей технологий развивающимся странам] при [сотрудничестве] соответствующих международных организаций [и академических учреждений [, научных сообществ и отраслей]], связанных с цифровой информацией о последовательностях, с целью повышения согласованности, в том числе в терминологии, в надлежащих случаях, между соответствующими договорными органами и международными правовыми нормами, не выходя за рамки соответствующих мандатов и документов каждой организации, которые не противоречат целям Конвенции и ее Протоколов];]</w:t>
      </w:r>
    </w:p>
    <w:p w14:paraId="7F9EF2D9" w14:textId="77777777" w:rsidR="00994A16" w:rsidRPr="004653EE" w:rsidRDefault="00994A16" w:rsidP="00994A16">
      <w:pPr>
        <w:pStyle w:val="Para1"/>
        <w:numPr>
          <w:ilvl w:val="0"/>
          <w:numId w:val="2"/>
        </w:numPr>
        <w:ind w:firstLine="698"/>
        <w:rPr>
          <w:lang w:val="ru-RU"/>
        </w:rPr>
      </w:pPr>
      <w:r w:rsidRPr="004653EE">
        <w:rPr>
          <w:szCs w:val="22"/>
          <w:lang w:val="ru-RU"/>
        </w:rPr>
        <w:t>[</w:t>
      </w:r>
      <w:r>
        <w:rPr>
          <w:szCs w:val="22"/>
          <w:lang w:val="ru-RU"/>
        </w:rPr>
        <w:t>п</w:t>
      </w:r>
      <w:r w:rsidRPr="004653EE">
        <w:rPr>
          <w:szCs w:val="22"/>
          <w:lang w:val="ru-RU"/>
        </w:rPr>
        <w:t>росит Генеральную Ассамблею Организации Объединенных Наций учредить межправительственный комитет для проведения переговоров по юридически обязывающему документу, определяющему доступ к совместному использованию выгод в связи с цифровой информацией о последовательностях в отношении генетических ресурсов;]</w:t>
      </w:r>
    </w:p>
    <w:p w14:paraId="0FD75A35" w14:textId="77777777" w:rsidR="00994A16" w:rsidRPr="004653EE" w:rsidRDefault="00994A16" w:rsidP="00994A16">
      <w:pPr>
        <w:pStyle w:val="Para1"/>
        <w:numPr>
          <w:ilvl w:val="0"/>
          <w:numId w:val="2"/>
        </w:numPr>
        <w:ind w:firstLine="698"/>
        <w:rPr>
          <w:lang w:val="ru-RU"/>
        </w:rPr>
      </w:pPr>
      <w:r w:rsidRPr="004653EE">
        <w:rPr>
          <w:szCs w:val="22"/>
          <w:lang w:val="ru-RU"/>
        </w:rPr>
        <w:t>[постановляет продлить мандат расширенной Специальной группы технических экспертов, учрежденной в соответствии с решением 14/20, для обсуждения разнообразных вопросов, связанных с цифровой информацией о последовательностях в отношении генетических ресурсов, включая результаты многостороннего диалога заинтересованных сторон, упомянутого в пункте [--] настоящего решения, и просит Специальную группу технических экспертов представить свои рекомендации на рассмотрение Конференции Сторон на ее 16-м совещании;]</w:t>
      </w:r>
    </w:p>
    <w:p w14:paraId="53AC61F8" w14:textId="77777777" w:rsidR="00994A16" w:rsidRPr="004653EE" w:rsidRDefault="00994A16" w:rsidP="00994A16">
      <w:pPr>
        <w:pStyle w:val="Para1"/>
        <w:numPr>
          <w:ilvl w:val="0"/>
          <w:numId w:val="2"/>
        </w:numPr>
        <w:ind w:firstLine="698"/>
        <w:rPr>
          <w:lang w:val="ru-RU"/>
        </w:rPr>
      </w:pPr>
      <w:r w:rsidRPr="004653EE">
        <w:rPr>
          <w:szCs w:val="22"/>
          <w:lang w:val="ru-RU"/>
        </w:rPr>
        <w:t>[</w:t>
      </w:r>
      <w:r>
        <w:rPr>
          <w:szCs w:val="22"/>
          <w:lang w:val="ru-RU"/>
        </w:rPr>
        <w:t>у</w:t>
      </w:r>
      <w:r w:rsidRPr="004653EE">
        <w:rPr>
          <w:szCs w:val="22"/>
          <w:lang w:val="ru-RU"/>
        </w:rPr>
        <w:t>частие широкого круга заинтересованных сторон в процессе разработки политики по такому сложному вопросу, как цифровая информация о последовательностях в отношении генетических ресурсов, имеет решающее значение для прагматического понимания целого ряда мнений, точек зрения и интересов, что позволит приблизиться к потенциально прагматичному политическому решению, учитывающему интересы тех, кого оно касается. Продолжение диалога с участием многих заинтересованных сторон также будет иметь важное значение для эффективной реализации любого решения.]</w:t>
      </w:r>
    </w:p>
    <w:p w14:paraId="17374236" w14:textId="77777777" w:rsidR="00994A16" w:rsidRPr="004653EE" w:rsidRDefault="00994A16" w:rsidP="00994A16">
      <w:pPr>
        <w:jc w:val="left"/>
        <w:rPr>
          <w:snapToGrid w:val="0"/>
          <w:szCs w:val="22"/>
          <w:lang w:val="ru-RU"/>
        </w:rPr>
      </w:pPr>
    </w:p>
    <w:p w14:paraId="3DF3C04C" w14:textId="0F8168D4" w:rsidR="00994A16" w:rsidRPr="004653EE" w:rsidRDefault="00994A16" w:rsidP="00994A16">
      <w:pPr>
        <w:keepNext/>
        <w:spacing w:before="120" w:after="120" w:line="259" w:lineRule="auto"/>
        <w:jc w:val="center"/>
        <w:outlineLvl w:val="2"/>
        <w:rPr>
          <w:rFonts w:eastAsia="Calibri"/>
          <w:i/>
          <w:iCs/>
          <w:kern w:val="22"/>
          <w:szCs w:val="22"/>
          <w:lang w:val="ru-RU"/>
        </w:rPr>
      </w:pPr>
      <w:bookmarkStart w:id="0" w:name="_Toc102748801"/>
      <w:r w:rsidRPr="004653EE">
        <w:rPr>
          <w:i/>
          <w:lang w:val="ru-RU"/>
        </w:rPr>
        <w:t>[Приложение к решению, рекомендованному 15-му совещанию Конференции Сторон</w:t>
      </w:r>
      <w:bookmarkEnd w:id="0"/>
    </w:p>
    <w:p w14:paraId="4B2503AB" w14:textId="77777777" w:rsidR="00994A16" w:rsidRDefault="00994A16" w:rsidP="00994A16">
      <w:pPr>
        <w:keepNext/>
        <w:spacing w:before="120" w:after="120" w:line="259" w:lineRule="auto"/>
        <w:jc w:val="center"/>
        <w:rPr>
          <w:b/>
          <w:lang w:val="ru-RU"/>
        </w:rPr>
      </w:pPr>
      <w:bookmarkStart w:id="1" w:name="_Toc102726185"/>
      <w:r>
        <w:rPr>
          <w:b/>
          <w:lang w:val="ru-RU"/>
        </w:rPr>
        <w:t>ПРЕДЛОЖЕНИЯ</w:t>
      </w:r>
      <w:r w:rsidRPr="004653EE">
        <w:rPr>
          <w:b/>
          <w:lang w:val="ru-RU"/>
        </w:rPr>
        <w:t xml:space="preserve"> О МНОГОСТОРОНН</w:t>
      </w:r>
      <w:r>
        <w:rPr>
          <w:b/>
          <w:lang w:val="ru-RU"/>
        </w:rPr>
        <w:t>ИХ И ГИБРИДНЫХ ПОДХОДАХ</w:t>
      </w:r>
      <w:r w:rsidRPr="004653EE">
        <w:rPr>
          <w:b/>
          <w:lang w:val="ru-RU"/>
        </w:rPr>
        <w:t xml:space="preserve"> </w:t>
      </w:r>
      <w:r>
        <w:rPr>
          <w:b/>
          <w:lang w:val="ru-RU"/>
        </w:rPr>
        <w:t xml:space="preserve">К </w:t>
      </w:r>
      <w:r w:rsidRPr="004653EE">
        <w:rPr>
          <w:b/>
          <w:lang w:val="ru-RU"/>
        </w:rPr>
        <w:t>СОВМЕСТНО</w:t>
      </w:r>
      <w:r>
        <w:rPr>
          <w:b/>
          <w:lang w:val="ru-RU"/>
        </w:rPr>
        <w:t>МУ</w:t>
      </w:r>
      <w:r w:rsidRPr="004653EE">
        <w:rPr>
          <w:b/>
          <w:lang w:val="ru-RU"/>
        </w:rPr>
        <w:t xml:space="preserve"> ИСПОЛЬЗОВАНИ</w:t>
      </w:r>
      <w:r>
        <w:rPr>
          <w:b/>
          <w:lang w:val="ru-RU"/>
        </w:rPr>
        <w:t>Ю</w:t>
      </w:r>
      <w:r w:rsidRPr="004653EE">
        <w:rPr>
          <w:b/>
          <w:lang w:val="ru-RU"/>
        </w:rPr>
        <w:t xml:space="preserve"> ВЫГОД</w:t>
      </w:r>
      <w:bookmarkEnd w:id="1"/>
      <w:r>
        <w:rPr>
          <w:b/>
          <w:lang w:val="ru-RU"/>
        </w:rPr>
        <w:t xml:space="preserve"> ОТ ПРИМЕНЕНИЯ ЦИФРОВОЙ ИНФОРМАЦИИ О ПОСЛЕДОВАТЕЛЬНОСТЯХ В ОТНОШЕНИИ ГЕНЕТИЧЕСКИХ РЕСУРСОВ</w:t>
      </w:r>
    </w:p>
    <w:p w14:paraId="660A8BB7" w14:textId="77777777" w:rsidR="00994A16" w:rsidRPr="00E05B45" w:rsidRDefault="00994A16" w:rsidP="00994A16">
      <w:pPr>
        <w:keepNext/>
        <w:spacing w:before="120" w:after="120" w:line="256" w:lineRule="auto"/>
        <w:jc w:val="center"/>
        <w:rPr>
          <w:rFonts w:eastAsia="Calibri"/>
          <w:b/>
          <w:bCs/>
          <w:kern w:val="22"/>
          <w:lang w:val="ru-RU" w:eastAsia="zh-CN"/>
        </w:rPr>
      </w:pPr>
      <w:r w:rsidRPr="45CC258C">
        <w:rPr>
          <w:rFonts w:eastAsia="Calibri"/>
          <w:b/>
          <w:bCs/>
          <w:kern w:val="22"/>
          <w:lang w:eastAsia="zh-CN"/>
        </w:rPr>
        <w:t>A</w:t>
      </w:r>
      <w:r w:rsidRPr="00E05B45">
        <w:rPr>
          <w:rFonts w:eastAsia="Calibri"/>
          <w:b/>
          <w:bCs/>
          <w:kern w:val="22"/>
          <w:lang w:val="ru-RU" w:eastAsia="zh-CN"/>
        </w:rPr>
        <w:t xml:space="preserve">. </w:t>
      </w:r>
      <w:r w:rsidRPr="00E05B45">
        <w:rPr>
          <w:rStyle w:val="Heading2Char"/>
          <w:rFonts w:eastAsia="Calibri"/>
          <w:lang w:val="ru-RU"/>
        </w:rPr>
        <w:t>Предложения о создании многостороннего механизма совместного использования выгод</w:t>
      </w:r>
    </w:p>
    <w:p w14:paraId="3D9EC818" w14:textId="77777777" w:rsidR="00994A16" w:rsidRPr="004653EE" w:rsidRDefault="00994A16" w:rsidP="00994A16">
      <w:pPr>
        <w:spacing w:before="120" w:after="120"/>
        <w:rPr>
          <w:rFonts w:eastAsia="Calibri"/>
          <w:bCs/>
          <w:szCs w:val="22"/>
          <w:lang w:val="ru-RU"/>
        </w:rPr>
      </w:pPr>
      <w:r w:rsidRPr="004653EE">
        <w:rPr>
          <w:lang w:val="ru-RU"/>
        </w:rPr>
        <w:t xml:space="preserve">1. </w:t>
      </w:r>
      <w:r w:rsidRPr="004653EE">
        <w:rPr>
          <w:lang w:val="ru-RU"/>
        </w:rPr>
        <w:tab/>
        <w:t>Многосторонний механизм совместного использования выгод может действовать следующим образом</w:t>
      </w:r>
      <w:r w:rsidRPr="004653EE">
        <w:rPr>
          <w:rFonts w:eastAsia="Calibri"/>
          <w:kern w:val="22"/>
          <w:sz w:val="18"/>
          <w:szCs w:val="22"/>
          <w:vertAlign w:val="superscript"/>
          <w:lang w:val="ru-RU"/>
        </w:rPr>
        <w:footnoteReference w:id="3"/>
      </w:r>
      <w:r w:rsidRPr="004653EE">
        <w:rPr>
          <w:lang w:val="ru-RU"/>
        </w:rPr>
        <w:t>:</w:t>
      </w:r>
    </w:p>
    <w:p w14:paraId="0F6F07AE" w14:textId="77777777" w:rsidR="00994A16" w:rsidRPr="004653EE" w:rsidRDefault="00994A16" w:rsidP="00994A16">
      <w:pPr>
        <w:pBdr>
          <w:top w:val="nil"/>
          <w:left w:val="nil"/>
          <w:bottom w:val="nil"/>
          <w:right w:val="nil"/>
          <w:between w:val="nil"/>
        </w:pBdr>
        <w:spacing w:before="120" w:after="120" w:line="259" w:lineRule="auto"/>
        <w:ind w:firstLine="720"/>
        <w:rPr>
          <w:rFonts w:eastAsia="Calibri"/>
          <w:bCs/>
          <w:szCs w:val="22"/>
          <w:lang w:val="ru-RU"/>
        </w:rPr>
      </w:pPr>
      <w:r w:rsidRPr="004653EE">
        <w:rPr>
          <w:lang w:val="ru-RU"/>
        </w:rPr>
        <w:t>(a)</w:t>
      </w:r>
      <w:r w:rsidRPr="004653EE">
        <w:rPr>
          <w:lang w:val="ru-RU"/>
        </w:rPr>
        <w:tab/>
        <w:t xml:space="preserve">каждая Сторона, относящаяся к развитым странам, в соответствии со статьями 20 и 15.7 Конвенции принимает, в зависимости от обстоятельств, законодательные, административные или политические меры для обеспечения того, чтобы 1% розничной цены в рамках общих коммерческих поступлений от всех случаев применения генетических ресурсов, традиционных знаний, связанных с генетическими ресурсами, или цифровой информации о последовательностях в отношении генетических ресурсов распределялся через многосторонний механизм совместного </w:t>
      </w:r>
      <w:r w:rsidRPr="004653EE">
        <w:rPr>
          <w:lang w:val="ru-RU"/>
        </w:rPr>
        <w:lastRenderedPageBreak/>
        <w:t>использования выгод в целях содействия сохранению и устойчивому использованию биологического разнообразия, если эти выгоды не распределяются иным образом на взаимно согласованных условиях, которые закреплены в рамках двусторонней системы;</w:t>
      </w:r>
    </w:p>
    <w:p w14:paraId="31865236" w14:textId="77777777" w:rsidR="00994A16" w:rsidRPr="004653EE" w:rsidRDefault="00994A16" w:rsidP="00994A16">
      <w:pPr>
        <w:pBdr>
          <w:top w:val="nil"/>
          <w:left w:val="nil"/>
          <w:bottom w:val="nil"/>
          <w:right w:val="nil"/>
          <w:between w:val="nil"/>
        </w:pBdr>
        <w:spacing w:before="120" w:after="120"/>
        <w:ind w:firstLine="720"/>
        <w:rPr>
          <w:rFonts w:eastAsia="Calibri"/>
          <w:bCs/>
          <w:szCs w:val="22"/>
          <w:lang w:val="ru-RU"/>
        </w:rPr>
      </w:pPr>
      <w:r w:rsidRPr="004653EE">
        <w:rPr>
          <w:lang w:val="ru-RU"/>
        </w:rPr>
        <w:t>(b)</w:t>
      </w:r>
      <w:r w:rsidRPr="004653EE">
        <w:rPr>
          <w:lang w:val="ru-RU"/>
        </w:rPr>
        <w:tab/>
        <w:t>все денежные выгоды, распределяемые через многосторонний механизм совместного использования выгод, поступают в глобальный фонд биоразнообразия, который управляется Глобальным экологическим фондом, выступающим в качестве финансового механизма Конвенции, причем этот глобальный фонд также открыт для внесения в него добровольных взносов из всех источников;</w:t>
      </w:r>
    </w:p>
    <w:p w14:paraId="090CBDB5" w14:textId="77777777" w:rsidR="00994A16" w:rsidRPr="004653EE" w:rsidRDefault="00994A16" w:rsidP="00994A16">
      <w:pPr>
        <w:pBdr>
          <w:top w:val="nil"/>
          <w:left w:val="nil"/>
          <w:bottom w:val="nil"/>
          <w:right w:val="nil"/>
          <w:between w:val="nil"/>
        </w:pBdr>
        <w:spacing w:before="120" w:after="120"/>
        <w:ind w:firstLine="720"/>
        <w:rPr>
          <w:rFonts w:eastAsia="Calibri"/>
          <w:bCs/>
          <w:szCs w:val="22"/>
          <w:lang w:val="ru-RU"/>
        </w:rPr>
      </w:pPr>
      <w:r w:rsidRPr="004653EE">
        <w:rPr>
          <w:lang w:val="ru-RU"/>
        </w:rPr>
        <w:t>(c)</w:t>
      </w:r>
      <w:r w:rsidRPr="004653EE">
        <w:rPr>
          <w:lang w:val="ru-RU"/>
        </w:rPr>
        <w:tab/>
        <w:t>средства глобального фонда биоразнообразия используются на условиях открытости, конкуренции и ориентации на конкретные проекты для содействия деятельности на местах, нацеленной на сохранение биологического разнообразия и устойчивое использование его компонентов в соответствии с экосистемным подходом и осуществляемой коренными народами, местными общинами и другими субъектами в стремлении выполнить приоритетные задачи в части расходования средств, периодически определяемые Межправительственной научно-политической платформой по биоразнообразию и экосистемным услугам в рамках научных оценок.</w:t>
      </w:r>
    </w:p>
    <w:p w14:paraId="48D6854C" w14:textId="77777777" w:rsidR="00994A16" w:rsidRPr="00791EB3" w:rsidRDefault="00994A16" w:rsidP="00994A16">
      <w:pPr>
        <w:pStyle w:val="Para1"/>
        <w:tabs>
          <w:tab w:val="clear" w:pos="360"/>
          <w:tab w:val="num" w:pos="709"/>
        </w:tabs>
        <w:rPr>
          <w:i/>
          <w:iCs/>
          <w:lang w:val="ru-RU"/>
        </w:rPr>
      </w:pPr>
      <w:r w:rsidRPr="004653EE">
        <w:rPr>
          <w:lang w:val="ru-RU"/>
        </w:rPr>
        <w:t>Исполнительному секретарю поручается в консультации со всеми Сторонами и Глобальным экологическим фондом подготовить варианты принятия национальных законодательных, административных или политических мер для внедрения многосторонней системы совместного использования выгод и представить доклад Конференции Сторон на ее 16-м совещании.</w:t>
      </w:r>
    </w:p>
    <w:p w14:paraId="68C48574" w14:textId="77777777" w:rsidR="00994A16" w:rsidRPr="005534DE" w:rsidRDefault="00994A16" w:rsidP="00994A16">
      <w:pPr>
        <w:pStyle w:val="Heading2"/>
        <w:tabs>
          <w:tab w:val="clear" w:pos="720"/>
        </w:tabs>
        <w:rPr>
          <w:rFonts w:eastAsia="Calibri"/>
          <w:lang w:val="ru-RU" w:eastAsia="zh-CN"/>
        </w:rPr>
      </w:pPr>
      <w:r w:rsidRPr="45CC258C">
        <w:rPr>
          <w:rFonts w:eastAsia="Calibri"/>
          <w:lang w:eastAsia="zh-CN"/>
        </w:rPr>
        <w:t>B</w:t>
      </w:r>
      <w:r w:rsidRPr="005534DE">
        <w:rPr>
          <w:rFonts w:eastAsia="Calibri"/>
          <w:lang w:val="ru-RU" w:eastAsia="zh-CN"/>
        </w:rPr>
        <w:t xml:space="preserve">. </w:t>
      </w:r>
      <w:r w:rsidRPr="005534DE">
        <w:rPr>
          <w:rFonts w:eastAsia="Calibri"/>
          <w:lang w:val="ru-RU" w:eastAsia="zh-CN"/>
        </w:rPr>
        <w:tab/>
      </w:r>
      <w:r>
        <w:rPr>
          <w:rFonts w:eastAsia="Calibri"/>
          <w:lang w:val="ru-RU" w:eastAsia="zh-CN"/>
        </w:rPr>
        <w:t>Возможные</w:t>
      </w:r>
      <w:r w:rsidRPr="005534DE">
        <w:rPr>
          <w:rFonts w:eastAsia="Calibri"/>
          <w:lang w:val="ru-RU" w:eastAsia="zh-CN"/>
        </w:rPr>
        <w:t xml:space="preserve"> </w:t>
      </w:r>
      <w:r>
        <w:rPr>
          <w:rFonts w:eastAsia="Calibri"/>
          <w:lang w:val="ru-RU" w:eastAsia="zh-CN"/>
        </w:rPr>
        <w:t>подходы</w:t>
      </w:r>
      <w:r w:rsidRPr="005534DE">
        <w:rPr>
          <w:rFonts w:eastAsia="Calibri"/>
          <w:lang w:val="ru-RU" w:eastAsia="zh-CN"/>
        </w:rPr>
        <w:t xml:space="preserve"> </w:t>
      </w:r>
      <w:r>
        <w:rPr>
          <w:rFonts w:eastAsia="Calibri"/>
          <w:lang w:val="ru-RU" w:eastAsia="zh-CN"/>
        </w:rPr>
        <w:t>к</w:t>
      </w:r>
      <w:r w:rsidRPr="005534DE">
        <w:rPr>
          <w:rFonts w:eastAsia="Calibri"/>
          <w:lang w:val="ru-RU" w:eastAsia="zh-CN"/>
        </w:rPr>
        <w:t xml:space="preserve"> </w:t>
      </w:r>
      <w:r>
        <w:rPr>
          <w:rFonts w:eastAsia="Calibri"/>
          <w:lang w:val="ru-RU" w:eastAsia="zh-CN"/>
        </w:rPr>
        <w:t>гибридному</w:t>
      </w:r>
      <w:r w:rsidRPr="005534DE">
        <w:rPr>
          <w:rFonts w:eastAsia="Calibri"/>
          <w:lang w:val="ru-RU" w:eastAsia="zh-CN"/>
        </w:rPr>
        <w:t xml:space="preserve"> </w:t>
      </w:r>
      <w:r>
        <w:rPr>
          <w:rFonts w:eastAsia="Calibri"/>
          <w:lang w:val="ru-RU" w:eastAsia="zh-CN"/>
        </w:rPr>
        <w:t>решению</w:t>
      </w:r>
      <w:r w:rsidRPr="005534DE">
        <w:rPr>
          <w:rFonts w:eastAsia="Calibri"/>
          <w:lang w:val="ru-RU" w:eastAsia="zh-CN"/>
        </w:rPr>
        <w:t xml:space="preserve"> </w:t>
      </w:r>
      <w:r>
        <w:rPr>
          <w:rFonts w:eastAsia="Calibri"/>
          <w:lang w:val="ru-RU" w:eastAsia="zh-CN"/>
        </w:rPr>
        <w:t>о</w:t>
      </w:r>
      <w:r w:rsidRPr="005534DE">
        <w:rPr>
          <w:rFonts w:eastAsia="Calibri"/>
          <w:lang w:val="ru-RU" w:eastAsia="zh-CN"/>
        </w:rPr>
        <w:t xml:space="preserve"> </w:t>
      </w:r>
      <w:r>
        <w:rPr>
          <w:rFonts w:eastAsia="Calibri"/>
          <w:lang w:val="ru-RU" w:eastAsia="zh-CN"/>
        </w:rPr>
        <w:t>доступе</w:t>
      </w:r>
      <w:r w:rsidRPr="005534DE">
        <w:rPr>
          <w:rFonts w:eastAsia="Calibri"/>
          <w:lang w:val="ru-RU" w:eastAsia="zh-CN"/>
        </w:rPr>
        <w:t xml:space="preserve"> и совместно</w:t>
      </w:r>
      <w:r>
        <w:rPr>
          <w:rFonts w:eastAsia="Calibri"/>
          <w:lang w:val="ru-RU" w:eastAsia="zh-CN"/>
        </w:rPr>
        <w:t>м</w:t>
      </w:r>
      <w:r w:rsidRPr="005534DE">
        <w:rPr>
          <w:rFonts w:eastAsia="Calibri"/>
          <w:lang w:val="ru-RU" w:eastAsia="zh-CN"/>
        </w:rPr>
        <w:t xml:space="preserve"> использовани</w:t>
      </w:r>
      <w:r>
        <w:rPr>
          <w:rFonts w:eastAsia="Calibri"/>
          <w:lang w:val="ru-RU" w:eastAsia="zh-CN"/>
        </w:rPr>
        <w:t>и</w:t>
      </w:r>
      <w:r w:rsidRPr="005534DE">
        <w:rPr>
          <w:rFonts w:eastAsia="Calibri"/>
          <w:lang w:val="ru-RU" w:eastAsia="zh-CN"/>
        </w:rPr>
        <w:t xml:space="preserve"> выгод </w:t>
      </w:r>
      <w:r>
        <w:rPr>
          <w:rFonts w:eastAsia="Calibri"/>
          <w:lang w:val="ru-RU" w:eastAsia="zh-CN"/>
        </w:rPr>
        <w:t>от применения цифровой информации о последовательностях в отношении генетических ресурсов</w:t>
      </w:r>
    </w:p>
    <w:p w14:paraId="5640B2F8" w14:textId="729F34E0" w:rsidR="00994A16" w:rsidRDefault="00994A16" w:rsidP="00994A16">
      <w:pPr>
        <w:pStyle w:val="Para1"/>
        <w:numPr>
          <w:ilvl w:val="0"/>
          <w:numId w:val="0"/>
        </w:numPr>
        <w:rPr>
          <w:rFonts w:eastAsia="Calibri"/>
          <w:lang w:val="ru-RU" w:eastAsia="zh-CN"/>
        </w:rPr>
      </w:pPr>
      <w:r w:rsidRPr="00C27C0C">
        <w:rPr>
          <w:rFonts w:eastAsia="Calibri"/>
          <w:szCs w:val="22"/>
          <w:lang w:val="ru-RU" w:eastAsia="zh-CN"/>
        </w:rPr>
        <w:t xml:space="preserve">1. </w:t>
      </w:r>
      <w:r w:rsidRPr="00C27C0C">
        <w:rPr>
          <w:rFonts w:eastAsia="Calibri"/>
          <w:szCs w:val="22"/>
          <w:lang w:val="ru-RU" w:eastAsia="zh-CN"/>
        </w:rPr>
        <w:tab/>
      </w:r>
      <w:r>
        <w:rPr>
          <w:rFonts w:eastAsia="Calibri"/>
          <w:lang w:val="ru-RU" w:eastAsia="zh-CN"/>
        </w:rPr>
        <w:t>Возможные</w:t>
      </w:r>
      <w:r w:rsidRPr="005534DE">
        <w:rPr>
          <w:rFonts w:eastAsia="Calibri"/>
          <w:lang w:val="ru-RU" w:eastAsia="zh-CN"/>
        </w:rPr>
        <w:t xml:space="preserve"> </w:t>
      </w:r>
      <w:r>
        <w:rPr>
          <w:rFonts w:eastAsia="Calibri"/>
          <w:lang w:val="ru-RU" w:eastAsia="zh-CN"/>
        </w:rPr>
        <w:t>подходы</w:t>
      </w:r>
      <w:r w:rsidRPr="005534DE">
        <w:rPr>
          <w:rFonts w:eastAsia="Calibri"/>
          <w:lang w:val="ru-RU" w:eastAsia="zh-CN"/>
        </w:rPr>
        <w:t xml:space="preserve"> </w:t>
      </w:r>
      <w:r>
        <w:rPr>
          <w:rFonts w:eastAsia="Calibri"/>
          <w:lang w:val="ru-RU" w:eastAsia="zh-CN"/>
        </w:rPr>
        <w:t>к</w:t>
      </w:r>
      <w:r w:rsidRPr="005534DE">
        <w:rPr>
          <w:rFonts w:eastAsia="Calibri"/>
          <w:lang w:val="ru-RU" w:eastAsia="zh-CN"/>
        </w:rPr>
        <w:t xml:space="preserve"> </w:t>
      </w:r>
      <w:r>
        <w:rPr>
          <w:rFonts w:eastAsia="Calibri"/>
          <w:lang w:val="ru-RU" w:eastAsia="zh-CN"/>
        </w:rPr>
        <w:t>гибридным</w:t>
      </w:r>
      <w:r w:rsidRPr="005534DE">
        <w:rPr>
          <w:rFonts w:eastAsia="Calibri"/>
          <w:lang w:val="ru-RU" w:eastAsia="zh-CN"/>
        </w:rPr>
        <w:t xml:space="preserve"> решению о доступе и совместном использовании выгод от применения цифровой информации о последовательностях в отношении генетических ресурсов </w:t>
      </w:r>
      <w:r>
        <w:rPr>
          <w:rFonts w:eastAsia="Calibri"/>
          <w:lang w:val="ru-RU" w:eastAsia="zh-CN"/>
        </w:rPr>
        <w:t xml:space="preserve">отражены в пунктах </w:t>
      </w:r>
      <w:r w:rsidRPr="005534DE">
        <w:rPr>
          <w:rFonts w:eastAsia="Calibri"/>
          <w:lang w:val="ru-RU" w:eastAsia="zh-CN"/>
        </w:rPr>
        <w:t>40 (</w:t>
      </w:r>
      <w:r w:rsidRPr="18A500CD">
        <w:rPr>
          <w:rFonts w:eastAsia="Calibri"/>
          <w:lang w:eastAsia="zh-CN"/>
        </w:rPr>
        <w:t>a</w:t>
      </w:r>
      <w:r w:rsidRPr="005534DE">
        <w:rPr>
          <w:rFonts w:eastAsia="Calibri"/>
          <w:lang w:val="ru-RU" w:eastAsia="zh-CN"/>
        </w:rPr>
        <w:t xml:space="preserve">) </w:t>
      </w:r>
      <w:r>
        <w:rPr>
          <w:rFonts w:eastAsia="Calibri"/>
          <w:lang w:val="ru-RU" w:eastAsia="zh-CN"/>
        </w:rPr>
        <w:t>и</w:t>
      </w:r>
      <w:r w:rsidRPr="005534DE">
        <w:rPr>
          <w:rFonts w:eastAsia="Calibri"/>
          <w:lang w:val="ru-RU" w:eastAsia="zh-CN"/>
        </w:rPr>
        <w:t xml:space="preserve"> (</w:t>
      </w:r>
      <w:r w:rsidRPr="18A500CD">
        <w:rPr>
          <w:rFonts w:eastAsia="Calibri"/>
          <w:lang w:eastAsia="zh-CN"/>
        </w:rPr>
        <w:t>b</w:t>
      </w:r>
      <w:r w:rsidRPr="005534DE">
        <w:rPr>
          <w:rFonts w:eastAsia="Calibri"/>
          <w:lang w:val="ru-RU" w:eastAsia="zh-CN"/>
        </w:rPr>
        <w:t xml:space="preserve">) </w:t>
      </w:r>
      <w:r>
        <w:rPr>
          <w:rFonts w:eastAsia="Calibri"/>
          <w:lang w:val="ru-RU" w:eastAsia="zh-CN"/>
        </w:rPr>
        <w:t xml:space="preserve">документа </w:t>
      </w:r>
      <w:r w:rsidRPr="18A500CD">
        <w:rPr>
          <w:rFonts w:eastAsia="Calibri"/>
          <w:lang w:eastAsia="zh-CN"/>
        </w:rPr>
        <w:t>CBD</w:t>
      </w:r>
      <w:r w:rsidRPr="005534DE">
        <w:rPr>
          <w:rFonts w:eastAsia="Calibri"/>
          <w:lang w:val="ru-RU" w:eastAsia="zh-CN"/>
        </w:rPr>
        <w:t>/</w:t>
      </w:r>
      <w:r w:rsidRPr="18A500CD">
        <w:rPr>
          <w:rFonts w:eastAsia="Calibri"/>
          <w:lang w:eastAsia="zh-CN"/>
        </w:rPr>
        <w:t>WG</w:t>
      </w:r>
      <w:r w:rsidRPr="005534DE">
        <w:rPr>
          <w:rFonts w:eastAsia="Calibri"/>
          <w:lang w:val="ru-RU" w:eastAsia="zh-CN"/>
        </w:rPr>
        <w:t>2020/3/</w:t>
      </w:r>
      <w:r w:rsidRPr="18A500CD">
        <w:rPr>
          <w:rFonts w:eastAsia="Calibri"/>
          <w:lang w:eastAsia="zh-CN"/>
        </w:rPr>
        <w:t>INF</w:t>
      </w:r>
      <w:r>
        <w:rPr>
          <w:rFonts w:eastAsia="Calibri"/>
          <w:lang w:val="ru-RU" w:eastAsia="zh-CN"/>
        </w:rPr>
        <w:t>/8.</w:t>
      </w:r>
    </w:p>
    <w:p w14:paraId="60BC677D" w14:textId="50EEAB43" w:rsidR="00653B83" w:rsidRPr="00653B83" w:rsidRDefault="00653B83" w:rsidP="00994A16">
      <w:pPr>
        <w:pStyle w:val="Para1"/>
        <w:numPr>
          <w:ilvl w:val="0"/>
          <w:numId w:val="0"/>
        </w:numPr>
        <w:rPr>
          <w:iCs/>
          <w:lang w:val="ru-RU" w:eastAsia="zh-CN"/>
        </w:rPr>
      </w:pPr>
      <w:r w:rsidRPr="00653B83">
        <w:rPr>
          <w:iCs/>
          <w:lang w:val="ru-RU"/>
        </w:rPr>
        <w:t>]</w:t>
      </w:r>
    </w:p>
    <w:p w14:paraId="0B1EA94A" w14:textId="77777777" w:rsidR="00994A16" w:rsidRPr="005534DE" w:rsidRDefault="00994A16" w:rsidP="00994A16">
      <w:pPr>
        <w:pStyle w:val="Para1"/>
        <w:numPr>
          <w:ilvl w:val="0"/>
          <w:numId w:val="0"/>
        </w:numPr>
        <w:rPr>
          <w:i/>
          <w:iCs/>
          <w:lang w:val="ru-RU"/>
        </w:rPr>
      </w:pPr>
    </w:p>
    <w:p w14:paraId="32514384" w14:textId="77777777" w:rsidR="00994A16" w:rsidRPr="004653EE" w:rsidRDefault="00994A16" w:rsidP="00994A16">
      <w:pPr>
        <w:pStyle w:val="BodyText"/>
        <w:jc w:val="center"/>
        <w:rPr>
          <w:lang w:val="ru-RU"/>
        </w:rPr>
      </w:pPr>
      <w:r w:rsidRPr="004653EE">
        <w:rPr>
          <w:lang w:val="ru-RU"/>
        </w:rPr>
        <w:t>__________</w:t>
      </w:r>
    </w:p>
    <w:p w14:paraId="7297EB4D" w14:textId="77777777" w:rsidR="00994A16" w:rsidRPr="00771552" w:rsidRDefault="00994A16" w:rsidP="00994A16">
      <w:pPr>
        <w:suppressLineNumbers/>
        <w:suppressAutoHyphens/>
        <w:jc w:val="center"/>
        <w:rPr>
          <w:snapToGrid w:val="0"/>
          <w:kern w:val="22"/>
        </w:rPr>
      </w:pPr>
    </w:p>
    <w:p w14:paraId="72458C29" w14:textId="77777777" w:rsidR="00E36071" w:rsidRDefault="00E36071"/>
    <w:sectPr w:rsidR="00E36071" w:rsidSect="00994A16">
      <w:headerReference w:type="even" r:id="rId11"/>
      <w:headerReference w:type="default" r:id="rId12"/>
      <w:pgSz w:w="12240" w:h="15840" w:code="1"/>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2C50F" w14:textId="77777777" w:rsidR="00797050" w:rsidRDefault="00797050" w:rsidP="00994A16">
      <w:r>
        <w:separator/>
      </w:r>
    </w:p>
  </w:endnote>
  <w:endnote w:type="continuationSeparator" w:id="0">
    <w:p w14:paraId="1289A67A" w14:textId="77777777" w:rsidR="00797050" w:rsidRDefault="00797050" w:rsidP="0099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2067" w14:textId="77777777" w:rsidR="00797050" w:rsidRDefault="00797050" w:rsidP="00994A16">
      <w:r>
        <w:separator/>
      </w:r>
    </w:p>
  </w:footnote>
  <w:footnote w:type="continuationSeparator" w:id="0">
    <w:p w14:paraId="43AFB4A9" w14:textId="77777777" w:rsidR="00797050" w:rsidRDefault="00797050" w:rsidP="00994A16">
      <w:r>
        <w:continuationSeparator/>
      </w:r>
    </w:p>
  </w:footnote>
  <w:footnote w:id="1">
    <w:p w14:paraId="58752AB6" w14:textId="77777777" w:rsidR="00994A16" w:rsidRPr="00AF4430" w:rsidRDefault="00994A16" w:rsidP="00994A16">
      <w:pPr>
        <w:pStyle w:val="FootnoteText"/>
        <w:ind w:firstLine="0"/>
        <w:rPr>
          <w:lang w:val="ru-RU"/>
        </w:rPr>
      </w:pPr>
      <w:r w:rsidRPr="005B1A5D">
        <w:rPr>
          <w:rStyle w:val="FootnoteReference"/>
          <w:rFonts w:eastAsiaTheme="majorEastAsia"/>
        </w:rPr>
        <w:footnoteRef/>
      </w:r>
      <w:r w:rsidRPr="00AF4430">
        <w:rPr>
          <w:lang w:val="ru-RU"/>
        </w:rPr>
        <w:t xml:space="preserve"> Следующие элементы пронумерованы</w:t>
      </w:r>
      <w:r w:rsidRPr="009A6595">
        <w:rPr>
          <w:lang w:val="ru-RU"/>
        </w:rPr>
        <w:t xml:space="preserve"> </w:t>
      </w:r>
      <w:r>
        <w:rPr>
          <w:lang w:val="ru-RU"/>
        </w:rPr>
        <w:t xml:space="preserve">исключительно </w:t>
      </w:r>
      <w:r w:rsidRPr="00AF4430">
        <w:rPr>
          <w:lang w:val="ru-RU"/>
        </w:rPr>
        <w:t>для удобства пользования.</w:t>
      </w:r>
    </w:p>
  </w:footnote>
  <w:footnote w:id="2">
    <w:p w14:paraId="21F470CB" w14:textId="77777777" w:rsidR="00994A16" w:rsidRPr="00AF4430" w:rsidRDefault="00994A16" w:rsidP="00994A16">
      <w:pPr>
        <w:pStyle w:val="FootnoteText"/>
        <w:ind w:firstLine="0"/>
        <w:rPr>
          <w:lang w:val="ru-RU"/>
        </w:rPr>
      </w:pPr>
      <w:r w:rsidRPr="005B1A5D">
        <w:rPr>
          <w:rStyle w:val="FootnoteReference"/>
          <w:rFonts w:eastAsiaTheme="majorEastAsia"/>
        </w:rPr>
        <w:footnoteRef/>
      </w:r>
      <w:r w:rsidRPr="005B1A5D">
        <w:rPr>
          <w:vertAlign w:val="superscript"/>
          <w:lang w:val="ru-RU"/>
        </w:rPr>
        <w:t xml:space="preserve"> </w:t>
      </w:r>
      <w:r w:rsidRPr="00AF4430">
        <w:rPr>
          <w:lang w:val="ru-RU"/>
        </w:rPr>
        <w:t xml:space="preserve">Раздел 2.3.3 документа </w:t>
      </w:r>
      <w:r>
        <w:t>CBD</w:t>
      </w:r>
      <w:r w:rsidRPr="00AF4430">
        <w:rPr>
          <w:lang w:val="ru-RU"/>
        </w:rPr>
        <w:t>/</w:t>
      </w:r>
      <w:r>
        <w:t>DSI</w:t>
      </w:r>
      <w:r w:rsidRPr="00AF4430">
        <w:rPr>
          <w:lang w:val="ru-RU"/>
        </w:rPr>
        <w:t>/</w:t>
      </w:r>
      <w:r>
        <w:t>AHTEG</w:t>
      </w:r>
      <w:r w:rsidRPr="00AF4430">
        <w:rPr>
          <w:lang w:val="ru-RU"/>
        </w:rPr>
        <w:t>/2020/1/3.</w:t>
      </w:r>
    </w:p>
  </w:footnote>
  <w:footnote w:id="3">
    <w:p w14:paraId="3997EC12" w14:textId="77777777" w:rsidR="00994A16" w:rsidRPr="00AF4430" w:rsidRDefault="00994A16" w:rsidP="00994A16">
      <w:pPr>
        <w:pStyle w:val="FootnoteText"/>
        <w:ind w:firstLine="0"/>
        <w:rPr>
          <w:lang w:val="ru-RU"/>
        </w:rPr>
      </w:pPr>
      <w:r w:rsidRPr="005B1A5D">
        <w:rPr>
          <w:rStyle w:val="FootnoteReference"/>
          <w:rFonts w:eastAsiaTheme="majorEastAsia"/>
        </w:rPr>
        <w:footnoteRef/>
      </w:r>
      <w:r w:rsidRPr="00AF4430">
        <w:rPr>
          <w:lang w:val="ru-RU"/>
        </w:rPr>
        <w:t xml:space="preserve"> Включение этого предлагаемого варианта никак не влияет на обсуждения в рамках Конференции Сторон и не направлено на определение каких-либо приоритетов среди потенциальных вариантов/решений.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Cs w:val="22"/>
      </w:rPr>
      <w:alias w:val="Subject"/>
      <w:tag w:val=""/>
      <w:id w:val="1446970978"/>
      <w:placeholder>
        <w:docPart w:val="2F4724A35FC9D0468AAEBD1C9429F0D5"/>
      </w:placeholder>
      <w:dataBinding w:prefixMappings="xmlns:ns0='http://purl.org/dc/elements/1.1/' xmlns:ns1='http://schemas.openxmlformats.org/package/2006/metadata/core-properties' " w:xpath="/ns1:coreProperties[1]/ns0:subject[1]" w:storeItemID="{6C3C8BC8-F283-45AE-878A-BAB7291924A1}"/>
      <w:text/>
    </w:sdtPr>
    <w:sdtEndPr/>
    <w:sdtContent>
      <w:p w14:paraId="14483D97" w14:textId="32204561" w:rsidR="00534681" w:rsidRPr="003B5508" w:rsidRDefault="00994A16" w:rsidP="003B5508">
        <w:pPr>
          <w:pStyle w:val="Header"/>
          <w:suppressLineNumbers/>
          <w:tabs>
            <w:tab w:val="clear" w:pos="4320"/>
            <w:tab w:val="clear" w:pos="8640"/>
          </w:tabs>
          <w:suppressAutoHyphens/>
          <w:jc w:val="left"/>
          <w:rPr>
            <w:noProof/>
            <w:kern w:val="22"/>
          </w:rPr>
        </w:pPr>
        <w:r>
          <w:rPr>
            <w:snapToGrid w:val="0"/>
            <w:kern w:val="22"/>
            <w:szCs w:val="22"/>
          </w:rPr>
          <w:t>CBD/WG2020/REC/4/2</w:t>
        </w:r>
      </w:p>
    </w:sdtContent>
  </w:sdt>
  <w:p w14:paraId="326F9589" w14:textId="77777777" w:rsidR="00534681" w:rsidRPr="003B5508" w:rsidRDefault="00797050" w:rsidP="003B5508">
    <w:pPr>
      <w:pStyle w:val="Header"/>
      <w:suppressLineNumbers/>
      <w:tabs>
        <w:tab w:val="clear" w:pos="4320"/>
        <w:tab w:val="clear" w:pos="8640"/>
      </w:tabs>
      <w:suppressAutoHyphens/>
      <w:jc w:val="left"/>
      <w:rPr>
        <w:noProof/>
        <w:kern w:val="22"/>
      </w:rPr>
    </w:pPr>
    <w:r>
      <w:rPr>
        <w:noProof/>
        <w:kern w:val="22"/>
      </w:rPr>
      <w:t xml:space="preserve">Страница </w:t>
    </w:r>
    <w:r>
      <w:rPr>
        <w:noProof/>
        <w:kern w:val="22"/>
      </w:rPr>
      <w:fldChar w:fldCharType="begin"/>
    </w:r>
    <w:r>
      <w:rPr>
        <w:noProof/>
        <w:kern w:val="22"/>
      </w:rPr>
      <w:instrText xml:space="preserve"> PAGE   \* MERGEFORMAT </w:instrText>
    </w:r>
    <w:r>
      <w:rPr>
        <w:noProof/>
        <w:kern w:val="22"/>
      </w:rPr>
      <w:fldChar w:fldCharType="separate"/>
    </w:r>
    <w:r>
      <w:rPr>
        <w:noProof/>
        <w:kern w:val="22"/>
      </w:rPr>
      <w:t>6</w:t>
    </w:r>
    <w:r>
      <w:rPr>
        <w:noProof/>
        <w:kern w:val="22"/>
      </w:rPr>
      <w:fldChar w:fldCharType="end"/>
    </w:r>
  </w:p>
  <w:p w14:paraId="7DC86DC6" w14:textId="77777777" w:rsidR="00534681" w:rsidRPr="003B5508" w:rsidRDefault="00653B83" w:rsidP="003B5508">
    <w:pPr>
      <w:pStyle w:val="Header"/>
      <w:suppressLineNumbers/>
      <w:tabs>
        <w:tab w:val="clear" w:pos="4320"/>
        <w:tab w:val="clear" w:pos="8640"/>
      </w:tabs>
      <w:suppressAutoHyphen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Cs w:val="22"/>
      </w:rPr>
      <w:alias w:val="Subject"/>
      <w:tag w:val=""/>
      <w:id w:val="626126085"/>
      <w:dataBinding w:prefixMappings="xmlns:ns0='http://purl.org/dc/elements/1.1/' xmlns:ns1='http://schemas.openxmlformats.org/package/2006/metadata/core-properties' " w:xpath="/ns1:coreProperties[1]/ns0:subject[1]" w:storeItemID="{6C3C8BC8-F283-45AE-878A-BAB7291924A1}"/>
      <w:text/>
    </w:sdtPr>
    <w:sdtEndPr/>
    <w:sdtContent>
      <w:p w14:paraId="5E9D47C1" w14:textId="0263F1D2" w:rsidR="009505C9" w:rsidRPr="003B5508" w:rsidRDefault="00994A16" w:rsidP="00994A16">
        <w:pPr>
          <w:pStyle w:val="Header"/>
          <w:suppressLineNumbers/>
          <w:tabs>
            <w:tab w:val="clear" w:pos="4320"/>
            <w:tab w:val="clear" w:pos="8640"/>
          </w:tabs>
          <w:suppressAutoHyphens/>
          <w:jc w:val="right"/>
          <w:rPr>
            <w:noProof/>
            <w:kern w:val="22"/>
          </w:rPr>
        </w:pPr>
        <w:r>
          <w:rPr>
            <w:snapToGrid w:val="0"/>
            <w:kern w:val="22"/>
            <w:szCs w:val="22"/>
          </w:rPr>
          <w:t>CBD/WG2020/REC/4/2</w:t>
        </w:r>
      </w:p>
    </w:sdtContent>
  </w:sdt>
  <w:p w14:paraId="52D69047" w14:textId="77777777" w:rsidR="009505C9" w:rsidRPr="003B5508" w:rsidRDefault="00797050" w:rsidP="00994A16">
    <w:pPr>
      <w:pStyle w:val="Header"/>
      <w:suppressLineNumbers/>
      <w:tabs>
        <w:tab w:val="clear" w:pos="4320"/>
        <w:tab w:val="clear" w:pos="8640"/>
      </w:tabs>
      <w:suppressAutoHyphens/>
      <w:jc w:val="right"/>
      <w:rPr>
        <w:noProof/>
        <w:kern w:val="22"/>
      </w:rPr>
    </w:pPr>
    <w:r>
      <w:rPr>
        <w:noProof/>
        <w:kern w:val="22"/>
      </w:rPr>
      <w:t xml:space="preserve">Страница </w:t>
    </w:r>
    <w:r>
      <w:rPr>
        <w:noProof/>
        <w:kern w:val="22"/>
      </w:rPr>
      <w:fldChar w:fldCharType="begin"/>
    </w:r>
    <w:r>
      <w:rPr>
        <w:noProof/>
        <w:kern w:val="22"/>
      </w:rPr>
      <w:instrText xml:space="preserve"> PAGE   \* MERGEFORMAT </w:instrText>
    </w:r>
    <w:r>
      <w:rPr>
        <w:noProof/>
        <w:kern w:val="22"/>
      </w:rPr>
      <w:fldChar w:fldCharType="separate"/>
    </w:r>
    <w:r>
      <w:rPr>
        <w:noProof/>
        <w:kern w:val="22"/>
      </w:rPr>
      <w:t>5</w:t>
    </w:r>
    <w:r>
      <w:rPr>
        <w:noProof/>
        <w:kern w:val="22"/>
      </w:rPr>
      <w:fldChar w:fldCharType="end"/>
    </w:r>
  </w:p>
  <w:p w14:paraId="0C69D37B" w14:textId="77777777" w:rsidR="009505C9" w:rsidRPr="003B5508" w:rsidRDefault="00653B83" w:rsidP="003B5508">
    <w:pPr>
      <w:pStyle w:val="Header"/>
      <w:suppressLineNumbers/>
      <w:tabs>
        <w:tab w:val="clear" w:pos="4320"/>
        <w:tab w:val="clear" w:pos="8640"/>
      </w:tabs>
      <w:suppressAutoHyphen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53AF208A"/>
    <w:multiLevelType w:val="hybridMultilevel"/>
    <w:tmpl w:val="EFC881E6"/>
    <w:lvl w:ilvl="0" w:tplc="069291EE">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16"/>
    <w:rsid w:val="00653B83"/>
    <w:rsid w:val="00797050"/>
    <w:rsid w:val="00841FEE"/>
    <w:rsid w:val="00994A16"/>
    <w:rsid w:val="00E3607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09E5"/>
  <w15:chartTrackingRefBased/>
  <w15:docId w15:val="{D5EB3600-E928-D541-A9BD-4CEB37DD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A1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994A1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994A16"/>
    <w:pPr>
      <w:keepNext/>
      <w:tabs>
        <w:tab w:val="left" w:pos="720"/>
      </w:tabs>
      <w:spacing w:before="120" w:after="120"/>
      <w:jc w:val="center"/>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4A16"/>
    <w:rPr>
      <w:rFonts w:ascii="Times New Roman" w:eastAsia="Times New Roman" w:hAnsi="Times New Roman" w:cs="Times New Roman"/>
      <w:b/>
      <w:caps/>
      <w:sz w:val="22"/>
      <w:lang w:val="en-GB"/>
    </w:rPr>
  </w:style>
  <w:style w:type="character" w:customStyle="1" w:styleId="Heading2Char">
    <w:name w:val="Heading 2 Char"/>
    <w:basedOn w:val="DefaultParagraphFont"/>
    <w:link w:val="Heading2"/>
    <w:rsid w:val="00994A16"/>
    <w:rPr>
      <w:rFonts w:ascii="Times New Roman" w:eastAsia="Times New Roman" w:hAnsi="Times New Roman" w:cs="Times New Roman"/>
      <w:b/>
      <w:bCs/>
      <w:iCs/>
      <w:sz w:val="22"/>
      <w:lang w:val="en-GB"/>
    </w:rPr>
  </w:style>
  <w:style w:type="table" w:styleId="TableGrid">
    <w:name w:val="Table Grid"/>
    <w:basedOn w:val="TableNormal"/>
    <w:uiPriority w:val="59"/>
    <w:rsid w:val="00994A16"/>
    <w:rPr>
      <w:rFonts w:eastAsiaTheme="minorEastAsia"/>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994A16"/>
    <w:rPr>
      <w:color w:val="808080"/>
    </w:rPr>
  </w:style>
  <w:style w:type="paragraph" w:styleId="Header">
    <w:name w:val="header"/>
    <w:basedOn w:val="Normal"/>
    <w:link w:val="HeaderChar"/>
    <w:rsid w:val="00994A16"/>
    <w:pPr>
      <w:tabs>
        <w:tab w:val="center" w:pos="4320"/>
        <w:tab w:val="right" w:pos="8640"/>
      </w:tabs>
    </w:pPr>
  </w:style>
  <w:style w:type="character" w:customStyle="1" w:styleId="HeaderChar">
    <w:name w:val="Header Char"/>
    <w:basedOn w:val="DefaultParagraphFont"/>
    <w:link w:val="Header"/>
    <w:rsid w:val="00994A16"/>
    <w:rPr>
      <w:rFonts w:ascii="Times New Roman" w:eastAsia="Times New Roman" w:hAnsi="Times New Roman" w:cs="Times New Roman"/>
      <w:sz w:val="22"/>
      <w:lang w:val="en-GB"/>
    </w:rPr>
  </w:style>
  <w:style w:type="paragraph" w:customStyle="1" w:styleId="meetingname">
    <w:name w:val="meeting name"/>
    <w:basedOn w:val="Normal"/>
    <w:qFormat/>
    <w:rsid w:val="00994A16"/>
    <w:pPr>
      <w:ind w:left="142" w:right="4218" w:hanging="142"/>
    </w:pPr>
    <w:rPr>
      <w:caps/>
      <w:szCs w:val="22"/>
    </w:rPr>
  </w:style>
  <w:style w:type="paragraph" w:styleId="BodyText">
    <w:name w:val="Body Text"/>
    <w:basedOn w:val="Normal"/>
    <w:link w:val="BodyTextChar"/>
    <w:rsid w:val="00994A16"/>
    <w:pPr>
      <w:spacing w:before="120" w:after="120"/>
      <w:ind w:firstLine="720"/>
    </w:pPr>
    <w:rPr>
      <w:iCs/>
    </w:rPr>
  </w:style>
  <w:style w:type="character" w:customStyle="1" w:styleId="BodyTextChar">
    <w:name w:val="Body Text Char"/>
    <w:basedOn w:val="DefaultParagraphFont"/>
    <w:link w:val="BodyText"/>
    <w:rsid w:val="00994A16"/>
    <w:rPr>
      <w:rFonts w:ascii="Times New Roman" w:eastAsia="Times New Roman" w:hAnsi="Times New Roman" w:cs="Times New Roman"/>
      <w:iCs/>
      <w:sz w:val="22"/>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994A16"/>
    <w:rPr>
      <w:sz w:val="22"/>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994A1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994A16"/>
    <w:rPr>
      <w:rFonts w:ascii="Times New Roman" w:eastAsia="Times New Roman" w:hAnsi="Times New Roman" w:cs="Times New Roman"/>
      <w:sz w:val="18"/>
      <w:lang w:val="en-GB"/>
    </w:rPr>
  </w:style>
  <w:style w:type="paragraph" w:customStyle="1" w:styleId="Para1">
    <w:name w:val="Para1"/>
    <w:basedOn w:val="Normal"/>
    <w:link w:val="Para1Char"/>
    <w:qFormat/>
    <w:rsid w:val="00994A16"/>
    <w:pPr>
      <w:numPr>
        <w:numId w:val="1"/>
      </w:numPr>
      <w:spacing w:before="120" w:after="120"/>
    </w:pPr>
    <w:rPr>
      <w:snapToGrid w:val="0"/>
      <w:szCs w:val="18"/>
    </w:rPr>
  </w:style>
  <w:style w:type="character" w:customStyle="1" w:styleId="Para1Char">
    <w:name w:val="Para1 Char"/>
    <w:link w:val="Para1"/>
    <w:qFormat/>
    <w:locked/>
    <w:rsid w:val="00994A16"/>
    <w:rPr>
      <w:rFonts w:ascii="Times New Roman" w:eastAsia="Times New Roman" w:hAnsi="Times New Roman" w:cs="Times New Roman"/>
      <w:snapToGrid w:val="0"/>
      <w:sz w:val="22"/>
      <w:szCs w:val="18"/>
      <w:lang w:val="en-GB"/>
    </w:rPr>
  </w:style>
  <w:style w:type="paragraph" w:styleId="ListParagraph">
    <w:name w:val="List Paragraph"/>
    <w:aliases w:val="table bullets"/>
    <w:basedOn w:val="Normal"/>
    <w:link w:val="ListParagraphChar"/>
    <w:uiPriority w:val="34"/>
    <w:qFormat/>
    <w:rsid w:val="00994A16"/>
    <w:pPr>
      <w:ind w:left="720"/>
      <w:contextualSpacing/>
    </w:pPr>
  </w:style>
  <w:style w:type="paragraph" w:customStyle="1" w:styleId="Style1">
    <w:name w:val="Style1"/>
    <w:basedOn w:val="Heading2"/>
    <w:qFormat/>
    <w:rsid w:val="00994A16"/>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94A16"/>
    <w:pPr>
      <w:spacing w:after="160" w:line="240" w:lineRule="exact"/>
      <w:jc w:val="left"/>
    </w:pPr>
    <w:rPr>
      <w:rFonts w:asciiTheme="minorHAnsi" w:eastAsiaTheme="minorHAnsi" w:hAnsiTheme="minorHAnsi" w:cstheme="minorBidi"/>
      <w:vertAlign w:val="superscript"/>
      <w:lang w:val="en-CA"/>
    </w:rPr>
  </w:style>
  <w:style w:type="character" w:customStyle="1" w:styleId="ListParagraphChar">
    <w:name w:val="List Paragraph Char"/>
    <w:aliases w:val="table bullets Char"/>
    <w:link w:val="ListParagraph"/>
    <w:uiPriority w:val="34"/>
    <w:qFormat/>
    <w:locked/>
    <w:rsid w:val="00994A16"/>
    <w:rPr>
      <w:rFonts w:ascii="Times New Roman" w:eastAsia="Times New Roman" w:hAnsi="Times New Roman" w:cs="Times New Roman"/>
      <w:sz w:val="22"/>
      <w:lang w:val="en-GB"/>
    </w:rPr>
  </w:style>
  <w:style w:type="paragraph" w:styleId="Footer">
    <w:name w:val="footer"/>
    <w:basedOn w:val="Normal"/>
    <w:link w:val="FooterChar"/>
    <w:uiPriority w:val="99"/>
    <w:unhideWhenUsed/>
    <w:rsid w:val="00994A16"/>
    <w:pPr>
      <w:tabs>
        <w:tab w:val="center" w:pos="4680"/>
        <w:tab w:val="right" w:pos="9360"/>
      </w:tabs>
    </w:pPr>
  </w:style>
  <w:style w:type="character" w:customStyle="1" w:styleId="FooterChar">
    <w:name w:val="Footer Char"/>
    <w:basedOn w:val="DefaultParagraphFont"/>
    <w:link w:val="Footer"/>
    <w:uiPriority w:val="99"/>
    <w:rsid w:val="00994A16"/>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04D75EC7B47345A8D0D10A533130D4"/>
        <w:category>
          <w:name w:val="General"/>
          <w:gallery w:val="placeholder"/>
        </w:category>
        <w:types>
          <w:type w:val="bbPlcHdr"/>
        </w:types>
        <w:behaviors>
          <w:behavior w:val="content"/>
        </w:behaviors>
        <w:guid w:val="{6FB3E9E3-075F-F945-B291-3336AE9832C7}"/>
      </w:docPartPr>
      <w:docPartBody>
        <w:p w:rsidR="00EC09B5" w:rsidRDefault="00D909B5" w:rsidP="00D909B5">
          <w:pPr>
            <w:pStyle w:val="0304D75EC7B47345A8D0D10A533130D4"/>
          </w:pPr>
          <w:r w:rsidRPr="007E02EB">
            <w:rPr>
              <w:rStyle w:val="PlaceholderText"/>
            </w:rPr>
            <w:t>[Status]</w:t>
          </w:r>
        </w:p>
      </w:docPartBody>
    </w:docPart>
    <w:docPart>
      <w:docPartPr>
        <w:name w:val="B150CAC2BDB40148B3917DD44FEE1AD7"/>
        <w:category>
          <w:name w:val="General"/>
          <w:gallery w:val="placeholder"/>
        </w:category>
        <w:types>
          <w:type w:val="bbPlcHdr"/>
        </w:types>
        <w:behaviors>
          <w:behavior w:val="content"/>
        </w:behaviors>
        <w:guid w:val="{6D078785-787B-F84E-A99B-409652EDB635}"/>
      </w:docPartPr>
      <w:docPartBody>
        <w:p w:rsidR="00EC09B5" w:rsidRDefault="00D909B5" w:rsidP="00D909B5">
          <w:pPr>
            <w:pStyle w:val="B150CAC2BDB40148B3917DD44FEE1AD7"/>
          </w:pPr>
          <w:r w:rsidRPr="007E02EB">
            <w:rPr>
              <w:rStyle w:val="PlaceholderText"/>
            </w:rPr>
            <w:t>[Subject]</w:t>
          </w:r>
        </w:p>
      </w:docPartBody>
    </w:docPart>
    <w:docPart>
      <w:docPartPr>
        <w:name w:val="7DF4C43ABEC08B44B9288AB5C564D884"/>
        <w:category>
          <w:name w:val="General"/>
          <w:gallery w:val="placeholder"/>
        </w:category>
        <w:types>
          <w:type w:val="bbPlcHdr"/>
        </w:types>
        <w:behaviors>
          <w:behavior w:val="content"/>
        </w:behaviors>
        <w:guid w:val="{48C7F324-8379-C849-96E2-060C68BF5D7A}"/>
      </w:docPartPr>
      <w:docPartBody>
        <w:p w:rsidR="00EC09B5" w:rsidRDefault="00D909B5" w:rsidP="00D909B5">
          <w:pPr>
            <w:pStyle w:val="7DF4C43ABEC08B44B9288AB5C564D884"/>
          </w:pPr>
          <w:r w:rsidRPr="007E02EB">
            <w:rPr>
              <w:rStyle w:val="PlaceholderText"/>
            </w:rPr>
            <w:t>[Publish Date]</w:t>
          </w:r>
        </w:p>
      </w:docPartBody>
    </w:docPart>
    <w:docPart>
      <w:docPartPr>
        <w:name w:val="2F4724A35FC9D0468AAEBD1C9429F0D5"/>
        <w:category>
          <w:name w:val="General"/>
          <w:gallery w:val="placeholder"/>
        </w:category>
        <w:types>
          <w:type w:val="bbPlcHdr"/>
        </w:types>
        <w:behaviors>
          <w:behavior w:val="content"/>
        </w:behaviors>
        <w:guid w:val="{0F7651DE-543E-2B47-8976-3F2211C7648B}"/>
      </w:docPartPr>
      <w:docPartBody>
        <w:p w:rsidR="00EC09B5" w:rsidRDefault="00D909B5" w:rsidP="00D909B5">
          <w:pPr>
            <w:pStyle w:val="2F4724A35FC9D0468AAEBD1C9429F0D5"/>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B5"/>
    <w:rsid w:val="0069731A"/>
    <w:rsid w:val="00D909B5"/>
    <w:rsid w:val="00EC09B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909B5"/>
  </w:style>
  <w:style w:type="paragraph" w:customStyle="1" w:styleId="0304D75EC7B47345A8D0D10A533130D4">
    <w:name w:val="0304D75EC7B47345A8D0D10A533130D4"/>
    <w:rsid w:val="00D909B5"/>
  </w:style>
  <w:style w:type="paragraph" w:customStyle="1" w:styleId="B150CAC2BDB40148B3917DD44FEE1AD7">
    <w:name w:val="B150CAC2BDB40148B3917DD44FEE1AD7"/>
    <w:rsid w:val="00D909B5"/>
  </w:style>
  <w:style w:type="paragraph" w:customStyle="1" w:styleId="7DF4C43ABEC08B44B9288AB5C564D884">
    <w:name w:val="7DF4C43ABEC08B44B9288AB5C564D884"/>
    <w:rsid w:val="00D909B5"/>
  </w:style>
  <w:style w:type="paragraph" w:customStyle="1" w:styleId="2F4724A35FC9D0468AAEBD1C9429F0D5">
    <w:name w:val="2F4724A35FC9D0468AAEBD1C9429F0D5"/>
    <w:rsid w:val="00D90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2022-06-26T00:00:00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2498</Words>
  <Characters>14245</Characters>
  <Application>Microsoft Office Word</Application>
  <DocSecurity>0</DocSecurity>
  <Lines>118</Lines>
  <Paragraphs>33</Paragraphs>
  <ScaleCrop>false</ScaleCrop>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ПРИНЯТАЯ РАБОЧЕЙ ГРУППОЙ ПО ПОДГОТОВКЕ ГЛОБАЛЬНОЙ РАМОЧНОЙ ПРОГРАММЫ В ОБЛАСТИ БИОРАЗНООБРАЗИЯ НА ПЕРИОД ПОСЛЕ 2020 ГОДА</dc:title>
  <dc:subject>CBD/WG2020/REC/4/2</dc:subject>
  <dc:creator>Anna Vegera</dc:creator>
  <cp:keywords/>
  <dc:description/>
  <cp:lastModifiedBy>Xue He Yan</cp:lastModifiedBy>
  <cp:revision>2</cp:revision>
  <dcterms:created xsi:type="dcterms:W3CDTF">2022-08-06T04:33:00Z</dcterms:created>
  <dcterms:modified xsi:type="dcterms:W3CDTF">2022-08-08T13:19:00Z</dcterms:modified>
  <cp:contentStatus>GENERAL</cp:contentStatus>
</cp:coreProperties>
</file>