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5"/>
        <w:gridCol w:w="5073"/>
        <w:gridCol w:w="109"/>
        <w:gridCol w:w="1107"/>
        <w:gridCol w:w="2804"/>
        <w:gridCol w:w="139"/>
      </w:tblGrid>
      <w:tr w:rsidR="00115C77">
        <w:trPr>
          <w:gridAfter w:val="1"/>
          <w:wAfter w:w="139" w:type="dxa"/>
          <w:trHeight w:val="709"/>
        </w:trPr>
        <w:tc>
          <w:tcPr>
            <w:tcW w:w="975" w:type="dxa"/>
            <w:tcBorders>
              <w:bottom w:val="single" w:sz="12" w:space="0" w:color="auto"/>
            </w:tcBorders>
          </w:tcPr>
          <w:p w:rsidR="00115C77" w:rsidRDefault="00265EDA">
            <w:pPr>
              <w:suppressLineNumbers/>
              <w:suppressAutoHyphens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431800" cy="368300"/>
                  <wp:effectExtent l="19050" t="0" r="635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3" w:type="dxa"/>
            <w:tcBorders>
              <w:bottom w:val="single" w:sz="12" w:space="0" w:color="auto"/>
            </w:tcBorders>
          </w:tcPr>
          <w:p w:rsidR="00115C77" w:rsidRDefault="00265EDA">
            <w:pPr>
              <w:suppressLineNumbers/>
              <w:suppressAutoHyphens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317500" cy="368300"/>
                  <wp:effectExtent l="19050" t="0" r="6350" b="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  <w:gridSpan w:val="3"/>
            <w:tcBorders>
              <w:bottom w:val="single" w:sz="12" w:space="0" w:color="auto"/>
            </w:tcBorders>
          </w:tcPr>
          <w:p w:rsidR="00115C77" w:rsidRDefault="00115C77">
            <w:pPr>
              <w:suppressLineNumbers/>
              <w:suppressAutoHyphens/>
              <w:jc w:val="right"/>
              <w:rPr>
                <w:rFonts w:ascii="Arial" w:eastAsia="Times New Roman" w:hAnsi="Arial"/>
                <w:b/>
                <w:kern w:val="22"/>
                <w:sz w:val="32"/>
                <w:lang w:val="es-ES"/>
              </w:rPr>
            </w:pPr>
            <w:r>
              <w:rPr>
                <w:rFonts w:ascii="Arial" w:eastAsia="Times New Roman" w:hAnsi="Arial"/>
                <w:b/>
                <w:noProof/>
                <w:kern w:val="22"/>
                <w:sz w:val="32"/>
                <w:lang w:val="es-ES"/>
              </w:rPr>
              <w:t>CBD</w:t>
            </w:r>
          </w:p>
        </w:tc>
      </w:tr>
      <w:tr w:rsidR="00115C77">
        <w:tblPrEx>
          <w:tblBorders>
            <w:bottom w:val="single" w:sz="36" w:space="0" w:color="000000"/>
          </w:tblBorders>
          <w:tblLook w:val="0000"/>
        </w:tblPrEx>
        <w:trPr>
          <w:trHeight w:val="1693"/>
        </w:trPr>
        <w:tc>
          <w:tcPr>
            <w:tcW w:w="6157" w:type="dxa"/>
            <w:gridSpan w:val="3"/>
            <w:tcBorders>
              <w:top w:val="nil"/>
              <w:bottom w:val="single" w:sz="36" w:space="0" w:color="000000"/>
            </w:tcBorders>
          </w:tcPr>
          <w:p w:rsidR="00115C77" w:rsidRDefault="00115C77">
            <w:pPr>
              <w:suppressLineNumbers/>
              <w:suppressAutoHyphens/>
              <w:rPr>
                <w:rFonts w:eastAsia="Times New Roman"/>
                <w:kern w:val="22"/>
                <w:lang w:val="es-ES"/>
              </w:rPr>
            </w:pPr>
          </w:p>
          <w:p w:rsidR="00115C77" w:rsidRDefault="00265EDA">
            <w:pPr>
              <w:suppressLineNumbers/>
              <w:suppressAutoHyphens/>
              <w:rPr>
                <w:rFonts w:eastAsia="Times New Roman"/>
                <w:kern w:val="22"/>
                <w:lang w:val="es-ES"/>
              </w:rPr>
            </w:pPr>
            <w:r>
              <w:rPr>
                <w:noProof/>
                <w:snapToGrid/>
                <w:szCs w:val="22"/>
                <w:lang w:val="es-UY" w:eastAsia="es-UY"/>
              </w:rPr>
              <w:drawing>
                <wp:inline distT="0" distB="0" distL="0" distR="0">
                  <wp:extent cx="2908300" cy="1079500"/>
                  <wp:effectExtent l="19050" t="0" r="635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079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C77" w:rsidRDefault="00115C77">
            <w:pPr>
              <w:suppressLineNumbers/>
              <w:suppressAutoHyphens/>
              <w:rPr>
                <w:rFonts w:ascii="Univers" w:eastAsia="Times New Roman" w:hAnsi="Univers"/>
                <w:kern w:val="22"/>
                <w:sz w:val="32"/>
                <w:lang w:val="es-ES"/>
              </w:rPr>
            </w:pPr>
          </w:p>
        </w:tc>
        <w:tc>
          <w:tcPr>
            <w:tcW w:w="1107" w:type="dxa"/>
            <w:tcBorders>
              <w:top w:val="nil"/>
              <w:bottom w:val="single" w:sz="36" w:space="0" w:color="000000"/>
            </w:tcBorders>
          </w:tcPr>
          <w:p w:rsidR="00115C77" w:rsidRDefault="00115C77">
            <w:pPr>
              <w:pStyle w:val="Header"/>
              <w:suppressLineNumbers/>
              <w:tabs>
                <w:tab w:val="clear" w:pos="4320"/>
                <w:tab w:val="clear" w:pos="8640"/>
              </w:tabs>
              <w:suppressAutoHyphens/>
              <w:rPr>
                <w:rFonts w:eastAsia="Times New Roman"/>
                <w:b/>
                <w:kern w:val="22"/>
                <w:sz w:val="32"/>
                <w:lang w:val="es-ES"/>
              </w:rPr>
            </w:pPr>
          </w:p>
        </w:tc>
        <w:tc>
          <w:tcPr>
            <w:tcW w:w="2943" w:type="dxa"/>
            <w:gridSpan w:val="2"/>
            <w:tcBorders>
              <w:top w:val="nil"/>
              <w:bottom w:val="single" w:sz="36" w:space="0" w:color="000000"/>
            </w:tcBorders>
          </w:tcPr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Distr.</w:t>
            </w: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GENERAL</w:t>
            </w: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CBD/WG8J/REC/11/1</w:t>
            </w: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21 de noviembre de 2019</w:t>
            </w: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kern w:val="22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ESPAÑOL</w:t>
            </w:r>
          </w:p>
          <w:p w:rsidR="00115C77" w:rsidRDefault="00115C77">
            <w:pPr>
              <w:suppressLineNumbers/>
              <w:suppressAutoHyphens/>
              <w:ind w:left="63"/>
              <w:rPr>
                <w:rFonts w:eastAsia="Times New Roman"/>
                <w:color w:val="FF0000"/>
                <w:kern w:val="22"/>
                <w:u w:val="single"/>
                <w:lang w:val="es-ES"/>
              </w:rPr>
            </w:pPr>
            <w:r>
              <w:rPr>
                <w:rFonts w:eastAsia="Times New Roman"/>
                <w:noProof/>
                <w:kern w:val="22"/>
                <w:lang w:val="es-ES"/>
              </w:rPr>
              <w:t>ORIGINAL:</w:t>
            </w:r>
            <w:r>
              <w:rPr>
                <w:rFonts w:eastAsia="Times New Roman"/>
                <w:kern w:val="22"/>
                <w:lang w:val="es-ES"/>
              </w:rPr>
              <w:t xml:space="preserve"> </w:t>
            </w:r>
            <w:r>
              <w:rPr>
                <w:rFonts w:eastAsia="Times New Roman"/>
                <w:noProof/>
                <w:kern w:val="22"/>
                <w:lang w:val="es-ES"/>
              </w:rPr>
              <w:t>INGLÉS</w:t>
            </w:r>
          </w:p>
        </w:tc>
      </w:tr>
    </w:tbl>
    <w:p w:rsidR="00115C77" w:rsidRDefault="00115C77">
      <w:pPr>
        <w:suppressLineNumbers/>
        <w:suppressAutoHyphens/>
        <w:adjustRightInd w:val="0"/>
        <w:snapToGrid w:val="0"/>
        <w:ind w:left="170" w:right="4861" w:hanging="170"/>
        <w:jc w:val="left"/>
        <w:rPr>
          <w:rFonts w:eastAsia="Times New Roman"/>
          <w:color w:val="000000"/>
          <w:kern w:val="22"/>
          <w:lang w:val="es-ES"/>
        </w:rPr>
      </w:pPr>
      <w:r>
        <w:rPr>
          <w:rFonts w:eastAsia="Times New Roman"/>
          <w:noProof/>
          <w:color w:val="000000"/>
          <w:lang w:val="es-ES"/>
        </w:rPr>
        <w:t>GRUPO DE TRABAJO ESPECIAL DE COMPOSICIÓN ABIERTA ENTRE PERÍODOS DE SESIONES SOBRE EL ARTÍCULO 8 j) Y DISPOSICIONES CONEXAS DEL CONVENIO SOBRE LA DIVERSIDAD BIOLÓGICA</w:t>
      </w:r>
    </w:p>
    <w:p w:rsidR="00115C77" w:rsidRDefault="00115C77">
      <w:pPr>
        <w:suppressLineNumbers/>
        <w:suppressAutoHyphens/>
        <w:adjustRightInd w:val="0"/>
        <w:snapToGrid w:val="0"/>
        <w:ind w:left="170" w:right="4861" w:hanging="170"/>
        <w:jc w:val="left"/>
        <w:rPr>
          <w:rFonts w:eastAsia="Times New Roman"/>
          <w:color w:val="000000"/>
          <w:lang w:val="es-ES"/>
        </w:rPr>
      </w:pPr>
      <w:r>
        <w:rPr>
          <w:rFonts w:eastAsia="Times New Roman"/>
          <w:noProof/>
          <w:color w:val="000000"/>
          <w:lang w:val="es-ES"/>
        </w:rPr>
        <w:t>Decimoprimera reunión</w:t>
      </w:r>
    </w:p>
    <w:p w:rsidR="00115C77" w:rsidRDefault="00115C77">
      <w:pPr>
        <w:ind w:right="4861"/>
        <w:rPr>
          <w:rFonts w:ascii="Malgun Gothic" w:eastAsia="Malgun Gothic"/>
          <w:color w:val="000000"/>
          <w:kern w:val="22"/>
          <w:lang w:val="es-ES"/>
        </w:rPr>
      </w:pPr>
      <w:r>
        <w:rPr>
          <w:noProof/>
          <w:color w:val="000000"/>
          <w:lang w:val="es-ES"/>
        </w:rPr>
        <w:t>Montreal (Canadá), 20 a 22 de noviembre de 2019</w:t>
      </w:r>
    </w:p>
    <w:p w:rsidR="00115C77" w:rsidRDefault="00115C77">
      <w:pPr>
        <w:suppressLineNumbers/>
        <w:suppressAutoHyphens/>
        <w:rPr>
          <w:rFonts w:eastAsia="Times New Roman"/>
          <w:kern w:val="22"/>
          <w:lang w:val="es-ES"/>
        </w:rPr>
      </w:pPr>
      <w:r>
        <w:rPr>
          <w:rFonts w:eastAsia="Times New Roman"/>
          <w:noProof/>
          <w:lang w:val="es-ES"/>
        </w:rPr>
        <w:t>Tema</w:t>
      </w:r>
      <w:r>
        <w:rPr>
          <w:rFonts w:eastAsia="Times New Roman"/>
          <w:noProof/>
          <w:kern w:val="22"/>
          <w:lang w:val="es-ES"/>
        </w:rPr>
        <w:t xml:space="preserve"> 4 del programa</w:t>
      </w:r>
    </w:p>
    <w:p w:rsidR="00115C77" w:rsidRDefault="00115C77">
      <w:pPr>
        <w:pStyle w:val="HEADINGNOTFORTOC"/>
        <w:rPr>
          <w:rFonts w:eastAsia="Times New Roman"/>
          <w:kern w:val="22"/>
          <w:lang w:val="es-ES"/>
        </w:rPr>
      </w:pPr>
      <w:r>
        <w:rPr>
          <w:rFonts w:eastAsia="Times New Roman"/>
          <w:kern w:val="22"/>
          <w:lang w:val="es-ES"/>
        </w:rPr>
        <w:t>RECOMENDACIóN ADOPTADA POR EL Grupo de Trabajo</w:t>
      </w:r>
    </w:p>
    <w:p w:rsidR="00115C77" w:rsidRPr="005363AF" w:rsidRDefault="00115C77">
      <w:pPr>
        <w:suppressLineNumbers/>
        <w:suppressAutoHyphens/>
        <w:spacing w:before="240" w:after="120"/>
        <w:jc w:val="center"/>
        <w:rPr>
          <w:rFonts w:eastAsia="Times New Roman"/>
          <w:b/>
          <w:caps/>
          <w:kern w:val="22"/>
          <w:lang w:val="es-ES"/>
        </w:rPr>
      </w:pPr>
      <w:r w:rsidRPr="005363AF">
        <w:rPr>
          <w:rStyle w:val="Heading9Char1"/>
          <w:rFonts w:eastAsia="Times New Roman"/>
          <w:bCs w:val="0"/>
          <w:caps/>
          <w:kern w:val="22"/>
          <w:lang w:val="es-ES"/>
        </w:rPr>
        <w:t>11/1.</w:t>
      </w:r>
      <w:r w:rsidRPr="005363AF">
        <w:rPr>
          <w:rStyle w:val="Heading9Char1"/>
          <w:rFonts w:eastAsia="Times New Roman"/>
          <w:bCs w:val="0"/>
          <w:caps/>
          <w:kern w:val="22"/>
          <w:lang w:val="es-ES"/>
        </w:rPr>
        <w:tab/>
      </w:r>
      <w:r w:rsidRPr="005363AF">
        <w:rPr>
          <w:rStyle w:val="Heading9Char1"/>
          <w:rFonts w:eastAsia="Times New Roman"/>
          <w:bCs w:val="0"/>
          <w:kern w:val="22"/>
          <w:lang w:val="es-ES"/>
        </w:rPr>
        <w:t>Diálogo a fondo sobre áreas temáticas y otras cuestiones intersectoriales</w:t>
      </w:r>
    </w:p>
    <w:p w:rsidR="00115C77" w:rsidRDefault="00115C77">
      <w:pPr>
        <w:suppressLineNumbers/>
        <w:suppressAutoHyphens/>
        <w:spacing w:before="120" w:after="120"/>
        <w:ind w:firstLine="720"/>
        <w:rPr>
          <w:rFonts w:eastAsia="Times New Roman"/>
          <w:color w:val="000000"/>
          <w:kern w:val="22"/>
          <w:lang w:val="es-ES"/>
        </w:rPr>
      </w:pPr>
      <w:r>
        <w:rPr>
          <w:rFonts w:eastAsia="Times New Roman"/>
          <w:i/>
          <w:color w:val="000000"/>
          <w:kern w:val="22"/>
          <w:lang w:val="es-ES"/>
        </w:rPr>
        <w:t>El Grupo de Trabajo Especial de Composición Abierta entre Períodos de Sesiones sobre el Artículo 8 j) y Disposiciones Conexas</w:t>
      </w:r>
    </w:p>
    <w:p w:rsidR="00115C77" w:rsidRDefault="00115C77">
      <w:pPr>
        <w:suppressLineNumbers/>
        <w:suppressAutoHyphens/>
        <w:spacing w:before="120" w:after="120"/>
        <w:ind w:firstLine="720"/>
        <w:rPr>
          <w:rFonts w:eastAsia="Times New Roman"/>
          <w:color w:val="000000"/>
          <w:kern w:val="22"/>
          <w:lang w:val="es-ES"/>
        </w:rPr>
      </w:pPr>
      <w:bookmarkStart w:id="0" w:name="_GoBack"/>
      <w:r>
        <w:rPr>
          <w:rFonts w:eastAsia="Times New Roman"/>
          <w:i/>
          <w:color w:val="000000"/>
          <w:kern w:val="22"/>
          <w:lang w:val="es-ES"/>
        </w:rPr>
        <w:t>Recomienda</w:t>
      </w:r>
      <w:r>
        <w:rPr>
          <w:rFonts w:eastAsia="Times New Roman"/>
          <w:color w:val="000000"/>
          <w:kern w:val="22"/>
          <w:lang w:val="es-ES"/>
        </w:rPr>
        <w:t xml:space="preserve"> a la Conferencia de las Partes que en su 15ª reunión adopte una decisión del siguiente tenor:</w:t>
      </w:r>
    </w:p>
    <w:bookmarkEnd w:id="0"/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i/>
          <w:kern w:val="22"/>
          <w:lang w:val="es-ES"/>
        </w:rPr>
      </w:pPr>
      <w:r>
        <w:rPr>
          <w:rFonts w:eastAsia="Times New Roman"/>
          <w:i/>
          <w:kern w:val="22"/>
          <w:lang w:val="es-ES"/>
        </w:rPr>
        <w:t>La Conferencia de las Partes</w:t>
      </w:r>
      <w:r>
        <w:rPr>
          <w:rFonts w:eastAsia="Times New Roman"/>
          <w:kern w:val="22"/>
          <w:lang w:val="es-ES"/>
        </w:rPr>
        <w:t>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lang w:val="es-ES"/>
        </w:rPr>
      </w:pPr>
      <w:r>
        <w:rPr>
          <w:rFonts w:eastAsia="Times New Roman"/>
          <w:i/>
          <w:kern w:val="22"/>
          <w:lang w:val="es-ES"/>
        </w:rPr>
        <w:t>Acogiendo con satisfacción</w:t>
      </w:r>
      <w:r>
        <w:rPr>
          <w:rFonts w:eastAsia="Times New Roman"/>
          <w:kern w:val="22"/>
          <w:lang w:val="es-ES"/>
        </w:rPr>
        <w:t xml:space="preserve"> el diálogo a fondo sobre el tema “la contribución de los conocimientos tradicionales, las innovaciones y las prácticas de los pueblos indígenas y las comunidades locales, así como de la diversidad cultural al marco mundial de la diversidad biológica posterior a 2020”, que se celebró en la 11ª reunión del Grupo de Trabajo Especial de Composición Abierta entre Períodos de Sesiones sobre el Artículo 8 j) y Disposiciones Conexas,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highlight w:val="white"/>
          <w:lang w:val="es-ES"/>
        </w:rPr>
      </w:pPr>
      <w:r>
        <w:rPr>
          <w:rFonts w:eastAsia="Times New Roman"/>
          <w:i/>
          <w:kern w:val="22"/>
          <w:lang w:val="es-ES"/>
        </w:rPr>
        <w:t>Reconociendo</w:t>
      </w:r>
      <w:r>
        <w:rPr>
          <w:rFonts w:eastAsia="Times New Roman"/>
          <w:kern w:val="22"/>
          <w:lang w:val="es-ES"/>
        </w:rPr>
        <w:t xml:space="preserve"> </w:t>
      </w:r>
      <w:r>
        <w:rPr>
          <w:rFonts w:eastAsia="Times New Roman"/>
          <w:kern w:val="22"/>
          <w:highlight w:val="white"/>
          <w:lang w:val="es-ES"/>
        </w:rPr>
        <w:t>que para alcanzar la Visión para 2050 de vivir en armonía con la naturaleza es fundamental contar con la contribución de los conocimientos tradicionales, las innovaciones y las prácticas en los esfuerzos por hacer frente a la pérdida mundial de diversidad biológica</w:t>
      </w:r>
      <w:r>
        <w:rPr>
          <w:rFonts w:eastAsia="Times New Roman"/>
          <w:kern w:val="22"/>
          <w:lang w:val="es-ES"/>
        </w:rPr>
        <w:t>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highlight w:val="white"/>
          <w:lang w:val="es-ES"/>
        </w:rPr>
      </w:pPr>
      <w:r>
        <w:rPr>
          <w:rFonts w:eastAsia="Times New Roman"/>
          <w:i/>
          <w:kern w:val="22"/>
          <w:highlight w:val="white"/>
          <w:lang w:val="es-ES"/>
        </w:rPr>
        <w:t xml:space="preserve">Reconociendo también </w:t>
      </w:r>
      <w:r>
        <w:rPr>
          <w:rFonts w:eastAsia="Times New Roman"/>
          <w:kern w:val="22"/>
          <w:highlight w:val="white"/>
          <w:lang w:val="es-ES"/>
        </w:rPr>
        <w:t>que asumir un compromiso con la visión del Convenio requiere asumir un compromiso con la diversidad cultural y reconocer la estrecha relación que existe entre la naturaleza y las personas,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lang w:val="es-ES"/>
        </w:rPr>
      </w:pPr>
      <w:r>
        <w:rPr>
          <w:rFonts w:eastAsia="Times New Roman"/>
          <w:i/>
          <w:kern w:val="22"/>
          <w:lang w:val="es-ES"/>
        </w:rPr>
        <w:t>Reconociendo asimismo</w:t>
      </w:r>
      <w:r>
        <w:rPr>
          <w:rFonts w:eastAsia="Times New Roman"/>
          <w:kern w:val="22"/>
          <w:lang w:val="es-ES"/>
        </w:rPr>
        <w:t xml:space="preserve"> que la variedad en las formas de acumulación de conocimientos, incluida la transmisión lingüística intergeneracional, puede proporcionar a los sistemas humanos y ecológicos una mayor capacidad de adaptación para afrontar las perturbaciones actuales y futuras y fortalecer la resiliencia económica, social y ecológica,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lang w:val="es-ES"/>
        </w:rPr>
      </w:pPr>
      <w:r>
        <w:rPr>
          <w:rFonts w:eastAsia="Times New Roman"/>
          <w:i/>
          <w:kern w:val="22"/>
          <w:lang w:val="es-ES"/>
        </w:rPr>
        <w:t xml:space="preserve">Reconociendo </w:t>
      </w:r>
      <w:r>
        <w:rPr>
          <w:rFonts w:eastAsia="Times New Roman"/>
          <w:kern w:val="22"/>
          <w:lang w:val="es-ES"/>
        </w:rPr>
        <w:t>la importancia que tienen para la diversidad biocultural los tres objetivos del Convenio,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lang w:val="es-ES"/>
        </w:rPr>
      </w:pPr>
      <w:r>
        <w:rPr>
          <w:rFonts w:eastAsia="Times New Roman"/>
          <w:kern w:val="22"/>
          <w:lang w:val="es-ES"/>
        </w:rPr>
        <w:t>1.</w:t>
      </w:r>
      <w:r>
        <w:rPr>
          <w:rFonts w:eastAsia="Times New Roman"/>
          <w:kern w:val="22"/>
          <w:lang w:val="es-ES"/>
        </w:rPr>
        <w:tab/>
      </w:r>
      <w:r>
        <w:rPr>
          <w:rFonts w:eastAsia="Times New Roman"/>
          <w:i/>
          <w:kern w:val="22"/>
          <w:lang w:val="es-ES"/>
        </w:rPr>
        <w:t>Invita</w:t>
      </w:r>
      <w:r>
        <w:rPr>
          <w:rFonts w:eastAsia="Times New Roman"/>
          <w:kern w:val="22"/>
          <w:lang w:val="es-ES"/>
        </w:rPr>
        <w:t xml:space="preserve"> a las Partes a que reconozcan, fomenten e incorporen la contribución de los pueblos indígenas y las comunidades locales a través de sus conocimientos tradicionales, innovaciones y prácticas y de sus acciones colectivas de conservación y utilización sostenible de la diversidad biológica, así como, más generalmente, los vínculos entre la diversidad biológica y la </w:t>
      </w:r>
      <w:r>
        <w:rPr>
          <w:rFonts w:eastAsia="Times New Roman"/>
          <w:kern w:val="22"/>
          <w:lang w:val="es-ES"/>
        </w:rPr>
        <w:lastRenderedPageBreak/>
        <w:t>diversidad cultural, en la implementación del marco mundial de la diversidad biológica posterior a 2020;</w:t>
      </w:r>
    </w:p>
    <w:p w:rsidR="00115C77" w:rsidRDefault="00115C77" w:rsidP="00AB1CBB">
      <w:pPr>
        <w:suppressLineNumbers/>
        <w:suppressAutoHyphens/>
        <w:spacing w:before="120" w:after="120"/>
        <w:ind w:left="709" w:firstLine="720"/>
        <w:rPr>
          <w:rFonts w:eastAsia="Times New Roman"/>
          <w:strike/>
          <w:kern w:val="22"/>
          <w:lang w:val="es-ES"/>
        </w:rPr>
      </w:pPr>
      <w:r>
        <w:rPr>
          <w:rFonts w:eastAsia="Times New Roman"/>
          <w:kern w:val="22"/>
          <w:lang w:val="es-ES"/>
        </w:rPr>
        <w:t>2.</w:t>
      </w:r>
      <w:r>
        <w:rPr>
          <w:rFonts w:eastAsia="Times New Roman"/>
          <w:kern w:val="22"/>
          <w:lang w:val="es-ES"/>
        </w:rPr>
        <w:tab/>
      </w:r>
      <w:r>
        <w:rPr>
          <w:rFonts w:eastAsia="Times New Roman"/>
          <w:i/>
          <w:kern w:val="22"/>
          <w:lang w:val="es-ES"/>
        </w:rPr>
        <w:t>Invita también</w:t>
      </w:r>
      <w:r>
        <w:rPr>
          <w:rFonts w:eastAsia="Times New Roman"/>
          <w:kern w:val="22"/>
          <w:lang w:val="es-ES"/>
        </w:rPr>
        <w:t xml:space="preserve"> a las Partes a </w:t>
      </w:r>
      <w:r w:rsidR="00AB1CBB">
        <w:rPr>
          <w:rFonts w:eastAsia="Times New Roman"/>
          <w:kern w:val="22"/>
          <w:lang w:val="es-ES"/>
        </w:rPr>
        <w:t xml:space="preserve">que en su aplicación del Convenio sobre la Diversidad Biológica a nivel nacional </w:t>
      </w:r>
      <w:r>
        <w:rPr>
          <w:rFonts w:eastAsia="Times New Roman"/>
          <w:kern w:val="22"/>
          <w:lang w:val="es-ES"/>
        </w:rPr>
        <w:t>integr</w:t>
      </w:r>
      <w:r w:rsidR="00AB1CBB">
        <w:rPr>
          <w:rFonts w:eastAsia="Times New Roman"/>
          <w:kern w:val="22"/>
          <w:lang w:val="es-ES"/>
        </w:rPr>
        <w:t>en</w:t>
      </w:r>
      <w:r>
        <w:rPr>
          <w:rFonts w:eastAsia="Times New Roman"/>
          <w:kern w:val="22"/>
          <w:lang w:val="es-ES"/>
        </w:rPr>
        <w:t xml:space="preserve"> plenamente consideraciones, principios y directrices voluntarias que se hayan adoptado con respecto a los vínculos entre la diversidad biológica y la diversidad cultural, con la participación plena y efectiva de los pueblos indígenas y las comunidades locales, de conformidad con la legislación nacional;</w:t>
      </w:r>
    </w:p>
    <w:p w:rsidR="00115C77" w:rsidRDefault="00115C77">
      <w:pPr>
        <w:suppressLineNumbers/>
        <w:suppressAutoHyphens/>
        <w:spacing w:before="120" w:after="120"/>
        <w:ind w:left="709" w:firstLine="720"/>
        <w:rPr>
          <w:rFonts w:eastAsia="Times New Roman"/>
          <w:kern w:val="22"/>
          <w:lang w:val="es-ES"/>
        </w:rPr>
      </w:pPr>
      <w:r>
        <w:rPr>
          <w:rFonts w:eastAsia="Times New Roman"/>
          <w:kern w:val="22"/>
          <w:lang w:val="es-ES"/>
        </w:rPr>
        <w:t>3.</w:t>
      </w:r>
      <w:r>
        <w:rPr>
          <w:rFonts w:eastAsia="Times New Roman"/>
          <w:kern w:val="22"/>
          <w:lang w:val="es-ES"/>
        </w:rPr>
        <w:tab/>
      </w:r>
      <w:r>
        <w:rPr>
          <w:rFonts w:eastAsia="Times New Roman"/>
          <w:i/>
          <w:kern w:val="22"/>
          <w:lang w:val="es-ES"/>
        </w:rPr>
        <w:t>Decide</w:t>
      </w:r>
      <w:r>
        <w:rPr>
          <w:rFonts w:eastAsia="Times New Roman"/>
          <w:kern w:val="22"/>
          <w:lang w:val="es-ES"/>
        </w:rPr>
        <w:t xml:space="preserve"> que el tema del diálogo a fondo que se celebrará en la 12ª reunión del Grupo de Trabajo Especial de Composición Abierta entre Períodos de Sesiones sobre el Artículo 8 j) y Disposiciones Conexas será: “El papel de las lenguas en la transmisión intergeneracional de conocimientos tradicionales, innovaciones y prácticas”.</w:t>
      </w:r>
    </w:p>
    <w:p w:rsidR="00115C77" w:rsidRDefault="00115C77">
      <w:pPr>
        <w:suppressLineNumbers/>
        <w:suppressAutoHyphens/>
        <w:spacing w:before="120" w:after="120"/>
        <w:jc w:val="center"/>
        <w:rPr>
          <w:rFonts w:eastAsia="Times New Roman"/>
          <w:kern w:val="22"/>
          <w:lang w:val="es-ES"/>
        </w:rPr>
      </w:pPr>
      <w:r>
        <w:rPr>
          <w:rFonts w:eastAsia="Times New Roman"/>
          <w:color w:val="000000"/>
          <w:kern w:val="22"/>
          <w:lang w:val="es-ES"/>
        </w:rPr>
        <w:t>__________</w:t>
      </w:r>
    </w:p>
    <w:sectPr w:rsidR="00115C77">
      <w:headerReference w:type="even" r:id="rId10"/>
      <w:headerReference w:type="default" r:id="rId11"/>
      <w:footerReference w:type="first" r:id="rId12"/>
      <w:pgSz w:w="12240" w:h="15840"/>
      <w:pgMar w:top="567" w:right="1389" w:bottom="1134" w:left="138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A75" w:rsidRDefault="00E72A75">
      <w:pPr>
        <w:rPr>
          <w:rFonts w:eastAsia="Times New Roman"/>
        </w:rPr>
      </w:pPr>
      <w:r>
        <w:rPr>
          <w:rFonts w:eastAsia="Times New Roman"/>
        </w:rPr>
        <w:separator/>
      </w:r>
    </w:p>
  </w:endnote>
  <w:endnote w:type="continuationSeparator" w:id="0">
    <w:p w:rsidR="00E72A75" w:rsidRDefault="00E72A75">
      <w:pPr>
        <w:rPr>
          <w:rFonts w:eastAsia="Times New Roman"/>
        </w:rPr>
      </w:pPr>
      <w:r>
        <w:rPr>
          <w:rFonts w:eastAsia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BB" w:rsidRDefault="00AB1CBB">
    <w:pPr>
      <w:pStyle w:val="Footer"/>
      <w:ind w:firstLine="0"/>
      <w:rPr>
        <w:rFonts w:eastAsia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A75" w:rsidRDefault="00E72A75">
      <w:pPr>
        <w:rPr>
          <w:rFonts w:eastAsia="Times New Roman"/>
        </w:rPr>
      </w:pPr>
      <w:r>
        <w:rPr>
          <w:rFonts w:eastAsia="Times New Roman"/>
        </w:rPr>
        <w:separator/>
      </w:r>
    </w:p>
  </w:footnote>
  <w:footnote w:type="continuationSeparator" w:id="0">
    <w:p w:rsidR="00E72A75" w:rsidRDefault="00E72A75">
      <w:pPr>
        <w:rPr>
          <w:rFonts w:eastAsia="Times New Roman"/>
        </w:rPr>
      </w:pPr>
      <w:r>
        <w:rPr>
          <w:rFonts w:eastAsia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BB" w:rsidRDefault="00AB1CBB">
    <w:pPr>
      <w:pStyle w:val="Header"/>
      <w:rPr>
        <w:rFonts w:eastAsia="Times New Roman"/>
        <w:lang w:val="es-ES"/>
      </w:rPr>
    </w:pPr>
    <w:r>
      <w:rPr>
        <w:rFonts w:eastAsia="Times New Roman"/>
        <w:lang w:val="es-ES"/>
      </w:rPr>
      <w:t>CBD/WG8J/REC/11/1</w:t>
    </w:r>
  </w:p>
  <w:p w:rsidR="00AB1CBB" w:rsidRDefault="00AB1CBB">
    <w:pPr>
      <w:pStyle w:val="Header"/>
      <w:rPr>
        <w:rFonts w:eastAsia="Times New Roman"/>
        <w:lang w:val="es-ES"/>
      </w:rPr>
    </w:pPr>
    <w:r>
      <w:rPr>
        <w:rFonts w:eastAsia="Times New Roman"/>
        <w:lang w:val="es-ES"/>
      </w:rPr>
      <w:t xml:space="preserve">Página </w:t>
    </w:r>
    <w:r>
      <w:rPr>
        <w:rFonts w:eastAsia="Times New Roman"/>
        <w:lang w:val="es-ES"/>
      </w:rPr>
      <w:fldChar w:fldCharType="begin"/>
    </w:r>
    <w:r>
      <w:rPr>
        <w:rFonts w:eastAsia="Times New Roman"/>
        <w:lang w:val="es-ES"/>
      </w:rPr>
      <w:instrText xml:space="preserve"> PAGE   \* MERGEFORMAT </w:instrText>
    </w:r>
    <w:r>
      <w:rPr>
        <w:rFonts w:eastAsia="Times New Roman"/>
        <w:lang w:val="es-ES"/>
      </w:rPr>
      <w:fldChar w:fldCharType="separate"/>
    </w:r>
    <w:r w:rsidR="00265EDA" w:rsidRPr="00265EDA">
      <w:rPr>
        <w:rFonts w:eastAsia="Times New Roman"/>
        <w:noProof/>
      </w:rPr>
      <w:t>2</w:t>
    </w:r>
    <w:r>
      <w:rPr>
        <w:rFonts w:eastAsia="Times New Roman"/>
        <w:lang w:val="es-ES"/>
      </w:rPr>
      <w:fldChar w:fldCharType="end"/>
    </w:r>
  </w:p>
  <w:p w:rsidR="00AB1CBB" w:rsidRDefault="00AB1CBB">
    <w:pPr>
      <w:pStyle w:val="Header"/>
      <w:rPr>
        <w:rFonts w:eastAsia="Times New Roman"/>
        <w:noProof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BB" w:rsidRDefault="00AB1CBB">
    <w:pPr>
      <w:pStyle w:val="Header"/>
      <w:jc w:val="right"/>
      <w:rPr>
        <w:rFonts w:eastAsia="Times New Roman"/>
        <w:lang w:val="es-ES"/>
      </w:rPr>
    </w:pPr>
    <w:r>
      <w:rPr>
        <w:rFonts w:eastAsia="Times New Roman"/>
        <w:lang w:val="es-ES"/>
      </w:rPr>
      <w:t>CBD/WG8J/REC/11/1</w:t>
    </w:r>
  </w:p>
  <w:p w:rsidR="00AB1CBB" w:rsidRDefault="00AB1CBB">
    <w:pPr>
      <w:pStyle w:val="Header"/>
      <w:jc w:val="right"/>
      <w:rPr>
        <w:rFonts w:eastAsia="Times New Roman"/>
        <w:lang w:val="es-ES"/>
      </w:rPr>
    </w:pPr>
    <w:r>
      <w:rPr>
        <w:rFonts w:eastAsia="Times New Roman"/>
        <w:lang w:val="es-ES"/>
      </w:rPr>
      <w:t xml:space="preserve">Página </w:t>
    </w:r>
    <w:r>
      <w:rPr>
        <w:rFonts w:eastAsia="Times New Roman"/>
        <w:lang w:val="es-ES"/>
      </w:rPr>
      <w:fldChar w:fldCharType="begin"/>
    </w:r>
    <w:r>
      <w:rPr>
        <w:rFonts w:eastAsia="Times New Roman"/>
        <w:lang w:val="es-ES"/>
      </w:rPr>
      <w:instrText xml:space="preserve"> PAGE   \* MERGEFORMAT </w:instrText>
    </w:r>
    <w:r>
      <w:rPr>
        <w:rFonts w:eastAsia="Times New Roman"/>
        <w:lang w:val="es-ES"/>
      </w:rPr>
      <w:fldChar w:fldCharType="separate"/>
    </w:r>
    <w:r>
      <w:rPr>
        <w:rFonts w:eastAsia="Times New Roman"/>
        <w:lang w:val="es-ES"/>
      </w:rPr>
      <w:t>1</w:t>
    </w:r>
    <w:r>
      <w:rPr>
        <w:rFonts w:eastAsia="Times New Roman"/>
        <w:lang w:val="es-ES"/>
      </w:rPr>
      <w:fldChar w:fldCharType="end"/>
    </w:r>
  </w:p>
  <w:p w:rsidR="00AB1CBB" w:rsidRDefault="00AB1CBB">
    <w:pPr>
      <w:pStyle w:val="Header"/>
      <w:rPr>
        <w:rFonts w:eastAsia="Times New Roman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1518"/>
    <w:multiLevelType w:val="multilevel"/>
    <w:tmpl w:val="F9DC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rFonts w:cs="Times New Roman"/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Times New Roman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cs="Times New Roman"/>
        <w:vertAlign w:val="baseline"/>
      </w:rPr>
    </w:lvl>
  </w:abstractNum>
  <w:abstractNum w:abstractNumId="1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tDA3szA0MDKwMDEzMTZV0lEKTi0uzszPAykwrgUAr5VDHCwAAAA="/>
  </w:docVars>
  <w:rsids>
    <w:rsidRoot w:val="00C9161D"/>
    <w:rsid w:val="00000614"/>
    <w:rsid w:val="000061B1"/>
    <w:rsid w:val="000401C3"/>
    <w:rsid w:val="00074D4C"/>
    <w:rsid w:val="000A1BEB"/>
    <w:rsid w:val="000A2462"/>
    <w:rsid w:val="000A77D4"/>
    <w:rsid w:val="000C41C7"/>
    <w:rsid w:val="000D2C65"/>
    <w:rsid w:val="000E3482"/>
    <w:rsid w:val="000E673A"/>
    <w:rsid w:val="000F74F5"/>
    <w:rsid w:val="00105372"/>
    <w:rsid w:val="00115C77"/>
    <w:rsid w:val="00123051"/>
    <w:rsid w:val="00131E7A"/>
    <w:rsid w:val="00164227"/>
    <w:rsid w:val="00172AF6"/>
    <w:rsid w:val="00176CEE"/>
    <w:rsid w:val="00177E44"/>
    <w:rsid w:val="00184BB5"/>
    <w:rsid w:val="00184F9A"/>
    <w:rsid w:val="001A434E"/>
    <w:rsid w:val="001A6260"/>
    <w:rsid w:val="001B62E0"/>
    <w:rsid w:val="001D4172"/>
    <w:rsid w:val="002140DF"/>
    <w:rsid w:val="00223258"/>
    <w:rsid w:val="002360E6"/>
    <w:rsid w:val="00265EDA"/>
    <w:rsid w:val="002938AA"/>
    <w:rsid w:val="002A6B7B"/>
    <w:rsid w:val="002E0DE8"/>
    <w:rsid w:val="002E18C6"/>
    <w:rsid w:val="003254C6"/>
    <w:rsid w:val="003567BA"/>
    <w:rsid w:val="003671B5"/>
    <w:rsid w:val="00372F74"/>
    <w:rsid w:val="003A3AAB"/>
    <w:rsid w:val="003C5220"/>
    <w:rsid w:val="003C6AFC"/>
    <w:rsid w:val="003F1DB2"/>
    <w:rsid w:val="003F4EF8"/>
    <w:rsid w:val="003F7224"/>
    <w:rsid w:val="00400749"/>
    <w:rsid w:val="00405146"/>
    <w:rsid w:val="004077B4"/>
    <w:rsid w:val="0042412C"/>
    <w:rsid w:val="00427D21"/>
    <w:rsid w:val="004377FC"/>
    <w:rsid w:val="0044482C"/>
    <w:rsid w:val="004540A8"/>
    <w:rsid w:val="004644C2"/>
    <w:rsid w:val="00467F9C"/>
    <w:rsid w:val="004845AA"/>
    <w:rsid w:val="004A06E7"/>
    <w:rsid w:val="004C3A42"/>
    <w:rsid w:val="004C4058"/>
    <w:rsid w:val="004E0A4B"/>
    <w:rsid w:val="00501FC8"/>
    <w:rsid w:val="005318EF"/>
    <w:rsid w:val="00534681"/>
    <w:rsid w:val="005363AF"/>
    <w:rsid w:val="005363BA"/>
    <w:rsid w:val="00547A03"/>
    <w:rsid w:val="00590B9F"/>
    <w:rsid w:val="005A7174"/>
    <w:rsid w:val="005C030F"/>
    <w:rsid w:val="005D3B80"/>
    <w:rsid w:val="006122BA"/>
    <w:rsid w:val="00621A7A"/>
    <w:rsid w:val="00644707"/>
    <w:rsid w:val="006637ED"/>
    <w:rsid w:val="00681DD1"/>
    <w:rsid w:val="006B2290"/>
    <w:rsid w:val="006B31C4"/>
    <w:rsid w:val="006C52FD"/>
    <w:rsid w:val="00717D88"/>
    <w:rsid w:val="00722E5A"/>
    <w:rsid w:val="00725EF7"/>
    <w:rsid w:val="00726D92"/>
    <w:rsid w:val="00735348"/>
    <w:rsid w:val="007454D9"/>
    <w:rsid w:val="0078479D"/>
    <w:rsid w:val="00791ACA"/>
    <w:rsid w:val="007942D3"/>
    <w:rsid w:val="007A2BBD"/>
    <w:rsid w:val="007B6C09"/>
    <w:rsid w:val="007C716E"/>
    <w:rsid w:val="007E09DA"/>
    <w:rsid w:val="0081165C"/>
    <w:rsid w:val="008178B6"/>
    <w:rsid w:val="008204E4"/>
    <w:rsid w:val="00825DF0"/>
    <w:rsid w:val="0085703F"/>
    <w:rsid w:val="00863B0B"/>
    <w:rsid w:val="00864BC7"/>
    <w:rsid w:val="00865B74"/>
    <w:rsid w:val="00877354"/>
    <w:rsid w:val="00897340"/>
    <w:rsid w:val="008B3B90"/>
    <w:rsid w:val="008C6177"/>
    <w:rsid w:val="008D6639"/>
    <w:rsid w:val="008D7D8E"/>
    <w:rsid w:val="008F27FE"/>
    <w:rsid w:val="0090455D"/>
    <w:rsid w:val="00923643"/>
    <w:rsid w:val="00930BA1"/>
    <w:rsid w:val="0093169E"/>
    <w:rsid w:val="00935C30"/>
    <w:rsid w:val="00947FA8"/>
    <w:rsid w:val="009505C9"/>
    <w:rsid w:val="009C200D"/>
    <w:rsid w:val="009D668C"/>
    <w:rsid w:val="009D7240"/>
    <w:rsid w:val="009E10DC"/>
    <w:rsid w:val="009E37B9"/>
    <w:rsid w:val="00A13D3D"/>
    <w:rsid w:val="00A51534"/>
    <w:rsid w:val="00A545EF"/>
    <w:rsid w:val="00A84A8E"/>
    <w:rsid w:val="00AB1CBB"/>
    <w:rsid w:val="00AB3702"/>
    <w:rsid w:val="00AB65CC"/>
    <w:rsid w:val="00AD7B6D"/>
    <w:rsid w:val="00B14C6F"/>
    <w:rsid w:val="00B16842"/>
    <w:rsid w:val="00B3369F"/>
    <w:rsid w:val="00B366AA"/>
    <w:rsid w:val="00B42C8F"/>
    <w:rsid w:val="00B45402"/>
    <w:rsid w:val="00B87B2D"/>
    <w:rsid w:val="00B941A9"/>
    <w:rsid w:val="00BA7D1E"/>
    <w:rsid w:val="00BC549E"/>
    <w:rsid w:val="00BD100D"/>
    <w:rsid w:val="00BE04AB"/>
    <w:rsid w:val="00BF0AB3"/>
    <w:rsid w:val="00BF58C4"/>
    <w:rsid w:val="00C01338"/>
    <w:rsid w:val="00C12388"/>
    <w:rsid w:val="00C1284C"/>
    <w:rsid w:val="00C1405B"/>
    <w:rsid w:val="00C20258"/>
    <w:rsid w:val="00C23263"/>
    <w:rsid w:val="00C2529B"/>
    <w:rsid w:val="00C53A48"/>
    <w:rsid w:val="00C64A91"/>
    <w:rsid w:val="00C65ABB"/>
    <w:rsid w:val="00C8643F"/>
    <w:rsid w:val="00C9161D"/>
    <w:rsid w:val="00CB7D3C"/>
    <w:rsid w:val="00CF1848"/>
    <w:rsid w:val="00D115C6"/>
    <w:rsid w:val="00D12044"/>
    <w:rsid w:val="00D211D7"/>
    <w:rsid w:val="00D2330F"/>
    <w:rsid w:val="00D27895"/>
    <w:rsid w:val="00D35C8D"/>
    <w:rsid w:val="00D430BD"/>
    <w:rsid w:val="00D45F34"/>
    <w:rsid w:val="00D55B2E"/>
    <w:rsid w:val="00D76A18"/>
    <w:rsid w:val="00DA2000"/>
    <w:rsid w:val="00DB01A7"/>
    <w:rsid w:val="00DB77BF"/>
    <w:rsid w:val="00DC03B4"/>
    <w:rsid w:val="00DD118C"/>
    <w:rsid w:val="00E0730A"/>
    <w:rsid w:val="00E4778F"/>
    <w:rsid w:val="00E66235"/>
    <w:rsid w:val="00E72A75"/>
    <w:rsid w:val="00E82C75"/>
    <w:rsid w:val="00E83C24"/>
    <w:rsid w:val="00E851F4"/>
    <w:rsid w:val="00E9318D"/>
    <w:rsid w:val="00EE20FC"/>
    <w:rsid w:val="00F15311"/>
    <w:rsid w:val="00F2399A"/>
    <w:rsid w:val="00F6635C"/>
    <w:rsid w:val="00F94774"/>
    <w:rsid w:val="00F9686D"/>
    <w:rsid w:val="00FA4686"/>
    <w:rsid w:val="00FB219C"/>
    <w:rsid w:val="00FB4B6E"/>
    <w:rsid w:val="00FC53DB"/>
    <w:rsid w:val="00FC6812"/>
    <w:rsid w:val="00FE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link w:val="Heading8Char"/>
    <w:qFormat/>
    <w:pPr>
      <w:jc w:val="both"/>
    </w:pPr>
    <w:rPr>
      <w:rFonts w:eastAsia="MS Mincho"/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link w:val="FollowedHyperlink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1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eastAsia="Times New Roman" w:cs="Arial"/>
      <w:b/>
      <w:bCs/>
      <w:i/>
    </w:rPr>
  </w:style>
  <w:style w:type="paragraph" w:styleId="Heading5">
    <w:name w:val="heading 5"/>
    <w:basedOn w:val="Normal"/>
    <w:next w:val="Normal"/>
    <w:link w:val="CommentReference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1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erChar">
    <w:name w:val="Footer Char"/>
    <w:basedOn w:val="DefaultParagraphFont"/>
    <w:locked/>
    <w:rPr>
      <w:rFonts w:ascii="Times New Roman" w:hAnsi="Times New Roman" w:cs="Times New Roman"/>
      <w:b/>
      <w:caps/>
      <w:sz w:val="22"/>
      <w:lang w:val="en-GB"/>
    </w:rPr>
  </w:style>
  <w:style w:type="character" w:customStyle="1" w:styleId="Heading9Char1">
    <w:name w:val="Heading 9 Char1"/>
    <w:basedOn w:val="DefaultParagraphFont"/>
    <w:locked/>
    <w:rPr>
      <w:rFonts w:ascii="Times New Roman" w:hAnsi="Times New Roman" w:cs="Times New Roman"/>
      <w:b/>
      <w:bCs/>
      <w:iCs/>
      <w:sz w:val="22"/>
      <w:lang w:val="en-GB"/>
    </w:rPr>
  </w:style>
  <w:style w:type="character" w:customStyle="1" w:styleId="Heading3Char">
    <w:name w:val="Heading 3 Char"/>
    <w:basedOn w:val="DefaultParagraphFont"/>
    <w:locked/>
    <w:rPr>
      <w:rFonts w:ascii="Times New Roman" w:hAnsi="Times New Roman" w:cs="Times New Roman"/>
      <w:i/>
      <w:iCs/>
      <w:sz w:val="22"/>
      <w:lang w:val="en-GB"/>
    </w:rPr>
  </w:style>
  <w:style w:type="character" w:customStyle="1" w:styleId="Heading4Char">
    <w:name w:val="Heading 4 Char"/>
    <w:basedOn w:val="DefaultParagraphFont"/>
    <w:locked/>
    <w:rPr>
      <w:rFonts w:ascii="Times New Roman" w:eastAsia="Times New Roman" w:hAnsi="Times New Roman" w:cs="Arial"/>
      <w:b/>
      <w:bCs/>
      <w:i/>
      <w:sz w:val="22"/>
      <w:lang w:val="en-GB"/>
    </w:rPr>
  </w:style>
  <w:style w:type="character" w:customStyle="1" w:styleId="Heading5Char">
    <w:name w:val="Heading 5 Char"/>
    <w:basedOn w:val="DefaultParagraphFont"/>
    <w:locked/>
    <w:rPr>
      <w:rFonts w:ascii="Times New Roman" w:hAnsi="Times New Roman" w:cs="Times New Roman"/>
      <w:bCs/>
      <w:i/>
      <w:sz w:val="26"/>
      <w:szCs w:val="26"/>
      <w:lang w:val="en-CA"/>
    </w:rPr>
  </w:style>
  <w:style w:type="character" w:customStyle="1" w:styleId="Heading6Char">
    <w:name w:val="Heading 6 Char"/>
    <w:basedOn w:val="DefaultParagraphFont"/>
    <w:locked/>
    <w:rPr>
      <w:rFonts w:ascii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ocked/>
    <w:rPr>
      <w:rFonts w:ascii="Univers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ocked/>
    <w:rPr>
      <w:rFonts w:ascii="Univers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ocked/>
    <w:rPr>
      <w:rFonts w:ascii="Times New Roman" w:hAnsi="Times New Roman" w:cs="Times New Roman"/>
      <w:i/>
      <w:iCs/>
      <w:sz w:val="22"/>
      <w:lang w:val="en-GB"/>
    </w:rPr>
  </w:style>
  <w:style w:type="table" w:styleId="TableGrid">
    <w:name w:val="Table Grid"/>
    <w:basedOn w:val="TableNormal"/>
    <w:rPr>
      <w:rFonts w:eastAsia="MS Mincho"/>
      <w:snapToGrid w:val="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alloonTextChar">
    <w:name w:val="Balloon Text Char"/>
    <w:basedOn w:val="DefaultParagraphFont"/>
    <w:semiHidden/>
    <w:locked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basedOn w:val="DefaultParagraphFont"/>
    <w:semiHidden/>
    <w:rPr>
      <w:rFonts w:cs="Times New Roman"/>
      <w:color w:val="80808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TitleChar1">
    <w:name w:val="Title Char1"/>
    <w:basedOn w:val="DefaultParagraphFont"/>
    <w:link w:val="Title"/>
    <w:locked/>
    <w:rPr>
      <w:rFonts w:ascii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SubtitleChar1">
    <w:name w:val="Subtitle Char1"/>
    <w:basedOn w:val="DefaultParagraphFont"/>
    <w:link w:val="Subtitle"/>
    <w:locked/>
    <w:rPr>
      <w:rFonts w:ascii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1"/>
    <w:qFormat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ocked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1"/>
    <w:qFormat/>
    <w:pPr>
      <w:numPr>
        <w:ilvl w:val="1"/>
      </w:numPr>
    </w:pPr>
    <w:rPr>
      <w:rFonts w:eastAsia="Times New Roman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ocked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Heading3Char1">
    <w:name w:val="Heading 3 Char1"/>
    <w:basedOn w:val="DefaultParagraphFont"/>
    <w:link w:val="Heading3"/>
    <w:locked/>
    <w:rPr>
      <w:rFonts w:ascii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1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ocked/>
    <w:rPr>
      <w:rFonts w:ascii="Times New Roman" w:hAnsi="Times New Roman" w:cs="Times New Roman"/>
      <w:sz w:val="22"/>
      <w:lang w:val="en-GB"/>
    </w:rPr>
  </w:style>
  <w:style w:type="character" w:styleId="CommentReference">
    <w:name w:val="annotation reference"/>
    <w:aliases w:val="Heading 5 Char1"/>
    <w:basedOn w:val="DefaultParagraphFont"/>
    <w:link w:val="Heading5"/>
    <w:semiHidden/>
    <w:rPr>
      <w:rFonts w:cs="Times New Roman"/>
      <w:sz w:val="16"/>
    </w:rPr>
  </w:style>
  <w:style w:type="paragraph" w:styleId="CommentText">
    <w:name w:val="annotation text"/>
    <w:basedOn w:val="Normal"/>
    <w:semiHidden/>
    <w:pPr>
      <w:spacing w:after="120" w:line="240" w:lineRule="exact"/>
    </w:pPr>
  </w:style>
  <w:style w:type="character" w:customStyle="1" w:styleId="BodyTextIndentChar1">
    <w:name w:val="Body Text Indent Char1"/>
    <w:basedOn w:val="DefaultParagraphFont"/>
    <w:link w:val="BodyTextIndent"/>
    <w:semiHidden/>
    <w:locked/>
    <w:rPr>
      <w:rFonts w:ascii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semiHidden/>
    <w:locked/>
    <w:rPr>
      <w:rFonts w:ascii="Courier New" w:hAnsi="Courier New" w:cs="Times New Roman"/>
      <w:sz w:val="22"/>
      <w:lang w:val="en-GB"/>
    </w:rPr>
  </w:style>
  <w:style w:type="character" w:styleId="FollowedHyperlink">
    <w:name w:val="FollowedHyperlink"/>
    <w:aliases w:val="Heading 1 Char"/>
    <w:basedOn w:val="DefaultParagraphFont"/>
    <w:link w:val="Heading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cs="Times New Roman"/>
      <w:sz w:val="22"/>
      <w:u w:val="none"/>
      <w:vertAlign w:val="superscript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semiHidden/>
    <w:locked/>
    <w:rPr>
      <w:rFonts w:ascii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HEADINGNOTFORTOC">
    <w:name w:val="HEADING (NOT FOR TOC)"/>
    <w:basedOn w:val="Heading1"/>
    <w:next w:val="Heading2"/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2notforTOC">
    <w:name w:val="heading 2 not for TOC"/>
    <w:basedOn w:val="Heading3"/>
  </w:style>
  <w:style w:type="paragraph" w:customStyle="1" w:styleId="Heading3multiline">
    <w:name w:val="Heading 3 (multiline)"/>
    <w:basedOn w:val="Heading3"/>
    <w:next w:val="Normal"/>
    <w:pPr>
      <w:ind w:left="1418" w:hanging="425"/>
      <w:jc w:val="left"/>
    </w:pPr>
  </w:style>
  <w:style w:type="paragraph" w:customStyle="1" w:styleId="Heading4indent">
    <w:name w:val="Heading 4 indent"/>
    <w:basedOn w:val="Heading4"/>
    <w:pPr>
      <w:ind w:left="720"/>
      <w:outlineLvl w:val="9"/>
    </w:pPr>
  </w:style>
  <w:style w:type="character" w:styleId="PageNumber">
    <w:name w:val="page number"/>
    <w:basedOn w:val="DefaultParagraphFont"/>
    <w:rPr>
      <w:rFonts w:ascii="Times New Roman" w:hAnsi="Times New Roman" w:cs="Times New Roman"/>
      <w:sz w:val="22"/>
    </w:rPr>
  </w:style>
  <w:style w:type="paragraph" w:customStyle="1" w:styleId="Para1">
    <w:name w:val="Para1"/>
    <w:basedOn w:val="Normal"/>
    <w:pPr>
      <w:numPr>
        <w:numId w:val="4"/>
      </w:numPr>
      <w:tabs>
        <w:tab w:val="clear" w:pos="360"/>
      </w:tabs>
      <w:spacing w:before="120" w:after="120"/>
    </w:pPr>
    <w:rPr>
      <w:sz w:val="18"/>
      <w:szCs w:val="20"/>
    </w:rPr>
  </w:style>
  <w:style w:type="paragraph" w:customStyle="1" w:styleId="Para2">
    <w:name w:val="Para2"/>
    <w:basedOn w:val="Para1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</w:style>
  <w:style w:type="paragraph" w:customStyle="1" w:styleId="recommendationheaderlong">
    <w:name w:val="recommendation header long"/>
    <w:basedOn w:val="Heading2longmultiline"/>
  </w:style>
  <w:style w:type="paragraph" w:customStyle="1" w:styleId="reference">
    <w:name w:val="reference"/>
    <w:basedOn w:val="Heading9"/>
    <w:rPr>
      <w:i w:val="0"/>
      <w:sz w:val="18"/>
    </w:rPr>
  </w:style>
  <w:style w:type="character" w:customStyle="1" w:styleId="StyleFootnoteReferenceNounderline">
    <w:name w:val="Style Footnote Reference + No underline"/>
    <w:rPr>
      <w:sz w:val="18"/>
      <w:u w:val="none"/>
      <w:vertAlign w:val="baseline"/>
    </w:rPr>
  </w:style>
  <w:style w:type="paragraph" w:customStyle="1" w:styleId="tabletitle">
    <w:name w:val="table title"/>
    <w:basedOn w:val="Heading2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Pr>
      <w:rFonts w:cs="Times New Roman"/>
      <w:color w:val="0000FF"/>
      <w:sz w:val="18"/>
      <w:u w:val="single"/>
    </w:rPr>
  </w:style>
  <w:style w:type="character" w:customStyle="1" w:styleId="Para1Char">
    <w:name w:val="Para1 Char"/>
    <w:locked/>
    <w:rPr>
      <w:rFonts w:ascii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aption">
    <w:name w:val="caption"/>
    <w:basedOn w:val="Normal"/>
    <w:next w:val="Normal"/>
    <w:qFormat/>
    <w:pPr>
      <w:keepNext/>
      <w:keepLines/>
      <w:spacing w:after="200"/>
    </w:pPr>
    <w:rPr>
      <w:b/>
      <w:iCs/>
      <w:szCs w:val="18"/>
    </w:rPr>
  </w:style>
  <w:style w:type="paragraph" w:styleId="CommentSubject">
    <w:name w:val="annotation subject"/>
    <w:basedOn w:val="CommentText"/>
    <w:next w:val="CommentText"/>
    <w:semiHidden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BodyTextIndentChar1"/>
    <w:semiHidden/>
    <w:locked/>
    <w:rPr>
      <w:b/>
      <w:bCs/>
      <w:sz w:val="20"/>
      <w:szCs w:val="20"/>
    </w:rPr>
  </w:style>
  <w:style w:type="paragraph" w:styleId="Revision">
    <w:name w:val="Revision"/>
    <w:hidden/>
    <w:semiHidden/>
    <w:rPr>
      <w:rFonts w:eastAsia="MS Mincho"/>
      <w:snapToGrid w:val="0"/>
      <w:sz w:val="22"/>
      <w:szCs w:val="24"/>
      <w:lang w:val="en-GB" w:eastAsia="es-ES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11/1.	In-depth dialogue on the thematic areas and other cross-cutting issues</vt:lpstr>
    </vt:vector>
  </TitlesOfParts>
  <Company>SCBD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11/1.	In-depth dialogue on the thematic areas and other cross-cutting issues</dc:title>
  <dc:subject>CBD/WG8J/REC/11/1</dc:subject>
  <dc:creator>WG8J-11</dc:creator>
  <cp:keywords>Convention on Biological Diversity, Ad Hoc Open-ended Working Group on Article 8(j) and Related Provisions</cp:keywords>
  <cp:lastModifiedBy>Laura Perez</cp:lastModifiedBy>
  <cp:revision>2</cp:revision>
  <cp:lastPrinted>2019-12-10T13:16:00Z</cp:lastPrinted>
  <dcterms:created xsi:type="dcterms:W3CDTF">2019-12-10T18:44:00Z</dcterms:created>
  <dcterms:modified xsi:type="dcterms:W3CDTF">2019-12-10T18:44:00Z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