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844"/>
        <w:gridCol w:w="5671"/>
      </w:tblGrid>
      <w:tr w:rsidR="00C946C4" w:rsidRPr="00783EE8" w14:paraId="4635DF6D" w14:textId="77777777" w:rsidTr="00297E12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22A163AC" w14:textId="77777777" w:rsidR="00C946C4" w:rsidRPr="00783EE8" w:rsidRDefault="00C946C4" w:rsidP="00297E12">
            <w:pPr>
              <w:spacing w:after="120"/>
              <w:jc w:val="left"/>
              <w:rPr>
                <w:lang w:val="fr-FR"/>
              </w:rPr>
            </w:pPr>
            <w:bookmarkStart w:id="0" w:name="_Hlk137651738"/>
            <w:r w:rsidRPr="00783EE8">
              <w:rPr>
                <w:noProof/>
                <w:lang w:val="fr-FR" w:eastAsia="fr-FR"/>
              </w:rPr>
              <w:drawing>
                <wp:inline distT="0" distB="0" distL="0" distR="0" wp14:anchorId="20F75909" wp14:editId="4C1F61AC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24798B69" w14:textId="77777777" w:rsidR="00C946C4" w:rsidRPr="00783EE8" w:rsidRDefault="00C946C4" w:rsidP="00297E12">
            <w:pPr>
              <w:spacing w:after="120"/>
              <w:jc w:val="left"/>
              <w:rPr>
                <w:lang w:val="fr-FR"/>
              </w:rPr>
            </w:pPr>
            <w:r w:rsidRPr="00783EE8">
              <w:rPr>
                <w:noProof/>
                <w:szCs w:val="22"/>
                <w:lang w:val="fr-FR" w:eastAsia="fr-FR"/>
              </w:rPr>
              <w:drawing>
                <wp:inline distT="0" distB="0" distL="0" distR="0" wp14:anchorId="6AF2CE30" wp14:editId="7FDCE4F2">
                  <wp:extent cx="590550" cy="3619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65E61163" w14:textId="730D37B4" w:rsidR="00C946C4" w:rsidRPr="00783EE8" w:rsidRDefault="00C946C4" w:rsidP="001E7EE2">
            <w:pPr>
              <w:spacing w:after="120"/>
              <w:ind w:left="2021"/>
              <w:jc w:val="right"/>
              <w:rPr>
                <w:szCs w:val="22"/>
                <w:lang w:val="fr-FR"/>
              </w:rPr>
            </w:pPr>
            <w:r w:rsidRPr="00783EE8">
              <w:rPr>
                <w:sz w:val="40"/>
                <w:szCs w:val="40"/>
                <w:lang w:val="fr-FR"/>
              </w:rPr>
              <w:t>CBD</w:t>
            </w:r>
            <w:r w:rsidRPr="00783EE8">
              <w:rPr>
                <w:szCs w:val="22"/>
                <w:lang w:val="fr-FR"/>
              </w:rPr>
              <w:t>/</w:t>
            </w:r>
            <w:r w:rsidR="0057058D" w:rsidRPr="00AD3F51">
              <w:rPr>
                <w:szCs w:val="22"/>
              </w:rPr>
              <w:t>WG8J/</w:t>
            </w:r>
            <w:r w:rsidR="003855C3">
              <w:rPr>
                <w:szCs w:val="22"/>
              </w:rPr>
              <w:t>REC/</w:t>
            </w:r>
            <w:r w:rsidR="0057058D" w:rsidRPr="00AD3F51">
              <w:rPr>
                <w:szCs w:val="22"/>
              </w:rPr>
              <w:t>12/</w:t>
            </w:r>
            <w:r w:rsidR="003855C3">
              <w:rPr>
                <w:szCs w:val="22"/>
              </w:rPr>
              <w:t>1</w:t>
            </w:r>
          </w:p>
        </w:tc>
      </w:tr>
      <w:tr w:rsidR="00C946C4" w:rsidRPr="003855C3" w14:paraId="1289DCFB" w14:textId="77777777" w:rsidTr="00297E12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BC937FC" w14:textId="77777777" w:rsidR="00C946C4" w:rsidRPr="00783EE8" w:rsidRDefault="00C946C4" w:rsidP="00297E12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  <w:rPr>
                <w:lang w:val="fr-FR"/>
              </w:rPr>
            </w:pPr>
            <w:r w:rsidRPr="00783EE8">
              <w:rPr>
                <w:noProof/>
                <w:szCs w:val="22"/>
                <w:lang w:val="fr-FR" w:eastAsia="fr-FR"/>
              </w:rPr>
              <w:drawing>
                <wp:inline distT="0" distB="0" distL="0" distR="0" wp14:anchorId="58480C20" wp14:editId="5F061D56">
                  <wp:extent cx="2857500" cy="1076325"/>
                  <wp:effectExtent l="0" t="0" r="0" b="9525"/>
                  <wp:docPr id="1" name="Image 1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11757ACB" w14:textId="390FD9EE" w:rsidR="00C946C4" w:rsidRPr="00783EE8" w:rsidRDefault="00C946C4" w:rsidP="00297E12">
            <w:pPr>
              <w:ind w:left="2584"/>
              <w:rPr>
                <w:szCs w:val="22"/>
                <w:lang w:val="fr-FR"/>
              </w:rPr>
            </w:pPr>
            <w:r w:rsidRPr="00783EE8">
              <w:rPr>
                <w:szCs w:val="22"/>
                <w:lang w:val="fr-FR"/>
              </w:rPr>
              <w:t>Distr.</w:t>
            </w:r>
            <w:r w:rsidR="003855C3">
              <w:rPr>
                <w:szCs w:val="22"/>
                <w:lang w:val="fr-FR"/>
              </w:rPr>
              <w:t> : G</w:t>
            </w:r>
            <w:r w:rsidR="001E7EE2">
              <w:rPr>
                <w:szCs w:val="22"/>
                <w:lang w:val="fr-FR"/>
              </w:rPr>
              <w:t>é</w:t>
            </w:r>
            <w:r w:rsidR="003855C3">
              <w:rPr>
                <w:szCs w:val="22"/>
                <w:lang w:val="fr-FR"/>
              </w:rPr>
              <w:t>néral</w:t>
            </w:r>
            <w:r w:rsidR="001E7EE2">
              <w:rPr>
                <w:szCs w:val="22"/>
                <w:lang w:val="fr-FR"/>
              </w:rPr>
              <w:t>e</w:t>
            </w:r>
          </w:p>
          <w:p w14:paraId="62F472B8" w14:textId="132DFC3B" w:rsidR="00C946C4" w:rsidRPr="00783EE8" w:rsidRDefault="001E7EE2" w:rsidP="00297E12">
            <w:pPr>
              <w:ind w:left="25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1</w:t>
            </w:r>
            <w:r w:rsidR="003855C3">
              <w:rPr>
                <w:szCs w:val="22"/>
                <w:lang w:val="fr-FR"/>
              </w:rPr>
              <w:t>6</w:t>
            </w:r>
            <w:r>
              <w:rPr>
                <w:szCs w:val="22"/>
                <w:lang w:val="fr-FR"/>
              </w:rPr>
              <w:t xml:space="preserve"> novembre</w:t>
            </w:r>
            <w:r w:rsidR="00C946C4" w:rsidRPr="00783EE8">
              <w:rPr>
                <w:szCs w:val="22"/>
                <w:lang w:val="fr-FR"/>
              </w:rPr>
              <w:t xml:space="preserve"> 2023</w:t>
            </w:r>
          </w:p>
          <w:p w14:paraId="56E1E6CB" w14:textId="77777777" w:rsidR="00C946C4" w:rsidRPr="00783EE8" w:rsidRDefault="00C946C4" w:rsidP="00297E12">
            <w:pPr>
              <w:ind w:left="2584"/>
              <w:rPr>
                <w:szCs w:val="22"/>
                <w:lang w:val="fr-FR"/>
              </w:rPr>
            </w:pPr>
          </w:p>
          <w:p w14:paraId="335FCD71" w14:textId="77777777" w:rsidR="00C946C4" w:rsidRPr="00783EE8" w:rsidRDefault="00C946C4" w:rsidP="00297E12">
            <w:pPr>
              <w:ind w:left="2584"/>
              <w:rPr>
                <w:szCs w:val="22"/>
                <w:lang w:val="fr-FR"/>
              </w:rPr>
            </w:pPr>
            <w:r w:rsidRPr="00783EE8">
              <w:rPr>
                <w:szCs w:val="22"/>
                <w:lang w:val="fr-FR"/>
              </w:rPr>
              <w:t>Français</w:t>
            </w:r>
          </w:p>
          <w:p w14:paraId="7D593DC4" w14:textId="6CAE8081" w:rsidR="00C946C4" w:rsidRPr="00783EE8" w:rsidRDefault="003855C3" w:rsidP="00297E12">
            <w:pPr>
              <w:ind w:left="25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Original : A</w:t>
            </w:r>
            <w:r w:rsidR="00C946C4" w:rsidRPr="00783EE8">
              <w:rPr>
                <w:szCs w:val="22"/>
                <w:lang w:val="fr-FR"/>
              </w:rPr>
              <w:t>nglais</w:t>
            </w:r>
          </w:p>
          <w:p w14:paraId="63A3809C" w14:textId="77777777" w:rsidR="00C946C4" w:rsidRPr="00783EE8" w:rsidRDefault="00C946C4" w:rsidP="00297E12">
            <w:pPr>
              <w:rPr>
                <w:lang w:val="fr-FR"/>
              </w:rPr>
            </w:pPr>
          </w:p>
        </w:tc>
      </w:tr>
    </w:tbl>
    <w:p w14:paraId="4DEF49C5" w14:textId="77777777" w:rsidR="00C946C4" w:rsidRPr="00783EE8" w:rsidRDefault="00C946C4" w:rsidP="00C946C4">
      <w:pPr>
        <w:pStyle w:val="Cornernotation"/>
        <w:ind w:left="0" w:right="4540" w:firstLine="0"/>
        <w:rPr>
          <w:bCs/>
          <w:lang w:val="fr-FR"/>
        </w:rPr>
      </w:pPr>
      <w:r w:rsidRPr="00783EE8">
        <w:rPr>
          <w:bCs/>
          <w:lang w:val="fr-FR"/>
        </w:rPr>
        <w:t>Groupe de travail spécial intersessions à composition non limitée sur l’article 8 j) et les dispositions connexes de la Convention sur la diversité biologique</w:t>
      </w:r>
    </w:p>
    <w:p w14:paraId="6FEDFA6F" w14:textId="77777777" w:rsidR="00C946C4" w:rsidRPr="00783EE8" w:rsidRDefault="00C946C4" w:rsidP="00C946C4">
      <w:pPr>
        <w:pStyle w:val="Cornernotation"/>
        <w:ind w:left="0" w:firstLine="0"/>
        <w:rPr>
          <w:bCs/>
          <w:sz w:val="22"/>
          <w:szCs w:val="22"/>
          <w:lang w:val="fr-FR"/>
        </w:rPr>
      </w:pPr>
      <w:r w:rsidRPr="00783EE8">
        <w:rPr>
          <w:bCs/>
          <w:sz w:val="22"/>
          <w:szCs w:val="22"/>
          <w:lang w:val="fr-FR"/>
        </w:rPr>
        <w:t xml:space="preserve">Douzième réunion </w:t>
      </w:r>
    </w:p>
    <w:p w14:paraId="17AD556F" w14:textId="77777777" w:rsidR="00C946C4" w:rsidRPr="00783EE8" w:rsidRDefault="00C946C4" w:rsidP="00C946C4">
      <w:pPr>
        <w:pStyle w:val="Venuedate"/>
        <w:rPr>
          <w:lang w:val="fr-FR"/>
        </w:rPr>
      </w:pPr>
      <w:r w:rsidRPr="00783EE8">
        <w:rPr>
          <w:lang w:val="fr-FR"/>
        </w:rPr>
        <w:t>Genève, 12-16 novembre 2023</w:t>
      </w:r>
    </w:p>
    <w:p w14:paraId="6FB34662" w14:textId="5097EC4C" w:rsidR="00C946C4" w:rsidRPr="00783EE8" w:rsidRDefault="00C946C4" w:rsidP="00C946C4">
      <w:pPr>
        <w:pStyle w:val="Cornernotation-Item"/>
        <w:rPr>
          <w:lang w:val="fr-FR"/>
        </w:rPr>
      </w:pPr>
      <w:r w:rsidRPr="00783EE8">
        <w:rPr>
          <w:b w:val="0"/>
          <w:bCs w:val="0"/>
          <w:lang w:val="fr-FR"/>
        </w:rPr>
        <w:t>Point</w:t>
      </w:r>
      <w:r w:rsidR="008232CA">
        <w:rPr>
          <w:b w:val="0"/>
          <w:bCs w:val="0"/>
          <w:lang w:val="fr-FR"/>
        </w:rPr>
        <w:t> 3 de l’ordre du jour</w:t>
      </w:r>
    </w:p>
    <w:p w14:paraId="4BA00D3F" w14:textId="77777777" w:rsidR="00C946C4" w:rsidRPr="00783EE8" w:rsidRDefault="00C946C4" w:rsidP="00C946C4">
      <w:pPr>
        <w:pStyle w:val="Cornernotation-Item"/>
        <w:ind w:left="0" w:firstLine="0"/>
        <w:rPr>
          <w:lang w:val="fr-FR"/>
        </w:rPr>
      </w:pPr>
      <w:r w:rsidRPr="00783EE8">
        <w:rPr>
          <w:lang w:val="fr-FR"/>
        </w:rPr>
        <w:t>Dialogue approfondi : « Le rôle des langues dans la transmission intergénérationnelle des connaissances, innovations et pratiques traditionnelles »</w:t>
      </w:r>
    </w:p>
    <w:bookmarkEnd w:id="0"/>
    <w:p w14:paraId="7D84CDDE" w14:textId="6481F7F9" w:rsidR="003855C3" w:rsidRDefault="003855C3" w:rsidP="00FB5997">
      <w:pPr>
        <w:pStyle w:val="Subtitle"/>
        <w:tabs>
          <w:tab w:val="left" w:pos="567"/>
        </w:tabs>
        <w:spacing w:before="240" w:after="120"/>
        <w:ind w:left="567" w:hanging="425"/>
        <w:jc w:val="center"/>
        <w:rPr>
          <w:rFonts w:eastAsiaTheme="majorEastAsia" w:cs="Times New Roman"/>
          <w:bCs/>
          <w:color w:val="auto"/>
          <w:spacing w:val="5"/>
          <w:kern w:val="28"/>
          <w:sz w:val="28"/>
          <w:szCs w:val="28"/>
          <w:lang w:val="fr-FR"/>
          <w14:ligatures w14:val="standardContextual"/>
        </w:rPr>
      </w:pPr>
      <w:r>
        <w:rPr>
          <w:rFonts w:eastAsiaTheme="majorEastAsia" w:cs="Times New Roman"/>
          <w:bCs/>
          <w:color w:val="auto"/>
          <w:spacing w:val="5"/>
          <w:kern w:val="28"/>
          <w:sz w:val="28"/>
          <w:szCs w:val="28"/>
          <w:lang w:val="fr-FR"/>
          <w14:ligatures w14:val="standardContextual"/>
        </w:rPr>
        <w:t>Recommandation adoptée par le Groupe de travail le 16 novembre 2023</w:t>
      </w:r>
    </w:p>
    <w:p w14:paraId="5628F63D" w14:textId="0C99534E" w:rsidR="00C946C4" w:rsidRPr="00B232D9" w:rsidRDefault="003855C3" w:rsidP="00FB5997">
      <w:pPr>
        <w:pStyle w:val="Subtitle"/>
        <w:spacing w:before="240" w:after="240"/>
        <w:ind w:left="993" w:hanging="709"/>
        <w:jc w:val="left"/>
        <w:rPr>
          <w:rFonts w:eastAsiaTheme="majorEastAsia" w:cs="Times New Roman"/>
          <w:bCs/>
          <w:color w:val="auto"/>
          <w:spacing w:val="5"/>
          <w:kern w:val="28"/>
          <w:sz w:val="28"/>
          <w:szCs w:val="28"/>
          <w:lang w:val="fr-FR"/>
          <w14:ligatures w14:val="standardContextual"/>
        </w:rPr>
      </w:pPr>
      <w:r>
        <w:rPr>
          <w:rFonts w:eastAsiaTheme="majorEastAsia" w:cs="Times New Roman"/>
          <w:bCs/>
          <w:color w:val="auto"/>
          <w:spacing w:val="5"/>
          <w:kern w:val="28"/>
          <w:sz w:val="28"/>
          <w:szCs w:val="28"/>
          <w:lang w:val="fr-FR"/>
          <w14:ligatures w14:val="standardContextual"/>
        </w:rPr>
        <w:t xml:space="preserve">12/1. </w:t>
      </w:r>
      <w:r>
        <w:rPr>
          <w:rFonts w:eastAsiaTheme="majorEastAsia" w:cs="Times New Roman"/>
          <w:bCs/>
          <w:color w:val="auto"/>
          <w:spacing w:val="5"/>
          <w:kern w:val="28"/>
          <w:sz w:val="28"/>
          <w:szCs w:val="28"/>
          <w:lang w:val="fr-FR"/>
          <w14:ligatures w14:val="standardContextual"/>
        </w:rPr>
        <w:tab/>
      </w:r>
      <w:r w:rsidR="00C946C4" w:rsidRPr="00B232D9">
        <w:rPr>
          <w:rFonts w:eastAsiaTheme="majorEastAsia" w:cs="Times New Roman"/>
          <w:bCs/>
          <w:color w:val="auto"/>
          <w:spacing w:val="5"/>
          <w:kern w:val="28"/>
          <w:sz w:val="28"/>
          <w:szCs w:val="28"/>
          <w:lang w:val="fr-FR"/>
          <w14:ligatures w14:val="standardContextual"/>
        </w:rPr>
        <w:t xml:space="preserve">Dialogue approfondi : « Le rôle des langues dans la transmission intergénérationnelle des connaissances, innovations et pratiques traditionnelles » </w:t>
      </w:r>
    </w:p>
    <w:p w14:paraId="6CDD6920" w14:textId="4D69318F" w:rsidR="00162BB0" w:rsidRPr="00B232D9" w:rsidRDefault="00560571" w:rsidP="00FB5997">
      <w:pPr>
        <w:spacing w:before="120"/>
        <w:ind w:left="567" w:firstLine="567"/>
        <w:rPr>
          <w:i/>
          <w:lang w:val="fr-FR"/>
        </w:rPr>
      </w:pPr>
      <w:r w:rsidRPr="00B232D9">
        <w:rPr>
          <w:i/>
          <w:lang w:val="fr-FR"/>
        </w:rPr>
        <w:t>Le Groupe de travail spécial intersessions à composition non limitée sur l’article 8 j) et les dispositions connexes de la Convention sur la diversité biologique</w:t>
      </w:r>
    </w:p>
    <w:p w14:paraId="03839349" w14:textId="24B510D0" w:rsidR="00C946C4" w:rsidRPr="00B232D9" w:rsidRDefault="00733455" w:rsidP="00AC7B19">
      <w:pPr>
        <w:pStyle w:val="Para1"/>
        <w:ind w:left="567" w:firstLine="567"/>
        <w:rPr>
          <w:rFonts w:asciiTheme="majorBidi" w:hAnsiTheme="majorBidi" w:cstheme="majorBidi"/>
          <w:color w:val="000000"/>
          <w:kern w:val="22"/>
          <w:lang w:val="fr-FR"/>
        </w:rPr>
        <w:sectPr w:rsidR="00C946C4" w:rsidRPr="00B232D9" w:rsidSect="00D76C89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134" w:right="1440" w:bottom="1134" w:left="1440" w:header="709" w:footer="709" w:gutter="0"/>
          <w:cols w:space="708"/>
          <w:titlePg/>
          <w:docGrid w:linePitch="360"/>
        </w:sectPr>
      </w:pPr>
      <w:r w:rsidRPr="00B232D9">
        <w:rPr>
          <w:rFonts w:asciiTheme="majorBidi" w:hAnsiTheme="majorBidi" w:cstheme="majorBidi"/>
          <w:i/>
          <w:color w:val="000000"/>
          <w:kern w:val="22"/>
          <w:lang w:val="fr-FR"/>
        </w:rPr>
        <w:t>Recommande</w:t>
      </w:r>
      <w:r w:rsidR="00FB5997">
        <w:rPr>
          <w:rFonts w:asciiTheme="majorBidi" w:hAnsiTheme="majorBidi" w:cstheme="majorBidi"/>
          <w:color w:val="000000"/>
          <w:kern w:val="22"/>
          <w:lang w:val="fr-FR"/>
        </w:rPr>
        <w:t xml:space="preserve"> que la Conférence des Parties adopte</w:t>
      </w:r>
      <w:r w:rsidR="00C946C4" w:rsidRPr="00B232D9">
        <w:rPr>
          <w:rFonts w:asciiTheme="majorBidi" w:hAnsiTheme="majorBidi" w:cstheme="majorBidi"/>
          <w:color w:val="000000"/>
          <w:kern w:val="22"/>
          <w:lang w:val="fr-FR"/>
        </w:rPr>
        <w:t>, à sa seizième réunion, une décision formulée comme suit :</w:t>
      </w:r>
    </w:p>
    <w:p w14:paraId="69B60FA3" w14:textId="77777777" w:rsidR="00C946C4" w:rsidRPr="00B232D9" w:rsidRDefault="00C946C4" w:rsidP="00566F5F">
      <w:pPr>
        <w:pStyle w:val="Para1"/>
        <w:ind w:left="1134" w:firstLine="567"/>
        <w:rPr>
          <w:rFonts w:asciiTheme="majorBidi" w:hAnsiTheme="majorBidi" w:cstheme="majorBidi"/>
          <w:i/>
          <w:kern w:val="22"/>
          <w:lang w:val="fr-FR"/>
        </w:rPr>
      </w:pPr>
      <w:r w:rsidRPr="00B232D9">
        <w:rPr>
          <w:rFonts w:asciiTheme="majorBidi" w:hAnsiTheme="majorBidi" w:cstheme="majorBidi"/>
          <w:i/>
          <w:kern w:val="22"/>
          <w:lang w:val="fr-FR"/>
        </w:rPr>
        <w:tab/>
        <w:t>La Conférence des Parties,</w:t>
      </w:r>
    </w:p>
    <w:p w14:paraId="0882E24B" w14:textId="40A48179" w:rsidR="00C946C4" w:rsidRPr="00B232D9" w:rsidRDefault="00C946C4" w:rsidP="00566F5F">
      <w:pPr>
        <w:pStyle w:val="Para1"/>
        <w:ind w:left="1134" w:firstLine="567"/>
        <w:rPr>
          <w:rFonts w:asciiTheme="majorBidi" w:hAnsiTheme="majorBidi" w:cstheme="majorBidi"/>
          <w:kern w:val="22"/>
          <w:lang w:val="fr-FR"/>
        </w:rPr>
      </w:pPr>
      <w:r w:rsidRPr="00B232D9">
        <w:rPr>
          <w:i/>
          <w:iCs/>
          <w:lang w:val="fr-FR"/>
        </w:rPr>
        <w:tab/>
        <w:t xml:space="preserve">Notant </w:t>
      </w:r>
      <w:r w:rsidRPr="00B232D9">
        <w:rPr>
          <w:lang w:val="fr-FR"/>
        </w:rPr>
        <w:t>que</w:t>
      </w:r>
      <w:r w:rsidRPr="00B232D9">
        <w:rPr>
          <w:rFonts w:asciiTheme="majorBidi" w:hAnsiTheme="majorBidi" w:cstheme="majorBidi"/>
          <w:kern w:val="22"/>
          <w:lang w:val="fr-FR"/>
        </w:rPr>
        <w:t>, à sa douzième réunion,</w:t>
      </w:r>
      <w:r w:rsidRPr="00B232D9">
        <w:rPr>
          <w:rFonts w:asciiTheme="majorBidi" w:hAnsiTheme="majorBidi" w:cstheme="majorBidi"/>
          <w:i/>
          <w:kern w:val="22"/>
          <w:lang w:val="fr-FR"/>
        </w:rPr>
        <w:t xml:space="preserve"> </w:t>
      </w:r>
      <w:r w:rsidRPr="00B232D9">
        <w:rPr>
          <w:rFonts w:asciiTheme="majorBidi" w:hAnsiTheme="majorBidi" w:cstheme="majorBidi"/>
          <w:kern w:val="22"/>
          <w:lang w:val="fr-FR"/>
        </w:rPr>
        <w:t>le Groupe de travail spécial intersessions à composition non limitée sur l’article 8 j) et les dispositions con</w:t>
      </w:r>
      <w:bookmarkStart w:id="3" w:name="_GoBack"/>
      <w:bookmarkEnd w:id="3"/>
      <w:r w:rsidRPr="00B232D9">
        <w:rPr>
          <w:rFonts w:asciiTheme="majorBidi" w:hAnsiTheme="majorBidi" w:cstheme="majorBidi"/>
          <w:kern w:val="22"/>
          <w:lang w:val="fr-FR"/>
        </w:rPr>
        <w:t>nexes de la Convention</w:t>
      </w:r>
      <w:r w:rsidR="00733455" w:rsidRPr="00B232D9">
        <w:rPr>
          <w:rFonts w:asciiTheme="majorBidi" w:hAnsiTheme="majorBidi" w:cstheme="majorBidi"/>
          <w:kern w:val="22"/>
          <w:lang w:val="fr-FR"/>
        </w:rPr>
        <w:t xml:space="preserve"> sur la diversité biologique</w:t>
      </w:r>
      <w:r w:rsidRPr="00B232D9">
        <w:rPr>
          <w:rStyle w:val="FootnoteReference"/>
          <w:rFonts w:asciiTheme="majorBidi" w:hAnsiTheme="majorBidi" w:cstheme="majorBidi"/>
          <w:lang w:val="fr-FR"/>
        </w:rPr>
        <w:footnoteReference w:id="1"/>
      </w:r>
      <w:r w:rsidRPr="00B232D9">
        <w:rPr>
          <w:rFonts w:asciiTheme="majorBidi" w:hAnsiTheme="majorBidi" w:cstheme="majorBidi"/>
          <w:kern w:val="22"/>
          <w:lang w:val="fr-FR"/>
        </w:rPr>
        <w:t xml:space="preserve"> a tenu un dialogue approfondi sur le thème « Le rôle des langues dans la transmission intergénérationnelle des connaissances, innovations et pratiques traditionnelles »,</w:t>
      </w:r>
    </w:p>
    <w:p w14:paraId="0207E430" w14:textId="38E03C29" w:rsidR="00733455" w:rsidRPr="00B232D9" w:rsidRDefault="00733455" w:rsidP="00566F5F">
      <w:pPr>
        <w:pStyle w:val="Para1"/>
        <w:ind w:left="1134" w:firstLine="567"/>
        <w:rPr>
          <w:rFonts w:asciiTheme="majorBidi" w:hAnsiTheme="majorBidi" w:cstheme="majorBidi"/>
          <w:kern w:val="22"/>
          <w:lang w:val="fr-FR"/>
        </w:rPr>
      </w:pPr>
      <w:r w:rsidRPr="00B232D9">
        <w:rPr>
          <w:i/>
          <w:iCs/>
          <w:lang w:val="fr-FR"/>
        </w:rPr>
        <w:tab/>
        <w:t xml:space="preserve">Notant </w:t>
      </w:r>
      <w:r w:rsidR="003C5A19">
        <w:rPr>
          <w:i/>
          <w:iCs/>
          <w:lang w:val="fr-FR"/>
        </w:rPr>
        <w:t xml:space="preserve">également </w:t>
      </w:r>
      <w:r w:rsidRPr="003C5A19">
        <w:rPr>
          <w:iCs/>
          <w:lang w:val="fr-FR"/>
        </w:rPr>
        <w:t>que</w:t>
      </w:r>
      <w:r w:rsidRPr="00B232D9">
        <w:rPr>
          <w:i/>
          <w:iCs/>
          <w:lang w:val="fr-FR"/>
        </w:rPr>
        <w:t xml:space="preserve"> </w:t>
      </w:r>
      <w:r w:rsidRPr="00B232D9">
        <w:rPr>
          <w:iCs/>
          <w:lang w:val="fr-FR"/>
        </w:rPr>
        <w:t>les peuples autochtones et les communautés locales préservent l’histoire, les coutumes et les traditions, la mémoire, les modes de pensée uniques, les significations et les expériences de leur</w:t>
      </w:r>
      <w:r w:rsidR="00BA77B8" w:rsidRPr="00B232D9">
        <w:rPr>
          <w:iCs/>
          <w:lang w:val="fr-FR"/>
        </w:rPr>
        <w:t>s</w:t>
      </w:r>
      <w:r w:rsidRPr="00B232D9">
        <w:rPr>
          <w:iCs/>
          <w:lang w:val="fr-FR"/>
        </w:rPr>
        <w:t xml:space="preserve"> communautés grâce aux langues,  </w:t>
      </w:r>
    </w:p>
    <w:p w14:paraId="20301750" w14:textId="3B2B4452" w:rsidR="00C946C4" w:rsidRPr="00B232D9" w:rsidRDefault="00C946C4" w:rsidP="00566F5F">
      <w:pPr>
        <w:pStyle w:val="Para1"/>
        <w:ind w:left="1134" w:firstLine="567"/>
        <w:rPr>
          <w:rFonts w:asciiTheme="majorBidi" w:hAnsiTheme="majorBidi" w:cstheme="majorBidi"/>
          <w:lang w:val="fr-FR"/>
        </w:rPr>
      </w:pPr>
      <w:r w:rsidRPr="00B232D9">
        <w:rPr>
          <w:rFonts w:asciiTheme="majorBidi" w:hAnsiTheme="majorBidi" w:cstheme="majorBidi"/>
          <w:i/>
          <w:iCs/>
          <w:lang w:val="fr-FR"/>
        </w:rPr>
        <w:tab/>
      </w:r>
      <w:r w:rsidR="003C5A19">
        <w:rPr>
          <w:rFonts w:asciiTheme="majorBidi" w:hAnsiTheme="majorBidi" w:cstheme="majorBidi"/>
          <w:i/>
          <w:iCs/>
          <w:lang w:val="fr-FR"/>
        </w:rPr>
        <w:t>Notant en outre</w:t>
      </w:r>
      <w:r w:rsidRPr="00B232D9">
        <w:rPr>
          <w:rFonts w:asciiTheme="majorBidi" w:hAnsiTheme="majorBidi" w:cstheme="majorBidi"/>
          <w:i/>
          <w:iCs/>
          <w:lang w:val="fr-FR"/>
        </w:rPr>
        <w:t xml:space="preserve"> </w:t>
      </w:r>
      <w:r w:rsidRPr="00B232D9">
        <w:rPr>
          <w:rFonts w:asciiTheme="majorBidi" w:hAnsiTheme="majorBidi" w:cstheme="majorBidi"/>
          <w:lang w:val="fr-FR"/>
        </w:rPr>
        <w:t>q</w:t>
      </w:r>
      <w:r w:rsidR="00FB5997">
        <w:rPr>
          <w:rFonts w:asciiTheme="majorBidi" w:hAnsiTheme="majorBidi" w:cstheme="majorBidi"/>
          <w:lang w:val="fr-FR"/>
        </w:rPr>
        <w:t xml:space="preserve">ue, dans le Cadre mondial de la </w:t>
      </w:r>
      <w:r w:rsidRPr="00B232D9">
        <w:rPr>
          <w:rFonts w:asciiTheme="majorBidi" w:hAnsiTheme="majorBidi" w:cstheme="majorBidi"/>
          <w:lang w:val="fr-FR"/>
        </w:rPr>
        <w:t>biodiversité de Kunming-Montréal</w:t>
      </w:r>
      <w:r w:rsidRPr="00B232D9">
        <w:rPr>
          <w:rStyle w:val="FootnoteReference"/>
          <w:rFonts w:asciiTheme="majorBidi" w:hAnsiTheme="majorBidi" w:cstheme="majorBidi"/>
          <w:lang w:val="fr-FR"/>
        </w:rPr>
        <w:footnoteReference w:id="2"/>
      </w:r>
      <w:r w:rsidRPr="00B232D9">
        <w:rPr>
          <w:rFonts w:asciiTheme="majorBidi" w:hAnsiTheme="majorBidi" w:cstheme="majorBidi"/>
          <w:lang w:val="fr-FR"/>
        </w:rPr>
        <w:t>, la Conférence des Parties a recon</w:t>
      </w:r>
      <w:r w:rsidR="00FB5997">
        <w:rPr>
          <w:rFonts w:asciiTheme="majorBidi" w:hAnsiTheme="majorBidi" w:cstheme="majorBidi"/>
          <w:lang w:val="fr-FR"/>
        </w:rPr>
        <w:t>nu les rôles et contributions im</w:t>
      </w:r>
      <w:r w:rsidRPr="00B232D9">
        <w:rPr>
          <w:rFonts w:asciiTheme="majorBidi" w:hAnsiTheme="majorBidi" w:cstheme="majorBidi"/>
          <w:lang w:val="fr-FR"/>
        </w:rPr>
        <w:t>portants des peuples autochtones et des communautés locales en tant que gardiens de la biodiversité, ainsi que leurs droits, leurs connaissances, y compris leurs connaissances traditionnelles associées à la biodiversité, leurs innovations, leurs visions du monde, leurs valeurs et leurs pratiques,</w:t>
      </w:r>
    </w:p>
    <w:p w14:paraId="4863950C" w14:textId="030D0A55" w:rsidR="00D437D9" w:rsidRPr="00B232D9" w:rsidRDefault="00C946C4" w:rsidP="00566F5F">
      <w:pPr>
        <w:pStyle w:val="Para1"/>
        <w:ind w:left="1134" w:firstLine="567"/>
        <w:rPr>
          <w:rFonts w:asciiTheme="majorBidi" w:hAnsiTheme="majorBidi" w:cstheme="majorBidi"/>
          <w:lang w:val="fr-FR"/>
        </w:rPr>
      </w:pPr>
      <w:r w:rsidRPr="00B232D9">
        <w:rPr>
          <w:rFonts w:asciiTheme="majorBidi" w:hAnsiTheme="majorBidi" w:cstheme="majorBidi"/>
          <w:i/>
          <w:iCs/>
          <w:lang w:val="fr-FR"/>
        </w:rPr>
        <w:lastRenderedPageBreak/>
        <w:tab/>
      </w:r>
      <w:r w:rsidR="0057058D">
        <w:rPr>
          <w:rFonts w:asciiTheme="majorBidi" w:hAnsiTheme="majorBidi" w:cstheme="majorBidi"/>
          <w:i/>
          <w:iCs/>
          <w:lang w:val="fr-FR"/>
        </w:rPr>
        <w:t xml:space="preserve">Reconnaissant </w:t>
      </w:r>
      <w:r w:rsidRPr="00B232D9">
        <w:rPr>
          <w:rFonts w:asciiTheme="majorBidi" w:hAnsiTheme="majorBidi" w:cstheme="majorBidi"/>
          <w:lang w:val="fr-FR"/>
        </w:rPr>
        <w:t xml:space="preserve">que, </w:t>
      </w:r>
      <w:r w:rsidR="00BA77B8" w:rsidRPr="00B232D9">
        <w:rPr>
          <w:rFonts w:asciiTheme="majorBidi" w:hAnsiTheme="majorBidi" w:cstheme="majorBidi"/>
          <w:lang w:val="fr-FR"/>
        </w:rPr>
        <w:t>dans</w:t>
      </w:r>
      <w:r w:rsidRPr="00B232D9">
        <w:rPr>
          <w:rFonts w:asciiTheme="majorBidi" w:hAnsiTheme="majorBidi" w:cstheme="majorBidi"/>
          <w:lang w:val="fr-FR"/>
        </w:rPr>
        <w:t xml:space="preserve"> la </w:t>
      </w:r>
      <w:r w:rsidR="00BC44B7">
        <w:rPr>
          <w:rFonts w:asciiTheme="majorBidi" w:hAnsiTheme="majorBidi" w:cstheme="majorBidi"/>
          <w:lang w:val="fr-FR"/>
        </w:rPr>
        <w:t>cible</w:t>
      </w:r>
      <w:r w:rsidRPr="00B232D9">
        <w:rPr>
          <w:rFonts w:asciiTheme="majorBidi" w:hAnsiTheme="majorBidi" w:cstheme="majorBidi"/>
          <w:lang w:val="fr-FR"/>
        </w:rPr>
        <w:t xml:space="preserve"> 21 du Cadre, la Conférence des Parties </w:t>
      </w:r>
      <w:r w:rsidR="00811D01">
        <w:rPr>
          <w:rFonts w:asciiTheme="majorBidi" w:hAnsiTheme="majorBidi" w:cstheme="majorBidi"/>
          <w:lang w:val="fr-FR"/>
        </w:rPr>
        <w:t>demande</w:t>
      </w:r>
      <w:r w:rsidRPr="00B232D9">
        <w:rPr>
          <w:rFonts w:asciiTheme="majorBidi" w:hAnsiTheme="majorBidi" w:cstheme="majorBidi"/>
          <w:lang w:val="fr-FR"/>
        </w:rPr>
        <w:t xml:space="preserve"> que les décideurs</w:t>
      </w:r>
      <w:r w:rsidR="00BA77B8" w:rsidRPr="00B232D9">
        <w:rPr>
          <w:rFonts w:asciiTheme="majorBidi" w:hAnsiTheme="majorBidi" w:cstheme="majorBidi"/>
          <w:lang w:val="fr-FR"/>
        </w:rPr>
        <w:t xml:space="preserve">, les praticiens et le public </w:t>
      </w:r>
      <w:r w:rsidRPr="00B232D9">
        <w:rPr>
          <w:rFonts w:asciiTheme="majorBidi" w:hAnsiTheme="majorBidi" w:cstheme="majorBidi"/>
          <w:lang w:val="fr-FR"/>
        </w:rPr>
        <w:t>aie</w:t>
      </w:r>
      <w:r w:rsidR="00BA77B8" w:rsidRPr="00B232D9">
        <w:rPr>
          <w:rFonts w:asciiTheme="majorBidi" w:hAnsiTheme="majorBidi" w:cstheme="majorBidi"/>
          <w:lang w:val="fr-FR"/>
        </w:rPr>
        <w:t>nt accès aux meilleures données</w:t>
      </w:r>
      <w:r w:rsidR="002F10A8" w:rsidRPr="00B232D9">
        <w:rPr>
          <w:rFonts w:asciiTheme="majorBidi" w:hAnsiTheme="majorBidi" w:cstheme="majorBidi"/>
          <w:lang w:val="fr-FR"/>
        </w:rPr>
        <w:t xml:space="preserve">, </w:t>
      </w:r>
      <w:r w:rsidRPr="00B232D9">
        <w:rPr>
          <w:rFonts w:asciiTheme="majorBidi" w:hAnsiTheme="majorBidi" w:cstheme="majorBidi"/>
          <w:lang w:val="fr-FR"/>
        </w:rPr>
        <w:t>informations</w:t>
      </w:r>
      <w:r w:rsidR="00BA77B8" w:rsidRPr="00B232D9">
        <w:rPr>
          <w:rFonts w:asciiTheme="majorBidi" w:hAnsiTheme="majorBidi" w:cstheme="majorBidi"/>
          <w:lang w:val="fr-FR"/>
        </w:rPr>
        <w:t xml:space="preserve"> </w:t>
      </w:r>
      <w:r w:rsidR="002F10A8" w:rsidRPr="00B232D9">
        <w:rPr>
          <w:rFonts w:asciiTheme="majorBidi" w:hAnsiTheme="majorBidi" w:cstheme="majorBidi"/>
          <w:lang w:val="fr-FR"/>
        </w:rPr>
        <w:t xml:space="preserve">et connaissances </w:t>
      </w:r>
      <w:r w:rsidRPr="00B232D9">
        <w:rPr>
          <w:rFonts w:asciiTheme="majorBidi" w:hAnsiTheme="majorBidi" w:cstheme="majorBidi"/>
          <w:lang w:val="fr-FR"/>
        </w:rPr>
        <w:t>afin de favoriser une gouvernance efficace et équitable et une gestion intégrée et participative de la biodiversité,</w:t>
      </w:r>
      <w:r w:rsidR="00DA3DCF" w:rsidRPr="00B232D9">
        <w:rPr>
          <w:rFonts w:asciiTheme="majorBidi" w:hAnsiTheme="majorBidi" w:cstheme="majorBidi"/>
          <w:lang w:val="fr-FR"/>
        </w:rPr>
        <w:t xml:space="preserve"> et de renforcer les communications, la sensibilisation, l’</w:t>
      </w:r>
      <w:r w:rsidR="002F10A8" w:rsidRPr="00B232D9">
        <w:rPr>
          <w:rFonts w:asciiTheme="majorBidi" w:hAnsiTheme="majorBidi" w:cstheme="majorBidi"/>
          <w:lang w:val="fr-FR"/>
        </w:rPr>
        <w:t>é</w:t>
      </w:r>
      <w:r w:rsidR="00DA3DCF" w:rsidRPr="00B232D9">
        <w:rPr>
          <w:rFonts w:asciiTheme="majorBidi" w:hAnsiTheme="majorBidi" w:cstheme="majorBidi"/>
          <w:lang w:val="fr-FR"/>
        </w:rPr>
        <w:t>ducation, le suivi, la recherche et la gestion des connaissances, et aussi, dans ce contexte, qu</w:t>
      </w:r>
      <w:r w:rsidR="00D437D9" w:rsidRPr="00B232D9">
        <w:rPr>
          <w:rFonts w:asciiTheme="majorBidi" w:hAnsiTheme="majorBidi" w:cstheme="majorBidi"/>
          <w:lang w:val="fr-FR"/>
        </w:rPr>
        <w:t xml:space="preserve">e l’accès aux </w:t>
      </w:r>
      <w:r w:rsidR="00DA3DCF" w:rsidRPr="00B232D9">
        <w:rPr>
          <w:rFonts w:asciiTheme="majorBidi" w:hAnsiTheme="majorBidi" w:cstheme="majorBidi"/>
          <w:lang w:val="fr-FR"/>
        </w:rPr>
        <w:t xml:space="preserve"> connaissances traditionnelles, </w:t>
      </w:r>
      <w:r w:rsidR="00D437D9" w:rsidRPr="00B232D9">
        <w:rPr>
          <w:rFonts w:asciiTheme="majorBidi" w:hAnsiTheme="majorBidi" w:cstheme="majorBidi"/>
          <w:lang w:val="fr-FR"/>
        </w:rPr>
        <w:t>aux</w:t>
      </w:r>
      <w:r w:rsidR="00DA3DCF" w:rsidRPr="00B232D9">
        <w:rPr>
          <w:rFonts w:asciiTheme="majorBidi" w:hAnsiTheme="majorBidi" w:cstheme="majorBidi"/>
          <w:lang w:val="fr-FR"/>
        </w:rPr>
        <w:t xml:space="preserve"> innovations, </w:t>
      </w:r>
      <w:r w:rsidR="00D437D9" w:rsidRPr="00B232D9">
        <w:rPr>
          <w:rFonts w:asciiTheme="majorBidi" w:hAnsiTheme="majorBidi" w:cstheme="majorBidi"/>
          <w:lang w:val="fr-FR"/>
        </w:rPr>
        <w:t>aux</w:t>
      </w:r>
      <w:r w:rsidR="00DA3DCF" w:rsidRPr="00B232D9">
        <w:rPr>
          <w:rFonts w:asciiTheme="majorBidi" w:hAnsiTheme="majorBidi" w:cstheme="majorBidi"/>
          <w:lang w:val="fr-FR"/>
        </w:rPr>
        <w:t xml:space="preserve"> pratiques et </w:t>
      </w:r>
      <w:r w:rsidR="00D437D9" w:rsidRPr="00B232D9">
        <w:rPr>
          <w:rFonts w:asciiTheme="majorBidi" w:hAnsiTheme="majorBidi" w:cstheme="majorBidi"/>
          <w:lang w:val="fr-FR"/>
        </w:rPr>
        <w:t>aux</w:t>
      </w:r>
      <w:r w:rsidR="00DA3DCF" w:rsidRPr="00B232D9">
        <w:rPr>
          <w:rFonts w:asciiTheme="majorBidi" w:hAnsiTheme="majorBidi" w:cstheme="majorBidi"/>
          <w:lang w:val="fr-FR"/>
        </w:rPr>
        <w:t xml:space="preserve"> technologies des peuples autochtones et des communautés locales </w:t>
      </w:r>
      <w:r w:rsidR="00D437D9" w:rsidRPr="00B232D9">
        <w:rPr>
          <w:rFonts w:asciiTheme="majorBidi" w:hAnsiTheme="majorBidi" w:cstheme="majorBidi"/>
          <w:lang w:val="fr-FR"/>
        </w:rPr>
        <w:t>ne soit accordé qu’a</w:t>
      </w:r>
      <w:r w:rsidR="003E15F9">
        <w:rPr>
          <w:rFonts w:asciiTheme="majorBidi" w:hAnsiTheme="majorBidi" w:cstheme="majorBidi"/>
          <w:lang w:val="fr-FR"/>
        </w:rPr>
        <w:t>vec leur consentement</w:t>
      </w:r>
      <w:r w:rsidR="00D437D9" w:rsidRPr="00B232D9">
        <w:rPr>
          <w:rFonts w:asciiTheme="majorBidi" w:hAnsiTheme="majorBidi" w:cstheme="majorBidi"/>
          <w:lang w:val="fr-FR"/>
        </w:rPr>
        <w:t xml:space="preserve"> </w:t>
      </w:r>
      <w:r w:rsidR="003E15F9" w:rsidRPr="003E15F9">
        <w:rPr>
          <w:szCs w:val="22"/>
          <w:lang w:val="fr-FR"/>
        </w:rPr>
        <w:t>préalable, donné librement et en connaissance de cause</w:t>
      </w:r>
      <w:r w:rsidR="0057058D">
        <w:rPr>
          <w:rStyle w:val="FootnoteReference"/>
          <w:szCs w:val="22"/>
        </w:rPr>
        <w:footnoteReference w:id="3"/>
      </w:r>
      <w:r w:rsidR="00B804BF" w:rsidRPr="00B232D9">
        <w:rPr>
          <w:rFonts w:asciiTheme="majorBidi" w:hAnsiTheme="majorBidi" w:cstheme="majorBidi"/>
          <w:lang w:val="fr-FR"/>
        </w:rPr>
        <w:t xml:space="preserve">, et </w:t>
      </w:r>
      <w:r w:rsidR="0053215D" w:rsidRPr="00B232D9">
        <w:rPr>
          <w:rFonts w:asciiTheme="majorBidi" w:hAnsiTheme="majorBidi" w:cstheme="majorBidi"/>
          <w:lang w:val="fr-FR"/>
        </w:rPr>
        <w:t xml:space="preserve">dans </w:t>
      </w:r>
      <w:r w:rsidR="00B804BF" w:rsidRPr="00B232D9">
        <w:rPr>
          <w:rFonts w:asciiTheme="majorBidi" w:hAnsiTheme="majorBidi" w:cstheme="majorBidi"/>
          <w:lang w:val="fr-FR"/>
        </w:rPr>
        <w:t xml:space="preserve">les </w:t>
      </w:r>
      <w:r w:rsidR="00BC44B7">
        <w:rPr>
          <w:rFonts w:asciiTheme="majorBidi" w:hAnsiTheme="majorBidi" w:cstheme="majorBidi"/>
          <w:lang w:val="fr-FR"/>
        </w:rPr>
        <w:t>cible</w:t>
      </w:r>
      <w:r w:rsidR="00B804BF" w:rsidRPr="00B232D9">
        <w:rPr>
          <w:rFonts w:asciiTheme="majorBidi" w:hAnsiTheme="majorBidi" w:cstheme="majorBidi"/>
          <w:lang w:val="fr-FR"/>
        </w:rPr>
        <w:t>s 22 et 23 du Cadre et le Plan d’act</w:t>
      </w:r>
      <w:r w:rsidR="003C5A19">
        <w:rPr>
          <w:rFonts w:asciiTheme="majorBidi" w:hAnsiTheme="majorBidi" w:cstheme="majorBidi"/>
          <w:lang w:val="fr-FR"/>
        </w:rPr>
        <w:t>ion pour l’égalité des sexes</w:t>
      </w:r>
      <w:r w:rsidR="00B804BF" w:rsidRPr="00B232D9">
        <w:rPr>
          <w:rStyle w:val="FootnoteReference"/>
          <w:rFonts w:asciiTheme="majorBidi" w:hAnsiTheme="majorBidi" w:cstheme="majorBidi"/>
          <w:lang w:val="en-GB"/>
        </w:rPr>
        <w:footnoteReference w:id="4"/>
      </w:r>
      <w:r w:rsidR="00AD0B83">
        <w:rPr>
          <w:rFonts w:asciiTheme="majorBidi" w:hAnsiTheme="majorBidi" w:cstheme="majorBidi"/>
          <w:lang w:val="fr-FR"/>
        </w:rPr>
        <w:t>,</w:t>
      </w:r>
      <w:r w:rsidR="00B804BF" w:rsidRPr="00B232D9">
        <w:rPr>
          <w:rFonts w:asciiTheme="majorBidi" w:hAnsiTheme="majorBidi" w:cstheme="majorBidi"/>
          <w:lang w:val="fr-FR"/>
        </w:rPr>
        <w:t xml:space="preserve"> la Conférence des Parties demande le respect de l’</w:t>
      </w:r>
      <w:r w:rsidR="0053215D" w:rsidRPr="00B232D9">
        <w:rPr>
          <w:rFonts w:asciiTheme="majorBidi" w:hAnsiTheme="majorBidi" w:cstheme="majorBidi"/>
          <w:lang w:val="fr-FR"/>
        </w:rPr>
        <w:t>é</w:t>
      </w:r>
      <w:r w:rsidR="003C5A19">
        <w:rPr>
          <w:rFonts w:asciiTheme="majorBidi" w:hAnsiTheme="majorBidi" w:cstheme="majorBidi"/>
          <w:lang w:val="fr-FR"/>
        </w:rPr>
        <w:t>galité des sexes</w:t>
      </w:r>
      <w:r w:rsidR="00B804BF" w:rsidRPr="00B232D9">
        <w:rPr>
          <w:rFonts w:asciiTheme="majorBidi" w:hAnsiTheme="majorBidi" w:cstheme="majorBidi"/>
          <w:lang w:val="fr-FR"/>
        </w:rPr>
        <w:t xml:space="preserve"> dans la mise en œuv</w:t>
      </w:r>
      <w:r w:rsidR="009C2EF1">
        <w:rPr>
          <w:rFonts w:asciiTheme="majorBidi" w:hAnsiTheme="majorBidi" w:cstheme="majorBidi"/>
          <w:lang w:val="fr-FR"/>
        </w:rPr>
        <w:t xml:space="preserve">re du Cadre grâce à une approche tenant compte </w:t>
      </w:r>
      <w:r w:rsidR="003C5A19">
        <w:rPr>
          <w:rFonts w:asciiTheme="majorBidi" w:hAnsiTheme="majorBidi" w:cstheme="majorBidi"/>
          <w:lang w:val="fr-FR"/>
        </w:rPr>
        <w:t>de l’égalité des sexes, par laquelle</w:t>
      </w:r>
      <w:r w:rsidR="00CC4E2F" w:rsidRPr="00B232D9">
        <w:rPr>
          <w:rFonts w:asciiTheme="majorBidi" w:hAnsiTheme="majorBidi" w:cstheme="majorBidi"/>
          <w:lang w:val="fr-FR"/>
        </w:rPr>
        <w:t xml:space="preserve"> toutes les femmes et les filles profitent d’occasions et de capacités égales de contribuer aux trois objectifs de la Convention,</w:t>
      </w:r>
      <w:r w:rsidR="00B804BF" w:rsidRPr="00B232D9">
        <w:rPr>
          <w:rFonts w:asciiTheme="majorBidi" w:hAnsiTheme="majorBidi" w:cstheme="majorBidi"/>
          <w:lang w:val="fr-FR"/>
        </w:rPr>
        <w:t xml:space="preserve"> </w:t>
      </w:r>
    </w:p>
    <w:p w14:paraId="0EB40AC3" w14:textId="5BA0EAD0" w:rsidR="00C946C4" w:rsidRPr="00B232D9" w:rsidRDefault="00C946C4" w:rsidP="00566F5F">
      <w:pPr>
        <w:pStyle w:val="Para1"/>
        <w:ind w:left="1134" w:firstLine="567"/>
        <w:rPr>
          <w:rFonts w:asciiTheme="majorBidi" w:hAnsiTheme="majorBidi" w:cstheme="majorBidi"/>
          <w:kern w:val="22"/>
          <w:highlight w:val="white"/>
          <w:lang w:val="fr-FR"/>
        </w:rPr>
      </w:pPr>
      <w:r w:rsidRPr="00B232D9">
        <w:rPr>
          <w:rFonts w:asciiTheme="majorBidi" w:hAnsiTheme="majorBidi" w:cstheme="majorBidi"/>
          <w:i/>
          <w:kern w:val="22"/>
          <w:highlight w:val="white"/>
          <w:lang w:val="fr-FR"/>
        </w:rPr>
        <w:tab/>
      </w:r>
      <w:r w:rsidR="0053215D" w:rsidRPr="00B232D9">
        <w:rPr>
          <w:rFonts w:asciiTheme="majorBidi" w:hAnsiTheme="majorBidi" w:cstheme="majorBidi"/>
          <w:i/>
          <w:kern w:val="22"/>
          <w:highlight w:val="white"/>
          <w:lang w:val="fr-FR"/>
        </w:rPr>
        <w:t>Reconnaissant</w:t>
      </w:r>
      <w:r w:rsidR="00713C39">
        <w:rPr>
          <w:rFonts w:asciiTheme="majorBidi" w:hAnsiTheme="majorBidi" w:cstheme="majorBidi"/>
          <w:i/>
          <w:kern w:val="22"/>
          <w:highlight w:val="white"/>
          <w:lang w:val="fr-FR"/>
        </w:rPr>
        <w:t xml:space="preserve"> également</w:t>
      </w:r>
      <w:r w:rsidRPr="00B232D9">
        <w:rPr>
          <w:rFonts w:asciiTheme="majorBidi" w:hAnsiTheme="majorBidi" w:cstheme="majorBidi"/>
          <w:i/>
          <w:kern w:val="22"/>
          <w:highlight w:val="white"/>
          <w:lang w:val="fr-FR"/>
        </w:rPr>
        <w:t xml:space="preserve"> </w:t>
      </w:r>
      <w:r w:rsidR="003C5A19">
        <w:rPr>
          <w:rFonts w:asciiTheme="majorBidi" w:hAnsiTheme="majorBidi" w:cstheme="majorBidi"/>
          <w:kern w:val="22"/>
          <w:highlight w:val="white"/>
          <w:lang w:val="fr-FR"/>
        </w:rPr>
        <w:t>que la contribution</w:t>
      </w:r>
      <w:r w:rsidRPr="00B232D9">
        <w:rPr>
          <w:rFonts w:asciiTheme="majorBidi" w:hAnsiTheme="majorBidi" w:cstheme="majorBidi"/>
          <w:kern w:val="22"/>
          <w:highlight w:val="white"/>
          <w:lang w:val="fr-FR"/>
        </w:rPr>
        <w:t xml:space="preserve"> </w:t>
      </w:r>
      <w:r w:rsidRPr="00B232D9">
        <w:rPr>
          <w:rFonts w:asciiTheme="majorBidi" w:hAnsiTheme="majorBidi" w:cstheme="majorBidi"/>
          <w:kern w:val="22"/>
          <w:lang w:val="fr-FR"/>
        </w:rPr>
        <w:t xml:space="preserve">des langues </w:t>
      </w:r>
      <w:r w:rsidR="00713C39">
        <w:rPr>
          <w:rFonts w:asciiTheme="majorBidi" w:hAnsiTheme="majorBidi" w:cstheme="majorBidi"/>
          <w:kern w:val="22"/>
          <w:lang w:val="fr-FR"/>
        </w:rPr>
        <w:t xml:space="preserve">des peuples </w:t>
      </w:r>
      <w:r w:rsidRPr="00B232D9">
        <w:rPr>
          <w:rFonts w:asciiTheme="majorBidi" w:hAnsiTheme="majorBidi" w:cstheme="majorBidi"/>
          <w:kern w:val="22"/>
          <w:lang w:val="fr-FR"/>
        </w:rPr>
        <w:t xml:space="preserve">autochtones </w:t>
      </w:r>
      <w:r w:rsidR="00CC4E2F" w:rsidRPr="00B232D9">
        <w:rPr>
          <w:rFonts w:asciiTheme="majorBidi" w:hAnsiTheme="majorBidi" w:cstheme="majorBidi"/>
          <w:kern w:val="22"/>
          <w:lang w:val="fr-FR"/>
        </w:rPr>
        <w:t xml:space="preserve">et </w:t>
      </w:r>
      <w:r w:rsidR="00713C39">
        <w:rPr>
          <w:rFonts w:asciiTheme="majorBidi" w:hAnsiTheme="majorBidi" w:cstheme="majorBidi"/>
          <w:kern w:val="22"/>
          <w:lang w:val="fr-FR"/>
        </w:rPr>
        <w:t xml:space="preserve">des communautés </w:t>
      </w:r>
      <w:r w:rsidR="00CC4E2F" w:rsidRPr="00B232D9">
        <w:rPr>
          <w:rFonts w:asciiTheme="majorBidi" w:hAnsiTheme="majorBidi" w:cstheme="majorBidi"/>
          <w:kern w:val="22"/>
          <w:lang w:val="fr-FR"/>
        </w:rPr>
        <w:t xml:space="preserve">locales </w:t>
      </w:r>
      <w:r w:rsidRPr="00B232D9">
        <w:rPr>
          <w:rFonts w:asciiTheme="majorBidi" w:hAnsiTheme="majorBidi" w:cstheme="majorBidi"/>
          <w:kern w:val="22"/>
          <w:highlight w:val="white"/>
          <w:lang w:val="fr-FR"/>
        </w:rPr>
        <w:t xml:space="preserve">et des connaissances traditionnelles </w:t>
      </w:r>
      <w:r w:rsidR="00CC4E2F" w:rsidRPr="00B232D9">
        <w:rPr>
          <w:rFonts w:asciiTheme="majorBidi" w:hAnsiTheme="majorBidi" w:cstheme="majorBidi"/>
          <w:kern w:val="22"/>
          <w:highlight w:val="white"/>
          <w:lang w:val="fr-FR"/>
        </w:rPr>
        <w:t>pour lutter cont</w:t>
      </w:r>
      <w:r w:rsidR="00B20CDF" w:rsidRPr="00B232D9">
        <w:rPr>
          <w:rFonts w:asciiTheme="majorBidi" w:hAnsiTheme="majorBidi" w:cstheme="majorBidi"/>
          <w:kern w:val="22"/>
          <w:highlight w:val="white"/>
          <w:lang w:val="fr-FR"/>
        </w:rPr>
        <w:t>r</w:t>
      </w:r>
      <w:r w:rsidR="00CC4E2F" w:rsidRPr="00B232D9">
        <w:rPr>
          <w:rFonts w:asciiTheme="majorBidi" w:hAnsiTheme="majorBidi" w:cstheme="majorBidi"/>
          <w:kern w:val="22"/>
          <w:highlight w:val="white"/>
          <w:lang w:val="fr-FR"/>
        </w:rPr>
        <w:t>e l’appauvrisseme</w:t>
      </w:r>
      <w:r w:rsidR="003C5A19">
        <w:rPr>
          <w:rFonts w:asciiTheme="majorBidi" w:hAnsiTheme="majorBidi" w:cstheme="majorBidi"/>
          <w:kern w:val="22"/>
          <w:highlight w:val="white"/>
          <w:lang w:val="fr-FR"/>
        </w:rPr>
        <w:t>nt de la diversité biologique</w:t>
      </w:r>
      <w:r w:rsidR="009C2EF1">
        <w:rPr>
          <w:rFonts w:asciiTheme="majorBidi" w:hAnsiTheme="majorBidi" w:cstheme="majorBidi"/>
          <w:kern w:val="22"/>
          <w:highlight w:val="white"/>
          <w:lang w:val="fr-FR"/>
        </w:rPr>
        <w:t>,</w:t>
      </w:r>
      <w:r w:rsidR="003C5A19">
        <w:rPr>
          <w:rFonts w:asciiTheme="majorBidi" w:hAnsiTheme="majorBidi" w:cstheme="majorBidi"/>
          <w:kern w:val="22"/>
          <w:highlight w:val="white"/>
          <w:lang w:val="fr-FR"/>
        </w:rPr>
        <w:t xml:space="preserve"> ainsi que</w:t>
      </w:r>
      <w:r w:rsidR="00CC4E2F" w:rsidRPr="00B232D9">
        <w:rPr>
          <w:rFonts w:asciiTheme="majorBidi" w:hAnsiTheme="majorBidi" w:cstheme="majorBidi"/>
          <w:kern w:val="22"/>
          <w:highlight w:val="white"/>
          <w:lang w:val="fr-FR"/>
        </w:rPr>
        <w:t xml:space="preserve"> le rôle des femmes autochtones et </w:t>
      </w:r>
      <w:r w:rsidR="00B20CDF" w:rsidRPr="00B232D9">
        <w:rPr>
          <w:rFonts w:asciiTheme="majorBidi" w:hAnsiTheme="majorBidi" w:cstheme="majorBidi"/>
          <w:kern w:val="22"/>
          <w:highlight w:val="white"/>
          <w:lang w:val="fr-FR"/>
        </w:rPr>
        <w:t>des communautés locales dans le processus de la transmission d</w:t>
      </w:r>
      <w:r w:rsidR="003C5A19">
        <w:rPr>
          <w:rFonts w:asciiTheme="majorBidi" w:hAnsiTheme="majorBidi" w:cstheme="majorBidi"/>
          <w:kern w:val="22"/>
          <w:highlight w:val="white"/>
          <w:lang w:val="fr-FR"/>
        </w:rPr>
        <w:t>es connaissances à cet égard</w:t>
      </w:r>
      <w:r w:rsidR="009C2EF1">
        <w:rPr>
          <w:rFonts w:asciiTheme="majorBidi" w:hAnsiTheme="majorBidi" w:cstheme="majorBidi"/>
          <w:kern w:val="22"/>
          <w:highlight w:val="white"/>
          <w:lang w:val="fr-FR"/>
        </w:rPr>
        <w:t>,</w:t>
      </w:r>
      <w:r w:rsidR="003C5A19">
        <w:rPr>
          <w:rFonts w:asciiTheme="majorBidi" w:hAnsiTheme="majorBidi" w:cstheme="majorBidi"/>
          <w:kern w:val="22"/>
          <w:highlight w:val="white"/>
          <w:lang w:val="fr-FR"/>
        </w:rPr>
        <w:t xml:space="preserve"> sont</w:t>
      </w:r>
      <w:r w:rsidR="00B20CDF" w:rsidRPr="00B232D9">
        <w:rPr>
          <w:rFonts w:asciiTheme="majorBidi" w:hAnsiTheme="majorBidi" w:cstheme="majorBidi"/>
          <w:kern w:val="22"/>
          <w:highlight w:val="white"/>
          <w:lang w:val="fr-FR"/>
        </w:rPr>
        <w:t xml:space="preserve"> </w:t>
      </w:r>
      <w:r w:rsidRPr="00B232D9">
        <w:rPr>
          <w:rFonts w:asciiTheme="majorBidi" w:hAnsiTheme="majorBidi" w:cstheme="majorBidi"/>
          <w:kern w:val="22"/>
          <w:highlight w:val="white"/>
          <w:lang w:val="fr-FR"/>
        </w:rPr>
        <w:t>nécessaire</w:t>
      </w:r>
      <w:r w:rsidR="003C5A19">
        <w:rPr>
          <w:rFonts w:asciiTheme="majorBidi" w:hAnsiTheme="majorBidi" w:cstheme="majorBidi"/>
          <w:kern w:val="22"/>
          <w:highlight w:val="white"/>
          <w:lang w:val="fr-FR"/>
        </w:rPr>
        <w:t>s pour réaliser la V</w:t>
      </w:r>
      <w:r w:rsidRPr="00B232D9">
        <w:rPr>
          <w:rFonts w:asciiTheme="majorBidi" w:hAnsiTheme="majorBidi" w:cstheme="majorBidi"/>
          <w:kern w:val="22"/>
          <w:highlight w:val="white"/>
          <w:lang w:val="fr-FR"/>
        </w:rPr>
        <w:t>ision d’une vie en harmonie avec la nature d’ici à 2050,</w:t>
      </w:r>
      <w:r w:rsidR="00B20CDF" w:rsidRPr="00B232D9">
        <w:rPr>
          <w:rFonts w:asciiTheme="majorBidi" w:hAnsiTheme="majorBidi" w:cstheme="majorBidi"/>
          <w:kern w:val="22"/>
          <w:highlight w:val="white"/>
          <w:lang w:val="fr-FR"/>
        </w:rPr>
        <w:t xml:space="preserve"> </w:t>
      </w:r>
    </w:p>
    <w:p w14:paraId="2C0D9B5B" w14:textId="054E7948" w:rsidR="00C946C4" w:rsidRPr="00B232D9" w:rsidRDefault="00C946C4" w:rsidP="00566F5F">
      <w:pPr>
        <w:pStyle w:val="Para1"/>
        <w:ind w:left="1134" w:firstLine="567"/>
        <w:rPr>
          <w:rFonts w:asciiTheme="majorBidi" w:hAnsiTheme="majorBidi" w:cstheme="majorBidi"/>
          <w:kern w:val="22"/>
          <w:lang w:val="fr-FR"/>
        </w:rPr>
      </w:pPr>
      <w:r w:rsidRPr="00B232D9">
        <w:rPr>
          <w:rFonts w:asciiTheme="majorBidi" w:hAnsiTheme="majorBidi" w:cstheme="majorBidi"/>
          <w:i/>
          <w:kern w:val="22"/>
          <w:lang w:val="fr-FR"/>
        </w:rPr>
        <w:tab/>
      </w:r>
      <w:r w:rsidR="0053215D" w:rsidRPr="00B232D9">
        <w:rPr>
          <w:rFonts w:asciiTheme="majorBidi" w:hAnsiTheme="majorBidi" w:cstheme="majorBidi"/>
          <w:i/>
          <w:kern w:val="22"/>
          <w:lang w:val="fr-FR"/>
        </w:rPr>
        <w:t>Reconnaissant</w:t>
      </w:r>
      <w:r w:rsidRPr="00B232D9">
        <w:rPr>
          <w:rFonts w:asciiTheme="majorBidi" w:hAnsiTheme="majorBidi" w:cstheme="majorBidi"/>
          <w:i/>
          <w:kern w:val="22"/>
          <w:lang w:val="fr-FR"/>
        </w:rPr>
        <w:t xml:space="preserve"> </w:t>
      </w:r>
      <w:r w:rsidR="00713C39">
        <w:rPr>
          <w:rFonts w:asciiTheme="majorBidi" w:hAnsiTheme="majorBidi" w:cstheme="majorBidi"/>
          <w:i/>
          <w:kern w:val="22"/>
          <w:lang w:val="fr-FR"/>
        </w:rPr>
        <w:t>en outre</w:t>
      </w:r>
      <w:r w:rsidRPr="00B232D9">
        <w:rPr>
          <w:rFonts w:asciiTheme="majorBidi" w:hAnsiTheme="majorBidi" w:cstheme="majorBidi"/>
          <w:kern w:val="22"/>
          <w:lang w:val="fr-FR"/>
        </w:rPr>
        <w:t xml:space="preserve"> que la diversité des langues et des </w:t>
      </w:r>
      <w:r w:rsidR="00B20CDF" w:rsidRPr="00B232D9">
        <w:rPr>
          <w:rFonts w:asciiTheme="majorBidi" w:hAnsiTheme="majorBidi" w:cstheme="majorBidi"/>
          <w:kern w:val="22"/>
          <w:lang w:val="fr-FR"/>
        </w:rPr>
        <w:t xml:space="preserve">systèmes de </w:t>
      </w:r>
      <w:r w:rsidRPr="00B232D9">
        <w:rPr>
          <w:rFonts w:asciiTheme="majorBidi" w:hAnsiTheme="majorBidi" w:cstheme="majorBidi"/>
          <w:kern w:val="22"/>
          <w:lang w:val="fr-FR"/>
        </w:rPr>
        <w:t xml:space="preserve">connaissances </w:t>
      </w:r>
      <w:r w:rsidR="000F1F15" w:rsidRPr="00B232D9">
        <w:rPr>
          <w:rFonts w:asciiTheme="majorBidi" w:hAnsiTheme="majorBidi" w:cstheme="majorBidi"/>
          <w:kern w:val="22"/>
          <w:lang w:val="fr-FR"/>
        </w:rPr>
        <w:t xml:space="preserve">reflète les liens forts et collectifs des peuples autochtones et des communautés locales, y compris des femmes autochtones et </w:t>
      </w:r>
      <w:r w:rsidR="00FB449D" w:rsidRPr="00B232D9">
        <w:rPr>
          <w:rFonts w:asciiTheme="majorBidi" w:hAnsiTheme="majorBidi" w:cstheme="majorBidi"/>
          <w:kern w:val="22"/>
          <w:lang w:val="fr-FR"/>
        </w:rPr>
        <w:t xml:space="preserve">de </w:t>
      </w:r>
      <w:r w:rsidR="000F1F15" w:rsidRPr="00B232D9">
        <w:rPr>
          <w:rFonts w:asciiTheme="majorBidi" w:hAnsiTheme="majorBidi" w:cstheme="majorBidi"/>
          <w:kern w:val="22"/>
          <w:lang w:val="fr-FR"/>
        </w:rPr>
        <w:t>celles des communautés locales, avec la nature et les valeurs culturelles qui soutiennent la conservation et l’utilisation durable de la biodiversité</w:t>
      </w:r>
      <w:r w:rsidR="009C2EF1">
        <w:rPr>
          <w:rFonts w:asciiTheme="majorBidi" w:hAnsiTheme="majorBidi" w:cstheme="majorBidi"/>
          <w:kern w:val="22"/>
          <w:lang w:val="fr-FR"/>
        </w:rPr>
        <w:t>,</w:t>
      </w:r>
      <w:r w:rsidR="000F1F15" w:rsidRPr="00B232D9">
        <w:rPr>
          <w:rFonts w:asciiTheme="majorBidi" w:hAnsiTheme="majorBidi" w:cstheme="majorBidi"/>
          <w:kern w:val="22"/>
          <w:lang w:val="fr-FR"/>
        </w:rPr>
        <w:t xml:space="preserve"> et</w:t>
      </w:r>
      <w:r w:rsidR="00EC4EE4" w:rsidRPr="00B232D9">
        <w:rPr>
          <w:rFonts w:asciiTheme="majorBidi" w:hAnsiTheme="majorBidi" w:cstheme="majorBidi"/>
          <w:kern w:val="22"/>
          <w:lang w:val="fr-FR"/>
        </w:rPr>
        <w:t xml:space="preserve"> peut ainsi </w:t>
      </w:r>
      <w:r w:rsidRPr="00B232D9">
        <w:rPr>
          <w:rFonts w:asciiTheme="majorBidi" w:hAnsiTheme="majorBidi" w:cstheme="majorBidi"/>
          <w:kern w:val="22"/>
          <w:lang w:val="fr-FR"/>
        </w:rPr>
        <w:t xml:space="preserve">aider les systèmes humains et écologiques à mieux s’adapter </w:t>
      </w:r>
      <w:r w:rsidR="00EC4EE4" w:rsidRPr="00B232D9">
        <w:rPr>
          <w:rFonts w:asciiTheme="majorBidi" w:hAnsiTheme="majorBidi" w:cstheme="majorBidi"/>
          <w:kern w:val="22"/>
          <w:lang w:val="fr-FR"/>
        </w:rPr>
        <w:t xml:space="preserve">et à se doter des capacités pour faire face </w:t>
      </w:r>
      <w:r w:rsidR="009C2EF1">
        <w:rPr>
          <w:rFonts w:asciiTheme="majorBidi" w:hAnsiTheme="majorBidi" w:cstheme="majorBidi"/>
          <w:kern w:val="22"/>
          <w:lang w:val="fr-FR"/>
        </w:rPr>
        <w:t>aux crise</w:t>
      </w:r>
      <w:r w:rsidRPr="00B232D9">
        <w:rPr>
          <w:rFonts w:asciiTheme="majorBidi" w:hAnsiTheme="majorBidi" w:cstheme="majorBidi"/>
          <w:kern w:val="22"/>
          <w:lang w:val="fr-FR"/>
        </w:rPr>
        <w:t>s actuelles et renforcer la résilience sociale</w:t>
      </w:r>
      <w:r w:rsidR="00713C39">
        <w:rPr>
          <w:rFonts w:asciiTheme="majorBidi" w:hAnsiTheme="majorBidi" w:cstheme="majorBidi"/>
          <w:kern w:val="22"/>
          <w:lang w:val="fr-FR"/>
        </w:rPr>
        <w:t>, économique</w:t>
      </w:r>
      <w:r w:rsidRPr="00B232D9">
        <w:rPr>
          <w:rFonts w:asciiTheme="majorBidi" w:hAnsiTheme="majorBidi" w:cstheme="majorBidi"/>
          <w:kern w:val="22"/>
          <w:lang w:val="fr-FR"/>
        </w:rPr>
        <w:t xml:space="preserve"> et écologique,</w:t>
      </w:r>
    </w:p>
    <w:p w14:paraId="210DB499" w14:textId="31BB0D0E" w:rsidR="00C946C4" w:rsidRPr="00B232D9" w:rsidRDefault="00C946C4" w:rsidP="00566F5F">
      <w:pPr>
        <w:pStyle w:val="Para1"/>
        <w:ind w:left="1134" w:firstLine="567"/>
        <w:rPr>
          <w:rFonts w:asciiTheme="majorBidi" w:hAnsiTheme="majorBidi" w:cstheme="majorBidi"/>
          <w:kern w:val="22"/>
          <w:szCs w:val="22"/>
          <w:lang w:val="fr-FR"/>
        </w:rPr>
      </w:pPr>
      <w:r w:rsidRPr="00B232D9">
        <w:rPr>
          <w:rFonts w:asciiTheme="majorBidi" w:hAnsiTheme="majorBidi" w:cstheme="majorBidi"/>
          <w:i/>
          <w:kern w:val="22"/>
          <w:szCs w:val="22"/>
          <w:lang w:val="fr-FR"/>
        </w:rPr>
        <w:tab/>
      </w:r>
      <w:r w:rsidR="00EC4EE4" w:rsidRPr="00B232D9">
        <w:rPr>
          <w:rFonts w:asciiTheme="majorBidi" w:hAnsiTheme="majorBidi" w:cstheme="majorBidi"/>
          <w:i/>
          <w:kern w:val="22"/>
          <w:szCs w:val="22"/>
          <w:lang w:val="fr-FR"/>
        </w:rPr>
        <w:t>Reconn</w:t>
      </w:r>
      <w:r w:rsidR="009C2EF1">
        <w:rPr>
          <w:rFonts w:asciiTheme="majorBidi" w:hAnsiTheme="majorBidi" w:cstheme="majorBidi"/>
          <w:i/>
          <w:kern w:val="22"/>
          <w:szCs w:val="22"/>
          <w:lang w:val="fr-FR"/>
        </w:rPr>
        <w:t xml:space="preserve">aissant </w:t>
      </w:r>
      <w:r w:rsidR="009C2EF1">
        <w:rPr>
          <w:rFonts w:asciiTheme="majorBidi" w:hAnsiTheme="majorBidi" w:cstheme="majorBidi"/>
          <w:iCs/>
          <w:kern w:val="22"/>
          <w:szCs w:val="22"/>
          <w:lang w:val="fr-FR"/>
        </w:rPr>
        <w:t>l’utilité</w:t>
      </w:r>
      <w:r w:rsidRPr="00B232D9">
        <w:rPr>
          <w:rFonts w:asciiTheme="majorBidi" w:hAnsiTheme="majorBidi" w:cstheme="majorBidi"/>
          <w:iCs/>
          <w:kern w:val="22"/>
          <w:szCs w:val="22"/>
          <w:lang w:val="fr-FR"/>
        </w:rPr>
        <w:t xml:space="preserve"> du</w:t>
      </w:r>
      <w:r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 Programme de travail conjoint sur les liens entre la diversité biologique et la diversité culturelle</w:t>
      </w:r>
      <w:r w:rsidR="00EC4EE4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 et la </w:t>
      </w:r>
      <w:r w:rsidR="00BC44B7">
        <w:rPr>
          <w:rFonts w:asciiTheme="majorBidi" w:hAnsiTheme="majorBidi" w:cstheme="majorBidi"/>
          <w:kern w:val="22"/>
          <w:szCs w:val="22"/>
          <w:lang w:val="fr-FR"/>
        </w:rPr>
        <w:t>cible</w:t>
      </w:r>
      <w:r w:rsidR="00EC4EE4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 22 du Cadre, et soulignant la nécessité </w:t>
      </w:r>
      <w:r w:rsidR="00B35A2A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de faciliter la compréhension des concepts, </w:t>
      </w:r>
      <w:r w:rsidR="00FB449D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des </w:t>
      </w:r>
      <w:r w:rsidR="00B35A2A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cosmovisions et </w:t>
      </w:r>
      <w:r w:rsidR="00FB449D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des </w:t>
      </w:r>
      <w:r w:rsidR="00B35A2A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épistémologies autochtones </w:t>
      </w:r>
      <w:r w:rsidR="00713C39">
        <w:rPr>
          <w:rFonts w:asciiTheme="majorBidi" w:hAnsiTheme="majorBidi" w:cstheme="majorBidi"/>
          <w:kern w:val="22"/>
          <w:szCs w:val="22"/>
          <w:lang w:val="fr-FR"/>
        </w:rPr>
        <w:t xml:space="preserve">et locaux </w:t>
      </w:r>
      <w:r w:rsidR="003C6599">
        <w:rPr>
          <w:rFonts w:asciiTheme="majorBidi" w:hAnsiTheme="majorBidi" w:cstheme="majorBidi"/>
          <w:kern w:val="22"/>
          <w:szCs w:val="22"/>
          <w:lang w:val="fr-FR"/>
        </w:rPr>
        <w:t>par</w:t>
      </w:r>
      <w:r w:rsidR="00B35A2A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 les Parties et tous les acteurs participant aux processus de la Convention</w:t>
      </w:r>
      <w:r w:rsidR="009C2EF1">
        <w:rPr>
          <w:rFonts w:asciiTheme="majorBidi" w:hAnsiTheme="majorBidi" w:cstheme="majorBidi"/>
          <w:kern w:val="22"/>
          <w:szCs w:val="22"/>
          <w:lang w:val="fr-FR"/>
        </w:rPr>
        <w:t xml:space="preserve"> et de ses P</w:t>
      </w:r>
      <w:r w:rsidR="002B6B24">
        <w:rPr>
          <w:rFonts w:asciiTheme="majorBidi" w:hAnsiTheme="majorBidi" w:cstheme="majorBidi"/>
          <w:kern w:val="22"/>
          <w:szCs w:val="22"/>
          <w:lang w:val="fr-FR"/>
        </w:rPr>
        <w:t>rotocoles</w:t>
      </w:r>
      <w:r w:rsidR="00B35A2A" w:rsidRPr="00B232D9">
        <w:rPr>
          <w:rFonts w:asciiTheme="majorBidi" w:hAnsiTheme="majorBidi" w:cstheme="majorBidi"/>
          <w:kern w:val="22"/>
          <w:szCs w:val="22"/>
          <w:lang w:val="fr-FR"/>
        </w:rPr>
        <w:t xml:space="preserve">,  </w:t>
      </w:r>
      <w:r w:rsidRPr="00B232D9">
        <w:rPr>
          <w:rFonts w:asciiTheme="majorBidi" w:hAnsiTheme="majorBidi" w:cstheme="majorBidi"/>
          <w:i/>
          <w:kern w:val="22"/>
          <w:szCs w:val="22"/>
          <w:lang w:val="fr-FR"/>
        </w:rPr>
        <w:t xml:space="preserve"> </w:t>
      </w:r>
    </w:p>
    <w:p w14:paraId="25D61073" w14:textId="12A92760" w:rsidR="00C946C4" w:rsidRPr="00B232D9" w:rsidRDefault="00C946C4" w:rsidP="00566F5F">
      <w:pPr>
        <w:suppressLineNumbers/>
        <w:tabs>
          <w:tab w:val="left" w:pos="1701"/>
        </w:tabs>
        <w:suppressAutoHyphens/>
        <w:spacing w:before="120" w:after="120"/>
        <w:ind w:left="1134" w:firstLine="567"/>
        <w:rPr>
          <w:rFonts w:asciiTheme="majorBidi" w:hAnsiTheme="majorBidi" w:cstheme="majorBidi"/>
          <w:kern w:val="22"/>
          <w:lang w:val="fr-FR"/>
        </w:rPr>
      </w:pPr>
      <w:r w:rsidRPr="00B232D9">
        <w:rPr>
          <w:rFonts w:asciiTheme="majorBidi" w:hAnsiTheme="majorBidi" w:cstheme="majorBidi"/>
          <w:kern w:val="22"/>
          <w:lang w:val="fr-FR"/>
        </w:rPr>
        <w:t>1.</w:t>
      </w:r>
      <w:r w:rsidRPr="00B232D9">
        <w:rPr>
          <w:rFonts w:asciiTheme="majorBidi" w:hAnsiTheme="majorBidi" w:cstheme="majorBidi"/>
          <w:kern w:val="22"/>
          <w:lang w:val="fr-FR"/>
        </w:rPr>
        <w:tab/>
      </w:r>
      <w:r w:rsidRPr="00B232D9">
        <w:rPr>
          <w:rFonts w:asciiTheme="majorBidi" w:hAnsiTheme="majorBidi" w:cstheme="majorBidi"/>
          <w:i/>
          <w:kern w:val="22"/>
          <w:lang w:val="fr-FR"/>
        </w:rPr>
        <w:t>Invite</w:t>
      </w:r>
      <w:r w:rsidRPr="00B232D9">
        <w:rPr>
          <w:rFonts w:asciiTheme="majorBidi" w:hAnsiTheme="majorBidi" w:cstheme="majorBidi"/>
          <w:kern w:val="22"/>
          <w:lang w:val="fr-FR"/>
        </w:rPr>
        <w:t xml:space="preserve"> les Parties à reconnaître pleinement le rôle joué par les langues </w:t>
      </w:r>
      <w:r w:rsidR="002B6B24">
        <w:rPr>
          <w:rFonts w:asciiTheme="majorBidi" w:hAnsiTheme="majorBidi" w:cstheme="majorBidi"/>
          <w:kern w:val="22"/>
          <w:lang w:val="fr-FR"/>
        </w:rPr>
        <w:t xml:space="preserve">des peuples </w:t>
      </w:r>
      <w:r w:rsidRPr="00B232D9">
        <w:rPr>
          <w:rFonts w:asciiTheme="majorBidi" w:hAnsiTheme="majorBidi" w:cstheme="majorBidi"/>
          <w:kern w:val="22"/>
          <w:lang w:val="fr-FR"/>
        </w:rPr>
        <w:t>autochtones</w:t>
      </w:r>
      <w:r w:rsidR="00FB449D" w:rsidRPr="00B232D9">
        <w:rPr>
          <w:rFonts w:asciiTheme="majorBidi" w:hAnsiTheme="majorBidi" w:cstheme="majorBidi"/>
          <w:kern w:val="22"/>
          <w:lang w:val="fr-FR"/>
        </w:rPr>
        <w:t xml:space="preserve"> et </w:t>
      </w:r>
      <w:r w:rsidR="002B6B24">
        <w:rPr>
          <w:rFonts w:asciiTheme="majorBidi" w:hAnsiTheme="majorBidi" w:cstheme="majorBidi"/>
          <w:kern w:val="22"/>
          <w:lang w:val="fr-FR"/>
        </w:rPr>
        <w:t xml:space="preserve">des communautés </w:t>
      </w:r>
      <w:r w:rsidR="00FB449D" w:rsidRPr="00B232D9">
        <w:rPr>
          <w:rFonts w:asciiTheme="majorBidi" w:hAnsiTheme="majorBidi" w:cstheme="majorBidi"/>
          <w:kern w:val="22"/>
          <w:lang w:val="fr-FR"/>
        </w:rPr>
        <w:t>locales</w:t>
      </w:r>
      <w:r w:rsidR="009C2EF1">
        <w:rPr>
          <w:rFonts w:asciiTheme="majorBidi" w:hAnsiTheme="majorBidi" w:cstheme="majorBidi"/>
          <w:kern w:val="22"/>
          <w:lang w:val="fr-FR"/>
        </w:rPr>
        <w:t xml:space="preserve"> et, à cet égard,</w:t>
      </w:r>
      <w:r w:rsidR="00B35A2A" w:rsidRPr="00B232D9">
        <w:rPr>
          <w:rFonts w:asciiTheme="majorBidi" w:hAnsiTheme="majorBidi" w:cstheme="majorBidi"/>
          <w:kern w:val="22"/>
          <w:lang w:val="fr-FR"/>
        </w:rPr>
        <w:t xml:space="preserve"> le rôle </w:t>
      </w:r>
      <w:r w:rsidR="009C2EF1">
        <w:rPr>
          <w:rFonts w:asciiTheme="majorBidi" w:hAnsiTheme="majorBidi" w:cstheme="majorBidi"/>
          <w:kern w:val="22"/>
          <w:lang w:val="fr-FR"/>
        </w:rPr>
        <w:t xml:space="preserve">particulier </w:t>
      </w:r>
      <w:r w:rsidR="00B35A2A" w:rsidRPr="00B232D9">
        <w:rPr>
          <w:rFonts w:asciiTheme="majorBidi" w:hAnsiTheme="majorBidi" w:cstheme="majorBidi"/>
          <w:kern w:val="22"/>
          <w:lang w:val="fr-FR"/>
        </w:rPr>
        <w:t xml:space="preserve">des femmes autochtones et </w:t>
      </w:r>
      <w:r w:rsidR="00FB449D" w:rsidRPr="00B232D9">
        <w:rPr>
          <w:rFonts w:asciiTheme="majorBidi" w:hAnsiTheme="majorBidi" w:cstheme="majorBidi"/>
          <w:kern w:val="22"/>
          <w:lang w:val="fr-FR"/>
        </w:rPr>
        <w:t xml:space="preserve">de celles des </w:t>
      </w:r>
      <w:r w:rsidR="00B35A2A" w:rsidRPr="00B232D9">
        <w:rPr>
          <w:rFonts w:asciiTheme="majorBidi" w:hAnsiTheme="majorBidi" w:cstheme="majorBidi"/>
          <w:kern w:val="22"/>
          <w:lang w:val="fr-FR"/>
        </w:rPr>
        <w:t xml:space="preserve">communautés locales, des jeunes et des parties prenantes concernées </w:t>
      </w:r>
      <w:r w:rsidRPr="00B232D9">
        <w:rPr>
          <w:rFonts w:asciiTheme="majorBidi" w:hAnsiTheme="majorBidi" w:cstheme="majorBidi"/>
          <w:kern w:val="22"/>
          <w:lang w:val="fr-FR"/>
        </w:rPr>
        <w:t xml:space="preserve">dans la transmission intergénérationnelle des connaissances, innovations et pratiques traditionnelles des peuples autochtones et des communautés locales </w:t>
      </w:r>
      <w:r w:rsidR="005B67B8" w:rsidRPr="00B232D9">
        <w:rPr>
          <w:rFonts w:asciiTheme="majorBidi" w:hAnsiTheme="majorBidi" w:cstheme="majorBidi"/>
          <w:kern w:val="22"/>
          <w:lang w:val="fr-FR"/>
        </w:rPr>
        <w:t xml:space="preserve">dans le contexte des objectifs de la Convention et de la mise en œuvre du Cadre </w:t>
      </w:r>
      <w:r w:rsidR="00173390" w:rsidRPr="00B232D9">
        <w:rPr>
          <w:rFonts w:asciiTheme="majorBidi" w:hAnsiTheme="majorBidi" w:cstheme="majorBidi"/>
          <w:lang w:val="fr-FR"/>
        </w:rPr>
        <w:t>mondial de la biodiversité de Kunming-Montréal</w:t>
      </w:r>
      <w:r w:rsidR="00173390" w:rsidRPr="00B232D9">
        <w:rPr>
          <w:rFonts w:asciiTheme="majorBidi" w:hAnsiTheme="majorBidi" w:cstheme="majorBidi"/>
          <w:kern w:val="22"/>
          <w:lang w:val="fr-FR"/>
        </w:rPr>
        <w:t xml:space="preserve"> </w:t>
      </w:r>
      <w:r w:rsidR="005B67B8" w:rsidRPr="00B232D9">
        <w:rPr>
          <w:rFonts w:asciiTheme="majorBidi" w:hAnsiTheme="majorBidi" w:cstheme="majorBidi"/>
          <w:kern w:val="22"/>
          <w:lang w:val="fr-FR"/>
        </w:rPr>
        <w:t>et</w:t>
      </w:r>
      <w:r w:rsidRPr="00B232D9">
        <w:rPr>
          <w:rFonts w:asciiTheme="majorBidi" w:hAnsiTheme="majorBidi" w:cstheme="majorBidi"/>
          <w:kern w:val="22"/>
          <w:lang w:val="fr-FR"/>
        </w:rPr>
        <w:t xml:space="preserve">, de manière plus générale, les liens entre </w:t>
      </w:r>
      <w:r w:rsidR="009C2EF1">
        <w:rPr>
          <w:rFonts w:asciiTheme="majorBidi" w:hAnsiTheme="majorBidi" w:cstheme="majorBidi"/>
          <w:kern w:val="22"/>
          <w:lang w:val="fr-FR"/>
        </w:rPr>
        <w:t xml:space="preserve">la </w:t>
      </w:r>
      <w:r w:rsidRPr="00B232D9">
        <w:rPr>
          <w:rFonts w:asciiTheme="majorBidi" w:hAnsiTheme="majorBidi" w:cstheme="majorBidi"/>
          <w:kern w:val="22"/>
          <w:lang w:val="fr-FR"/>
        </w:rPr>
        <w:t xml:space="preserve">diversité biologique et </w:t>
      </w:r>
      <w:r w:rsidR="009C2EF1">
        <w:rPr>
          <w:rFonts w:asciiTheme="majorBidi" w:hAnsiTheme="majorBidi" w:cstheme="majorBidi"/>
          <w:kern w:val="22"/>
          <w:lang w:val="fr-FR"/>
        </w:rPr>
        <w:t xml:space="preserve">la </w:t>
      </w:r>
      <w:r w:rsidRPr="00B232D9">
        <w:rPr>
          <w:rFonts w:asciiTheme="majorBidi" w:hAnsiTheme="majorBidi" w:cstheme="majorBidi"/>
          <w:kern w:val="22"/>
          <w:lang w:val="fr-FR"/>
        </w:rPr>
        <w:t>diversité c</w:t>
      </w:r>
      <w:r w:rsidR="009C2EF1">
        <w:rPr>
          <w:rFonts w:asciiTheme="majorBidi" w:hAnsiTheme="majorBidi" w:cstheme="majorBidi"/>
          <w:kern w:val="22"/>
          <w:lang w:val="fr-FR"/>
        </w:rPr>
        <w:t>ulturelle</w:t>
      </w:r>
      <w:r w:rsidRPr="00B232D9">
        <w:rPr>
          <w:rFonts w:asciiTheme="majorBidi" w:hAnsiTheme="majorBidi" w:cstheme="majorBidi"/>
          <w:kern w:val="22"/>
          <w:lang w:val="fr-FR"/>
        </w:rPr>
        <w:t>;</w:t>
      </w:r>
    </w:p>
    <w:p w14:paraId="2041CE77" w14:textId="0EB05554" w:rsidR="00C946C4" w:rsidRPr="00B232D9" w:rsidRDefault="00C946C4" w:rsidP="00566F5F">
      <w:pPr>
        <w:suppressLineNumbers/>
        <w:tabs>
          <w:tab w:val="left" w:pos="1701"/>
        </w:tabs>
        <w:suppressAutoHyphens/>
        <w:spacing w:before="120" w:after="120"/>
        <w:ind w:left="1134" w:firstLine="567"/>
        <w:rPr>
          <w:rFonts w:asciiTheme="majorBidi" w:hAnsiTheme="majorBidi" w:cstheme="majorBidi"/>
          <w:kern w:val="22"/>
          <w:lang w:val="fr-FR"/>
        </w:rPr>
      </w:pPr>
      <w:r w:rsidRPr="00B232D9">
        <w:rPr>
          <w:rFonts w:asciiTheme="majorBidi" w:hAnsiTheme="majorBidi" w:cstheme="majorBidi"/>
          <w:iCs/>
          <w:kern w:val="22"/>
          <w:lang w:val="fr-FR"/>
        </w:rPr>
        <w:t>2.</w:t>
      </w:r>
      <w:r w:rsidRPr="00B232D9">
        <w:rPr>
          <w:rFonts w:asciiTheme="majorBidi" w:hAnsiTheme="majorBidi" w:cstheme="majorBidi"/>
          <w:iCs/>
          <w:kern w:val="22"/>
          <w:lang w:val="fr-FR"/>
        </w:rPr>
        <w:tab/>
      </w:r>
      <w:r w:rsidRPr="00B232D9">
        <w:rPr>
          <w:rFonts w:asciiTheme="majorBidi" w:hAnsiTheme="majorBidi" w:cstheme="majorBidi"/>
          <w:i/>
          <w:kern w:val="22"/>
          <w:lang w:val="fr-FR"/>
        </w:rPr>
        <w:t>Encourage</w:t>
      </w:r>
      <w:r w:rsidRPr="00B232D9">
        <w:rPr>
          <w:rFonts w:asciiTheme="majorBidi" w:hAnsiTheme="majorBidi" w:cstheme="majorBidi"/>
          <w:iCs/>
          <w:kern w:val="22"/>
          <w:lang w:val="fr-FR"/>
        </w:rPr>
        <w:t xml:space="preserve"> les</w:t>
      </w:r>
      <w:r w:rsidRPr="00B232D9">
        <w:rPr>
          <w:rFonts w:asciiTheme="majorBidi" w:hAnsiTheme="majorBidi" w:cstheme="majorBidi"/>
          <w:i/>
          <w:kern w:val="22"/>
          <w:lang w:val="fr-FR"/>
        </w:rPr>
        <w:t xml:space="preserve"> </w:t>
      </w:r>
      <w:r w:rsidRPr="00B232D9">
        <w:rPr>
          <w:rFonts w:asciiTheme="majorBidi" w:hAnsiTheme="majorBidi" w:cstheme="majorBidi"/>
          <w:kern w:val="22"/>
          <w:lang w:val="fr-FR"/>
        </w:rPr>
        <w:t xml:space="preserve">Parties, les autres gouvernements, les organisations </w:t>
      </w:r>
      <w:r w:rsidR="00A56A3E" w:rsidRPr="00B232D9">
        <w:rPr>
          <w:rFonts w:asciiTheme="majorBidi" w:hAnsiTheme="majorBidi" w:cstheme="majorBidi"/>
          <w:kern w:val="22"/>
          <w:lang w:val="fr-FR"/>
        </w:rPr>
        <w:t>concernées</w:t>
      </w:r>
      <w:r w:rsidRPr="00B232D9">
        <w:rPr>
          <w:rFonts w:asciiTheme="majorBidi" w:hAnsiTheme="majorBidi" w:cstheme="majorBidi"/>
          <w:kern w:val="22"/>
          <w:lang w:val="fr-FR"/>
        </w:rPr>
        <w:t xml:space="preserve">, les peuples </w:t>
      </w:r>
      <w:r w:rsidRPr="00B232D9">
        <w:rPr>
          <w:kern w:val="22"/>
          <w:lang w:val="fr-FR"/>
        </w:rPr>
        <w:t>autochtones</w:t>
      </w:r>
      <w:r w:rsidR="00173390">
        <w:rPr>
          <w:kern w:val="22"/>
          <w:lang w:val="fr-FR"/>
        </w:rPr>
        <w:t xml:space="preserve"> et</w:t>
      </w:r>
      <w:r w:rsidRPr="00B232D9">
        <w:rPr>
          <w:kern w:val="22"/>
          <w:lang w:val="fr-FR"/>
        </w:rPr>
        <w:t xml:space="preserve"> les communautés locales</w:t>
      </w:r>
      <w:r w:rsidR="005B67B8" w:rsidRPr="00B232D9">
        <w:rPr>
          <w:kern w:val="22"/>
          <w:lang w:val="fr-FR"/>
        </w:rPr>
        <w:t xml:space="preserve">, les femmes et les jeunes, </w:t>
      </w:r>
      <w:r w:rsidRPr="00B232D9">
        <w:rPr>
          <w:kern w:val="22"/>
          <w:lang w:val="fr-FR"/>
        </w:rPr>
        <w:t xml:space="preserve">et les </w:t>
      </w:r>
      <w:r w:rsidR="00173390">
        <w:rPr>
          <w:kern w:val="22"/>
          <w:lang w:val="fr-FR"/>
        </w:rPr>
        <w:t xml:space="preserve">autres </w:t>
      </w:r>
      <w:r w:rsidR="00A56A3E" w:rsidRPr="00B232D9">
        <w:rPr>
          <w:kern w:val="22"/>
          <w:lang w:val="fr-FR"/>
        </w:rPr>
        <w:t>parties prenantes</w:t>
      </w:r>
      <w:r w:rsidR="00173390">
        <w:rPr>
          <w:kern w:val="22"/>
          <w:lang w:val="fr-FR"/>
        </w:rPr>
        <w:t xml:space="preserve"> concernées</w:t>
      </w:r>
      <w:r w:rsidRPr="00B232D9">
        <w:rPr>
          <w:kern w:val="22"/>
          <w:lang w:val="fr-FR"/>
        </w:rPr>
        <w:t xml:space="preserve"> à intégrer, selon qu’il convient, </w:t>
      </w:r>
      <w:r w:rsidR="00173390">
        <w:rPr>
          <w:kern w:val="22"/>
          <w:lang w:val="fr-FR"/>
        </w:rPr>
        <w:t xml:space="preserve">la conservation et </w:t>
      </w:r>
      <w:r w:rsidRPr="00B232D9">
        <w:rPr>
          <w:kern w:val="22"/>
          <w:lang w:val="fr-FR"/>
        </w:rPr>
        <w:t xml:space="preserve">la revitalisation des langues </w:t>
      </w:r>
      <w:r w:rsidR="00173390">
        <w:rPr>
          <w:kern w:val="22"/>
          <w:lang w:val="fr-FR"/>
        </w:rPr>
        <w:t xml:space="preserve">des peuples </w:t>
      </w:r>
      <w:r w:rsidRPr="00B232D9">
        <w:rPr>
          <w:kern w:val="22"/>
          <w:lang w:val="fr-FR"/>
        </w:rPr>
        <w:t>autochtones</w:t>
      </w:r>
      <w:r w:rsidR="00173390">
        <w:rPr>
          <w:kern w:val="22"/>
          <w:lang w:val="fr-FR"/>
        </w:rPr>
        <w:t xml:space="preserve"> et des communautés locales</w:t>
      </w:r>
      <w:r w:rsidR="005B67B8" w:rsidRPr="00B232D9">
        <w:rPr>
          <w:kern w:val="22"/>
          <w:lang w:val="fr-FR"/>
        </w:rPr>
        <w:t>, notamment par le biais de mesures concrètes, telles que le soutien aux initiatives communautaires des centres culturels e</w:t>
      </w:r>
      <w:r w:rsidR="00A56A3E" w:rsidRPr="00B232D9">
        <w:rPr>
          <w:kern w:val="22"/>
          <w:lang w:val="fr-FR"/>
        </w:rPr>
        <w:t>t</w:t>
      </w:r>
      <w:r w:rsidR="005B67B8" w:rsidRPr="00B232D9">
        <w:rPr>
          <w:kern w:val="22"/>
          <w:lang w:val="fr-FR"/>
        </w:rPr>
        <w:t xml:space="preserve"> de ressources </w:t>
      </w:r>
      <w:r w:rsidR="003C6599">
        <w:rPr>
          <w:kern w:val="22"/>
          <w:lang w:val="fr-FR"/>
        </w:rPr>
        <w:t>et d</w:t>
      </w:r>
      <w:r w:rsidR="005B67B8" w:rsidRPr="00B232D9">
        <w:rPr>
          <w:kern w:val="22"/>
          <w:lang w:val="fr-FR"/>
        </w:rPr>
        <w:t>es écoles de t</w:t>
      </w:r>
      <w:r w:rsidR="009C2EF1">
        <w:rPr>
          <w:kern w:val="22"/>
          <w:lang w:val="fr-FR"/>
        </w:rPr>
        <w:t>errain, étant donné le</w:t>
      </w:r>
      <w:r w:rsidR="005B67B8" w:rsidRPr="00B232D9">
        <w:rPr>
          <w:kern w:val="22"/>
          <w:lang w:val="fr-FR"/>
        </w:rPr>
        <w:t xml:space="preserve"> rôle fondamental qu’</w:t>
      </w:r>
      <w:r w:rsidR="003C6599">
        <w:rPr>
          <w:kern w:val="22"/>
          <w:lang w:val="fr-FR"/>
        </w:rPr>
        <w:t>elle</w:t>
      </w:r>
      <w:r w:rsidR="005B67B8" w:rsidRPr="00B232D9">
        <w:rPr>
          <w:kern w:val="22"/>
          <w:lang w:val="fr-FR"/>
        </w:rPr>
        <w:t>s jouent</w:t>
      </w:r>
      <w:r w:rsidR="00022AAE" w:rsidRPr="00B232D9">
        <w:rPr>
          <w:kern w:val="22"/>
          <w:lang w:val="fr-FR"/>
        </w:rPr>
        <w:t xml:space="preserve"> dans la transmission intergénérationnelle des connaissances traditionnelles</w:t>
      </w:r>
      <w:r w:rsidR="00A56A3E" w:rsidRPr="00B232D9">
        <w:rPr>
          <w:kern w:val="22"/>
          <w:lang w:val="fr-FR"/>
        </w:rPr>
        <w:t>,</w:t>
      </w:r>
      <w:r w:rsidR="00022AAE" w:rsidRPr="00B232D9">
        <w:rPr>
          <w:kern w:val="22"/>
          <w:lang w:val="fr-FR"/>
        </w:rPr>
        <w:t xml:space="preserve"> dans</w:t>
      </w:r>
      <w:r w:rsidRPr="00B232D9">
        <w:rPr>
          <w:kern w:val="22"/>
          <w:lang w:val="fr-FR"/>
        </w:rPr>
        <w:t xml:space="preserve"> la mise en œuvre de la Convention</w:t>
      </w:r>
      <w:r w:rsidR="009C2EF1">
        <w:rPr>
          <w:kern w:val="22"/>
          <w:lang w:val="fr-FR"/>
        </w:rPr>
        <w:t>, de ses P</w:t>
      </w:r>
      <w:r w:rsidR="00173390">
        <w:rPr>
          <w:kern w:val="22"/>
          <w:lang w:val="fr-FR"/>
        </w:rPr>
        <w:t xml:space="preserve">rotocoles </w:t>
      </w:r>
      <w:r w:rsidR="00022AAE" w:rsidRPr="00B232D9">
        <w:rPr>
          <w:kern w:val="22"/>
          <w:lang w:val="fr-FR"/>
        </w:rPr>
        <w:t>et du Cadre</w:t>
      </w:r>
      <w:r w:rsidRPr="00B232D9">
        <w:rPr>
          <w:kern w:val="22"/>
          <w:lang w:val="fr-FR"/>
        </w:rPr>
        <w:t>, notamment e</w:t>
      </w:r>
      <w:r w:rsidR="00022AAE" w:rsidRPr="00B232D9">
        <w:rPr>
          <w:kern w:val="22"/>
          <w:lang w:val="fr-FR"/>
        </w:rPr>
        <w:t>n actualisant</w:t>
      </w:r>
      <w:r w:rsidR="00022AAE" w:rsidRPr="00B232D9">
        <w:rPr>
          <w:rFonts w:asciiTheme="majorBidi" w:hAnsiTheme="majorBidi" w:cstheme="majorBidi"/>
          <w:kern w:val="22"/>
          <w:lang w:val="fr-FR"/>
        </w:rPr>
        <w:t xml:space="preserve"> et en révisant le</w:t>
      </w:r>
      <w:r w:rsidRPr="00B232D9">
        <w:rPr>
          <w:rFonts w:asciiTheme="majorBidi" w:hAnsiTheme="majorBidi" w:cstheme="majorBidi"/>
          <w:kern w:val="22"/>
          <w:lang w:val="fr-FR"/>
        </w:rPr>
        <w:t xml:space="preserve">s </w:t>
      </w:r>
      <w:r w:rsidRPr="00B232D9">
        <w:rPr>
          <w:rFonts w:asciiTheme="majorBidi" w:hAnsiTheme="majorBidi" w:cstheme="majorBidi"/>
          <w:kern w:val="22"/>
          <w:lang w:val="fr-FR"/>
        </w:rPr>
        <w:lastRenderedPageBreak/>
        <w:t>stratégies et plan</w:t>
      </w:r>
      <w:r w:rsidR="009C2EF1">
        <w:rPr>
          <w:rFonts w:asciiTheme="majorBidi" w:hAnsiTheme="majorBidi" w:cstheme="majorBidi"/>
          <w:kern w:val="22"/>
          <w:lang w:val="fr-FR"/>
        </w:rPr>
        <w:t xml:space="preserve">s d’action nationaux pour la </w:t>
      </w:r>
      <w:r w:rsidRPr="00B232D9">
        <w:rPr>
          <w:rFonts w:asciiTheme="majorBidi" w:hAnsiTheme="majorBidi" w:cstheme="majorBidi"/>
          <w:kern w:val="22"/>
          <w:lang w:val="fr-FR"/>
        </w:rPr>
        <w:t>diversité</w:t>
      </w:r>
      <w:r w:rsidR="009C2EF1">
        <w:rPr>
          <w:rFonts w:asciiTheme="majorBidi" w:hAnsiTheme="majorBidi" w:cstheme="majorBidi"/>
          <w:kern w:val="22"/>
          <w:lang w:val="fr-FR"/>
        </w:rPr>
        <w:t xml:space="preserve"> biologique</w:t>
      </w:r>
      <w:r w:rsidRPr="00B232D9">
        <w:rPr>
          <w:rFonts w:asciiTheme="majorBidi" w:hAnsiTheme="majorBidi" w:cstheme="majorBidi"/>
          <w:kern w:val="22"/>
          <w:lang w:val="fr-FR"/>
        </w:rPr>
        <w:t xml:space="preserve"> et </w:t>
      </w:r>
      <w:r w:rsidR="00022AAE" w:rsidRPr="00B232D9">
        <w:rPr>
          <w:rFonts w:asciiTheme="majorBidi" w:hAnsiTheme="majorBidi" w:cstheme="majorBidi"/>
          <w:kern w:val="22"/>
          <w:lang w:val="fr-FR"/>
        </w:rPr>
        <w:t>en établissant</w:t>
      </w:r>
      <w:r w:rsidRPr="00B232D9">
        <w:rPr>
          <w:rFonts w:asciiTheme="majorBidi" w:hAnsiTheme="majorBidi" w:cstheme="majorBidi"/>
          <w:kern w:val="22"/>
          <w:lang w:val="fr-FR"/>
        </w:rPr>
        <w:t xml:space="preserve"> leur septième rapport nati</w:t>
      </w:r>
      <w:r w:rsidR="009C2EF1">
        <w:rPr>
          <w:rFonts w:asciiTheme="majorBidi" w:hAnsiTheme="majorBidi" w:cstheme="majorBidi"/>
          <w:kern w:val="22"/>
          <w:lang w:val="fr-FR"/>
        </w:rPr>
        <w:t>onal et des rapports ultérieurs</w:t>
      </w:r>
      <w:r w:rsidRPr="00B232D9">
        <w:rPr>
          <w:rFonts w:asciiTheme="majorBidi" w:hAnsiTheme="majorBidi" w:cstheme="majorBidi"/>
          <w:kern w:val="22"/>
          <w:lang w:val="fr-FR"/>
        </w:rPr>
        <w:t>;</w:t>
      </w:r>
    </w:p>
    <w:p w14:paraId="179A7809" w14:textId="778D7A1D" w:rsidR="00C946C4" w:rsidRPr="00B232D9" w:rsidRDefault="00C946C4" w:rsidP="00566F5F">
      <w:pPr>
        <w:suppressLineNumbers/>
        <w:tabs>
          <w:tab w:val="left" w:pos="1701"/>
        </w:tabs>
        <w:suppressAutoHyphens/>
        <w:spacing w:before="120" w:after="120"/>
        <w:ind w:left="1134" w:firstLine="567"/>
        <w:rPr>
          <w:rFonts w:asciiTheme="majorBidi" w:hAnsiTheme="majorBidi" w:cstheme="majorBidi"/>
          <w:kern w:val="22"/>
          <w:lang w:val="fr-FR"/>
        </w:rPr>
      </w:pPr>
      <w:r w:rsidRPr="00B232D9">
        <w:rPr>
          <w:rFonts w:asciiTheme="majorBidi" w:hAnsiTheme="majorBidi" w:cstheme="majorBidi"/>
          <w:kern w:val="22"/>
          <w:lang w:val="fr-FR"/>
        </w:rPr>
        <w:t>3.</w:t>
      </w:r>
      <w:r w:rsidRPr="00B232D9">
        <w:rPr>
          <w:rFonts w:asciiTheme="majorBidi" w:hAnsiTheme="majorBidi" w:cstheme="majorBidi"/>
          <w:kern w:val="22"/>
          <w:lang w:val="fr-FR"/>
        </w:rPr>
        <w:tab/>
      </w:r>
      <w:r w:rsidRPr="00B232D9">
        <w:rPr>
          <w:rFonts w:asciiTheme="majorBidi" w:hAnsiTheme="majorBidi" w:cstheme="majorBidi"/>
          <w:i/>
          <w:kern w:val="22"/>
          <w:lang w:val="fr-FR"/>
        </w:rPr>
        <w:t>Décide</w:t>
      </w:r>
      <w:r w:rsidRPr="00B232D9">
        <w:rPr>
          <w:rFonts w:asciiTheme="majorBidi" w:hAnsiTheme="majorBidi" w:cstheme="majorBidi"/>
          <w:kern w:val="22"/>
          <w:lang w:val="fr-FR"/>
        </w:rPr>
        <w:t xml:space="preserve"> que le thème du prochain dialogue approfondi sera le suivant : « Stratégies de mobilisation des ressources visant à garantir l</w:t>
      </w:r>
      <w:r w:rsidR="003F3F0D" w:rsidRPr="00B232D9">
        <w:rPr>
          <w:rFonts w:asciiTheme="majorBidi" w:hAnsiTheme="majorBidi" w:cstheme="majorBidi"/>
          <w:kern w:val="22"/>
          <w:lang w:val="fr-FR"/>
        </w:rPr>
        <w:t>a disponibilité et l</w:t>
      </w:r>
      <w:r w:rsidR="00BC44B7">
        <w:rPr>
          <w:rFonts w:asciiTheme="majorBidi" w:hAnsiTheme="majorBidi" w:cstheme="majorBidi"/>
          <w:kern w:val="22"/>
          <w:lang w:val="fr-FR"/>
        </w:rPr>
        <w:t>’accès</w:t>
      </w:r>
      <w:r w:rsidRPr="00B232D9">
        <w:rPr>
          <w:rFonts w:asciiTheme="majorBidi" w:hAnsiTheme="majorBidi" w:cstheme="majorBidi"/>
          <w:kern w:val="22"/>
          <w:lang w:val="fr-FR"/>
        </w:rPr>
        <w:t xml:space="preserve"> aux </w:t>
      </w:r>
      <w:r w:rsidR="0090252C" w:rsidRPr="00B232D9">
        <w:rPr>
          <w:rFonts w:asciiTheme="majorBidi" w:hAnsiTheme="majorBidi" w:cstheme="majorBidi"/>
          <w:kern w:val="22"/>
          <w:lang w:val="fr-FR"/>
        </w:rPr>
        <w:t xml:space="preserve">ressources financières et aux </w:t>
      </w:r>
      <w:r w:rsidRPr="00B232D9">
        <w:rPr>
          <w:rFonts w:asciiTheme="majorBidi" w:hAnsiTheme="majorBidi" w:cstheme="majorBidi"/>
          <w:kern w:val="22"/>
          <w:lang w:val="fr-FR"/>
        </w:rPr>
        <w:t>financements</w:t>
      </w:r>
      <w:r w:rsidR="00BC44B7">
        <w:rPr>
          <w:rFonts w:asciiTheme="majorBidi" w:hAnsiTheme="majorBidi" w:cstheme="majorBidi"/>
          <w:kern w:val="22"/>
          <w:lang w:val="fr-FR"/>
        </w:rPr>
        <w:t>, ainsi qu’à d’</w:t>
      </w:r>
      <w:r w:rsidR="0090252C" w:rsidRPr="00B232D9">
        <w:rPr>
          <w:rFonts w:asciiTheme="majorBidi" w:hAnsiTheme="majorBidi" w:cstheme="majorBidi"/>
          <w:kern w:val="22"/>
          <w:lang w:val="fr-FR"/>
        </w:rPr>
        <w:t>autres</w:t>
      </w:r>
      <w:r w:rsidR="00FB5997">
        <w:rPr>
          <w:rFonts w:asciiTheme="majorBidi" w:hAnsiTheme="majorBidi" w:cstheme="majorBidi"/>
          <w:kern w:val="22"/>
          <w:lang w:val="fr-FR"/>
        </w:rPr>
        <w:t xml:space="preserve"> méthod</w:t>
      </w:r>
      <w:r w:rsidR="00BC44B7">
        <w:rPr>
          <w:rFonts w:asciiTheme="majorBidi" w:hAnsiTheme="majorBidi" w:cstheme="majorBidi"/>
          <w:kern w:val="22"/>
          <w:lang w:val="fr-FR"/>
        </w:rPr>
        <w:t>es de mise en œuvre, dont l</w:t>
      </w:r>
      <w:r w:rsidR="00A73EC0">
        <w:rPr>
          <w:rFonts w:asciiTheme="majorBidi" w:hAnsiTheme="majorBidi" w:cstheme="majorBidi"/>
          <w:kern w:val="22"/>
          <w:lang w:val="fr-FR"/>
        </w:rPr>
        <w:t>e renforcement et la création</w:t>
      </w:r>
      <w:r w:rsidR="0090252C" w:rsidRPr="00B232D9">
        <w:rPr>
          <w:rFonts w:asciiTheme="majorBidi" w:hAnsiTheme="majorBidi" w:cstheme="majorBidi"/>
          <w:kern w:val="22"/>
          <w:lang w:val="fr-FR"/>
        </w:rPr>
        <w:t xml:space="preserve"> de capacités et le soutien technique aux peuples autochtones et communautés locales, </w:t>
      </w:r>
      <w:r w:rsidR="008839F0">
        <w:rPr>
          <w:rFonts w:asciiTheme="majorBidi" w:hAnsiTheme="majorBidi" w:cstheme="majorBidi"/>
          <w:kern w:val="22"/>
          <w:lang w:val="fr-FR"/>
        </w:rPr>
        <w:t>y compris aux</w:t>
      </w:r>
      <w:r w:rsidR="00173390">
        <w:rPr>
          <w:rFonts w:asciiTheme="majorBidi" w:hAnsiTheme="majorBidi" w:cstheme="majorBidi"/>
          <w:kern w:val="22"/>
          <w:lang w:val="fr-FR"/>
        </w:rPr>
        <w:t xml:space="preserve"> </w:t>
      </w:r>
      <w:r w:rsidR="0090252C" w:rsidRPr="00B232D9">
        <w:rPr>
          <w:rFonts w:asciiTheme="majorBidi" w:hAnsiTheme="majorBidi" w:cstheme="majorBidi"/>
          <w:kern w:val="22"/>
          <w:lang w:val="fr-FR"/>
        </w:rPr>
        <w:t xml:space="preserve">femmes et </w:t>
      </w:r>
      <w:r w:rsidR="008839F0">
        <w:rPr>
          <w:rFonts w:asciiTheme="majorBidi" w:hAnsiTheme="majorBidi" w:cstheme="majorBidi"/>
          <w:kern w:val="22"/>
          <w:lang w:val="fr-FR"/>
        </w:rPr>
        <w:t>aux</w:t>
      </w:r>
      <w:r w:rsidR="00173390">
        <w:rPr>
          <w:rFonts w:asciiTheme="majorBidi" w:hAnsiTheme="majorBidi" w:cstheme="majorBidi"/>
          <w:kern w:val="22"/>
          <w:lang w:val="fr-FR"/>
        </w:rPr>
        <w:t xml:space="preserve"> </w:t>
      </w:r>
      <w:r w:rsidR="0090252C" w:rsidRPr="00B232D9">
        <w:rPr>
          <w:rFonts w:asciiTheme="majorBidi" w:hAnsiTheme="majorBidi" w:cstheme="majorBidi"/>
          <w:kern w:val="22"/>
          <w:lang w:val="fr-FR"/>
        </w:rPr>
        <w:t>jeunes</w:t>
      </w:r>
      <w:r w:rsidR="008839F0">
        <w:rPr>
          <w:rFonts w:asciiTheme="majorBidi" w:hAnsiTheme="majorBidi" w:cstheme="majorBidi"/>
          <w:kern w:val="22"/>
          <w:lang w:val="fr-FR"/>
        </w:rPr>
        <w:t>, afin d’appuyer</w:t>
      </w:r>
      <w:r w:rsidRPr="00B232D9">
        <w:rPr>
          <w:rFonts w:asciiTheme="majorBidi" w:hAnsiTheme="majorBidi" w:cstheme="majorBidi"/>
          <w:kern w:val="22"/>
          <w:lang w:val="fr-FR"/>
        </w:rPr>
        <w:t xml:space="preserve"> la </w:t>
      </w:r>
      <w:r w:rsidR="00BC44B7">
        <w:rPr>
          <w:rFonts w:asciiTheme="majorBidi" w:hAnsiTheme="majorBidi" w:cstheme="majorBidi"/>
          <w:kern w:val="22"/>
          <w:lang w:val="fr-FR"/>
        </w:rPr>
        <w:t xml:space="preserve">pleine </w:t>
      </w:r>
      <w:r w:rsidRPr="00B232D9">
        <w:rPr>
          <w:rFonts w:asciiTheme="majorBidi" w:hAnsiTheme="majorBidi" w:cstheme="majorBidi"/>
          <w:kern w:val="22"/>
          <w:lang w:val="fr-FR"/>
        </w:rPr>
        <w:t>mise en œuvre du Cadre mondial de la biodiversité de Kunming-Montréal ».</w:t>
      </w:r>
    </w:p>
    <w:p w14:paraId="1BFBABB7" w14:textId="77777777" w:rsidR="00C946C4" w:rsidRPr="00783EE8" w:rsidRDefault="00C946C4" w:rsidP="00C946C4">
      <w:pPr>
        <w:pStyle w:val="Para1"/>
        <w:ind w:left="567"/>
        <w:jc w:val="center"/>
        <w:rPr>
          <w:lang w:val="fr-FR"/>
        </w:rPr>
      </w:pPr>
      <w:r w:rsidRPr="00783EE8">
        <w:rPr>
          <w:lang w:val="fr-FR"/>
        </w:rPr>
        <w:t>__________</w:t>
      </w:r>
    </w:p>
    <w:p w14:paraId="7FBA78DF" w14:textId="77777777" w:rsidR="00C946C4" w:rsidRPr="00783EE8" w:rsidRDefault="00C946C4">
      <w:pPr>
        <w:rPr>
          <w:lang w:val="fr-FR"/>
        </w:rPr>
      </w:pPr>
    </w:p>
    <w:sectPr w:rsidR="00C946C4" w:rsidRPr="00783EE8" w:rsidSect="004F6C06"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28D07" w14:textId="77777777" w:rsidR="00E21926" w:rsidRDefault="00E21926" w:rsidP="00C946C4">
      <w:r>
        <w:separator/>
      </w:r>
    </w:p>
  </w:endnote>
  <w:endnote w:type="continuationSeparator" w:id="0">
    <w:p w14:paraId="4FE5CEAD" w14:textId="77777777" w:rsidR="00E21926" w:rsidRDefault="00E21926" w:rsidP="00C9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T Norms Regular">
    <w:altName w:val="TT Norms Regular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853897"/>
      <w:docPartObj>
        <w:docPartGallery w:val="Page Numbers (Bottom of Page)"/>
        <w:docPartUnique/>
      </w:docPartObj>
    </w:sdtPr>
    <w:sdtEndPr/>
    <w:sdtContent>
      <w:sdt>
        <w:sdtPr>
          <w:id w:val="-970582180"/>
          <w:docPartObj>
            <w:docPartGallery w:val="Page Numbers (Top of Page)"/>
            <w:docPartUnique/>
          </w:docPartObj>
        </w:sdtPr>
        <w:sdtEndPr/>
        <w:sdtContent>
          <w:p w14:paraId="2E390EC1" w14:textId="77777777" w:rsidR="00C946C4" w:rsidRDefault="00C946C4">
            <w:pPr>
              <w:pStyle w:val="Footer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B232D9">
              <w:rPr>
                <w:noProof/>
                <w:sz w:val="20"/>
                <w:szCs w:val="20"/>
              </w:rPr>
              <w:t>3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656582"/>
      <w:docPartObj>
        <w:docPartGallery w:val="Page Numbers (Bottom of Page)"/>
        <w:docPartUnique/>
      </w:docPartObj>
    </w:sdtPr>
    <w:sdtEndPr/>
    <w:sdtContent>
      <w:sdt>
        <w:sdtPr>
          <w:id w:val="-1448156627"/>
          <w:docPartObj>
            <w:docPartGallery w:val="Page Numbers (Top of Page)"/>
            <w:docPartUnique/>
          </w:docPartObj>
        </w:sdtPr>
        <w:sdtEndPr/>
        <w:sdtContent>
          <w:p w14:paraId="053FF989" w14:textId="77777777" w:rsidR="00C946C4" w:rsidRDefault="00C946C4" w:rsidP="002B559C">
            <w:pPr>
              <w:pStyle w:val="Footer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FB5997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FB5997">
              <w:rPr>
                <w:noProof/>
                <w:sz w:val="20"/>
                <w:szCs w:val="20"/>
              </w:rPr>
              <w:t>3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6D8F6" w14:textId="77777777" w:rsidR="00E21926" w:rsidRDefault="00E21926" w:rsidP="00C946C4">
      <w:r>
        <w:separator/>
      </w:r>
    </w:p>
  </w:footnote>
  <w:footnote w:type="continuationSeparator" w:id="0">
    <w:p w14:paraId="1FAFF527" w14:textId="77777777" w:rsidR="00E21926" w:rsidRDefault="00E21926" w:rsidP="00C946C4">
      <w:r>
        <w:continuationSeparator/>
      </w:r>
    </w:p>
  </w:footnote>
  <w:footnote w:id="1">
    <w:p w14:paraId="25F7011F" w14:textId="77777777" w:rsidR="00C946C4" w:rsidRPr="00351CC0" w:rsidRDefault="00C946C4" w:rsidP="00C946C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51CC0">
        <w:rPr>
          <w:lang w:val="fr-FR"/>
        </w:rPr>
        <w:t xml:space="preserve"> </w:t>
      </w:r>
      <w:r w:rsidRPr="00351CC0">
        <w:rPr>
          <w:color w:val="000000"/>
          <w:sz w:val="18"/>
          <w:szCs w:val="18"/>
          <w:lang w:val="fr-FR"/>
        </w:rPr>
        <w:t xml:space="preserve">Nations Unies, </w:t>
      </w:r>
      <w:r w:rsidRPr="00351CC0">
        <w:rPr>
          <w:i/>
          <w:iCs/>
          <w:color w:val="000000"/>
          <w:sz w:val="18"/>
          <w:szCs w:val="18"/>
          <w:lang w:val="fr-FR"/>
        </w:rPr>
        <w:t>Recueil des Traités</w:t>
      </w:r>
      <w:r w:rsidRPr="00351CC0">
        <w:rPr>
          <w:iCs/>
          <w:color w:val="000000"/>
          <w:sz w:val="18"/>
          <w:szCs w:val="18"/>
          <w:lang w:val="fr-FR"/>
        </w:rPr>
        <w:t>,</w:t>
      </w:r>
      <w:r w:rsidRPr="00351CC0">
        <w:rPr>
          <w:i/>
          <w:iCs/>
          <w:color w:val="000000"/>
          <w:sz w:val="18"/>
          <w:szCs w:val="18"/>
          <w:lang w:val="fr-FR"/>
        </w:rPr>
        <w:t xml:space="preserve"> </w:t>
      </w:r>
      <w:r w:rsidRPr="00351CC0">
        <w:rPr>
          <w:color w:val="000000"/>
          <w:sz w:val="18"/>
          <w:szCs w:val="18"/>
          <w:lang w:val="fr-FR"/>
        </w:rPr>
        <w:t>vol.</w:t>
      </w:r>
      <w:r>
        <w:rPr>
          <w:color w:val="000000"/>
          <w:sz w:val="18"/>
          <w:szCs w:val="18"/>
          <w:lang w:val="fr-FR"/>
        </w:rPr>
        <w:t> </w:t>
      </w:r>
      <w:r w:rsidRPr="00351CC0">
        <w:rPr>
          <w:color w:val="000000"/>
          <w:sz w:val="18"/>
          <w:szCs w:val="18"/>
          <w:lang w:val="fr-FR"/>
        </w:rPr>
        <w:t xml:space="preserve">1760, </w:t>
      </w:r>
      <w:r>
        <w:rPr>
          <w:color w:val="000000"/>
          <w:sz w:val="18"/>
          <w:szCs w:val="18"/>
          <w:lang w:val="fr-FR"/>
        </w:rPr>
        <w:t>n</w:t>
      </w:r>
      <w:r w:rsidRPr="00351CC0">
        <w:rPr>
          <w:color w:val="000000"/>
          <w:sz w:val="18"/>
          <w:szCs w:val="18"/>
          <w:vertAlign w:val="superscript"/>
          <w:lang w:val="fr-FR"/>
        </w:rPr>
        <w:t>o</w:t>
      </w:r>
      <w:r>
        <w:rPr>
          <w:color w:val="000000"/>
          <w:sz w:val="18"/>
          <w:szCs w:val="18"/>
          <w:lang w:val="fr-FR"/>
        </w:rPr>
        <w:t> </w:t>
      </w:r>
      <w:r w:rsidRPr="00351CC0">
        <w:rPr>
          <w:color w:val="000000"/>
          <w:sz w:val="18"/>
          <w:szCs w:val="18"/>
          <w:lang w:val="fr-FR"/>
        </w:rPr>
        <w:t>30619.</w:t>
      </w:r>
    </w:p>
  </w:footnote>
  <w:footnote w:id="2">
    <w:p w14:paraId="0FF2CB8B" w14:textId="42B33AD6" w:rsidR="00C946C4" w:rsidRPr="00BA77B8" w:rsidRDefault="00C946C4" w:rsidP="00C946C4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A77B8">
        <w:rPr>
          <w:lang w:val="fr-CA"/>
        </w:rPr>
        <w:t xml:space="preserve"> </w:t>
      </w:r>
      <w:r w:rsidR="00BA77B8" w:rsidRPr="00BA77B8">
        <w:rPr>
          <w:sz w:val="18"/>
          <w:szCs w:val="18"/>
          <w:lang w:val="fr-CA"/>
        </w:rPr>
        <w:t xml:space="preserve">Annexe à la </w:t>
      </w:r>
      <w:r w:rsidR="00BA77B8">
        <w:rPr>
          <w:sz w:val="18"/>
          <w:szCs w:val="18"/>
          <w:lang w:val="fr-CA"/>
        </w:rPr>
        <w:t>dé</w:t>
      </w:r>
      <w:r w:rsidR="00BA77B8" w:rsidRPr="00BA77B8">
        <w:rPr>
          <w:sz w:val="18"/>
          <w:szCs w:val="18"/>
          <w:lang w:val="fr-CA"/>
        </w:rPr>
        <w:t xml:space="preserve">cision </w:t>
      </w:r>
      <w:hyperlink r:id="rId1" w:history="1">
        <w:r w:rsidR="008232CA" w:rsidRPr="003855C3">
          <w:rPr>
            <w:rStyle w:val="Hyperlink"/>
            <w:sz w:val="18"/>
            <w:szCs w:val="18"/>
            <w:lang w:val="fr-FR"/>
          </w:rPr>
          <w:t>15/4</w:t>
        </w:r>
      </w:hyperlink>
      <w:r w:rsidRPr="00BA77B8">
        <w:rPr>
          <w:sz w:val="18"/>
          <w:szCs w:val="18"/>
          <w:lang w:val="fr-CA"/>
        </w:rPr>
        <w:t>.</w:t>
      </w:r>
    </w:p>
  </w:footnote>
  <w:footnote w:id="3">
    <w:p w14:paraId="0945E0EE" w14:textId="3F48ABFB" w:rsidR="0057058D" w:rsidRPr="003855C3" w:rsidRDefault="0057058D" w:rsidP="0057058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855C3">
        <w:rPr>
          <w:lang w:val="fr-FR"/>
        </w:rPr>
        <w:t xml:space="preserve"> </w:t>
      </w:r>
      <w:r w:rsidR="008839F0">
        <w:rPr>
          <w:sz w:val="18"/>
          <w:szCs w:val="18"/>
          <w:lang w:val="fr-FR"/>
        </w:rPr>
        <w:t xml:space="preserve">Le consentement </w:t>
      </w:r>
      <w:r>
        <w:rPr>
          <w:sz w:val="18"/>
          <w:szCs w:val="18"/>
          <w:lang w:val="fr-FR"/>
        </w:rPr>
        <w:t>préalable</w:t>
      </w:r>
      <w:r w:rsidR="008839F0">
        <w:rPr>
          <w:sz w:val="18"/>
          <w:szCs w:val="18"/>
          <w:lang w:val="fr-FR"/>
        </w:rPr>
        <w:t>, donné librement et en connaissance de cause</w:t>
      </w:r>
      <w:r>
        <w:rPr>
          <w:sz w:val="18"/>
          <w:szCs w:val="18"/>
          <w:lang w:val="fr-FR"/>
        </w:rPr>
        <w:t xml:space="preserve"> fait référence</w:t>
      </w:r>
      <w:r w:rsidR="00713C39">
        <w:rPr>
          <w:sz w:val="18"/>
          <w:szCs w:val="18"/>
          <w:lang w:val="fr-FR"/>
        </w:rPr>
        <w:t xml:space="preserve"> à la </w:t>
      </w:r>
      <w:r w:rsidRPr="0057058D">
        <w:rPr>
          <w:sz w:val="18"/>
          <w:szCs w:val="18"/>
          <w:lang w:val="fr-FR"/>
        </w:rPr>
        <w:t>terminolog</w:t>
      </w:r>
      <w:r w:rsidR="00713C39">
        <w:rPr>
          <w:sz w:val="18"/>
          <w:szCs w:val="18"/>
          <w:lang w:val="fr-FR"/>
        </w:rPr>
        <w:t>ie tripartite « c</w:t>
      </w:r>
      <w:r w:rsidR="008839F0">
        <w:rPr>
          <w:sz w:val="18"/>
          <w:szCs w:val="18"/>
          <w:lang w:val="fr-FR"/>
        </w:rPr>
        <w:t>onsentement préalable donné en connaissance de cause</w:t>
      </w:r>
      <w:r w:rsidR="00713C39">
        <w:rPr>
          <w:sz w:val="18"/>
          <w:szCs w:val="18"/>
          <w:lang w:val="fr-FR"/>
        </w:rPr>
        <w:t xml:space="preserve"> » ou « consentement </w:t>
      </w:r>
      <w:r w:rsidR="008839F0">
        <w:rPr>
          <w:sz w:val="18"/>
          <w:szCs w:val="18"/>
          <w:lang w:val="fr-FR"/>
        </w:rPr>
        <w:t xml:space="preserve">préalable, donné librement et en connaissance de cause </w:t>
      </w:r>
      <w:r w:rsidR="008839F0">
        <w:rPr>
          <w:sz w:val="18"/>
          <w:szCs w:val="18"/>
          <w:lang w:val="fr-FR"/>
        </w:rPr>
        <w:t>libre</w:t>
      </w:r>
      <w:r w:rsidR="00713C39">
        <w:rPr>
          <w:sz w:val="18"/>
          <w:szCs w:val="18"/>
          <w:lang w:val="fr-FR"/>
        </w:rPr>
        <w:t> » ou « approbation et participation »</w:t>
      </w:r>
      <w:r w:rsidRPr="0057058D">
        <w:rPr>
          <w:sz w:val="18"/>
          <w:szCs w:val="18"/>
          <w:lang w:val="fr-FR"/>
        </w:rPr>
        <w:t>.</w:t>
      </w:r>
    </w:p>
  </w:footnote>
  <w:footnote w:id="4">
    <w:p w14:paraId="315D4DB5" w14:textId="3791CB65" w:rsidR="00B804BF" w:rsidRPr="0090252C" w:rsidRDefault="00B804BF" w:rsidP="00B804BF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90252C">
        <w:rPr>
          <w:lang w:val="fr-CA"/>
        </w:rPr>
        <w:t xml:space="preserve"> </w:t>
      </w:r>
      <w:r w:rsidR="0090252C" w:rsidRPr="0090252C">
        <w:rPr>
          <w:sz w:val="18"/>
          <w:szCs w:val="18"/>
          <w:lang w:val="fr-CA"/>
        </w:rPr>
        <w:t>Annexe à la dé</w:t>
      </w:r>
      <w:r w:rsidR="0090252C">
        <w:rPr>
          <w:sz w:val="18"/>
          <w:szCs w:val="18"/>
          <w:lang w:val="fr-CA"/>
        </w:rPr>
        <w:t xml:space="preserve">cision </w:t>
      </w:r>
      <w:hyperlink r:id="rId2" w:history="1">
        <w:r w:rsidR="0090252C" w:rsidRPr="00A73EC0">
          <w:rPr>
            <w:rStyle w:val="Hyperlink"/>
            <w:sz w:val="18"/>
            <w:szCs w:val="18"/>
            <w:lang w:val="fr-CA"/>
          </w:rPr>
          <w:t>15/</w:t>
        </w:r>
        <w:r w:rsidR="0090252C" w:rsidRPr="00A73EC0">
          <w:rPr>
            <w:rStyle w:val="Hyperlink"/>
            <w:sz w:val="18"/>
            <w:szCs w:val="18"/>
            <w:lang w:val="fr-CA"/>
          </w:rPr>
          <w:t>1</w:t>
        </w:r>
        <w:r w:rsidR="0090252C" w:rsidRPr="00A73EC0">
          <w:rPr>
            <w:rStyle w:val="Hyperlink"/>
            <w:sz w:val="18"/>
            <w:szCs w:val="18"/>
            <w:lang w:val="fr-CA"/>
          </w:rPr>
          <w:t>1</w:t>
        </w:r>
      </w:hyperlink>
      <w:r w:rsidRPr="0090252C">
        <w:rPr>
          <w:sz w:val="18"/>
          <w:szCs w:val="18"/>
          <w:lang w:val="fr-C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75FB2" w14:textId="77777777" w:rsidR="00C946C4" w:rsidRPr="002B559C" w:rsidRDefault="00C946C4" w:rsidP="002B559C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bookmarkStart w:id="1" w:name="_Hlk137802784"/>
    <w:bookmarkStart w:id="2" w:name="_Hlk137802785"/>
    <w:r w:rsidRPr="00AB782E">
      <w:rPr>
        <w:sz w:val="20"/>
        <w:szCs w:val="20"/>
        <w:lang w:val="fr-FR"/>
      </w:rPr>
      <w:t>CBD/WG8J/12/2</w:t>
    </w:r>
    <w:bookmarkEnd w:id="1"/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C9B4C" w14:textId="2EE11017" w:rsidR="00C946C4" w:rsidRPr="00AB782E" w:rsidRDefault="002B6B24" w:rsidP="002B559C">
    <w:pPr>
      <w:pStyle w:val="Header"/>
      <w:pBdr>
        <w:bottom w:val="single" w:sz="4" w:space="1" w:color="auto"/>
      </w:pBdr>
      <w:spacing w:after="240"/>
      <w:jc w:val="right"/>
      <w:rPr>
        <w:sz w:val="20"/>
        <w:szCs w:val="20"/>
        <w:lang w:val="fr-FR"/>
      </w:rPr>
    </w:pPr>
    <w:r w:rsidRPr="002B6B24">
      <w:rPr>
        <w:sz w:val="20"/>
        <w:szCs w:val="20"/>
        <w:lang w:val="fr-FR"/>
      </w:rPr>
      <w:t>CBD/WG8J/</w:t>
    </w:r>
    <w:r w:rsidR="003C5A19">
      <w:rPr>
        <w:sz w:val="20"/>
        <w:szCs w:val="20"/>
        <w:lang w:val="fr-FR"/>
      </w:rPr>
      <w:t>REC/12/1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32F"/>
    <w:multiLevelType w:val="hybridMultilevel"/>
    <w:tmpl w:val="70A49BC2"/>
    <w:lvl w:ilvl="0" w:tplc="91B2BB9A">
      <w:start w:val="1"/>
      <w:numFmt w:val="lowerLetter"/>
      <w:lvlText w:val="(%1)"/>
      <w:lvlJc w:val="left"/>
      <w:pPr>
        <w:ind w:left="15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9511518"/>
    <w:multiLevelType w:val="multilevel"/>
    <w:tmpl w:val="F9DC08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-10" w:firstLine="720"/>
      </w:pPr>
      <w:rPr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Noto Sans Symbols" w:eastAsia="Noto Sans Symbols" w:hAnsi="Noto Sans Symbols" w:cs="Noto Sans Symbols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vertAlign w:val="baseline"/>
      </w:rPr>
    </w:lvl>
  </w:abstractNum>
  <w:abstractNum w:abstractNumId="2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4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7961CE"/>
    <w:multiLevelType w:val="hybridMultilevel"/>
    <w:tmpl w:val="AFDCF908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D18B7"/>
    <w:multiLevelType w:val="hybridMultilevel"/>
    <w:tmpl w:val="F990A9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80578"/>
    <w:multiLevelType w:val="hybridMultilevel"/>
    <w:tmpl w:val="4FCA6E12"/>
    <w:lvl w:ilvl="0" w:tplc="CE288CF0">
      <w:start w:val="1"/>
      <w:numFmt w:val="lowerLetter"/>
      <w:pStyle w:val="Para2"/>
      <w:lvlText w:val="%1)"/>
      <w:lvlJc w:val="left"/>
      <w:pPr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  <w:lang w:val="fr-FR"/>
      </w:rPr>
    </w:lvl>
    <w:lvl w:ilvl="1" w:tplc="10090019" w:tentative="1">
      <w:start w:val="1"/>
      <w:numFmt w:val="lowerLetter"/>
      <w:lvlText w:val="%2."/>
      <w:lvlJc w:val="left"/>
      <w:pPr>
        <w:ind w:left="3033" w:hanging="360"/>
      </w:pPr>
    </w:lvl>
    <w:lvl w:ilvl="2" w:tplc="1009001B" w:tentative="1">
      <w:start w:val="1"/>
      <w:numFmt w:val="lowerRoman"/>
      <w:lvlText w:val="%3."/>
      <w:lvlJc w:val="right"/>
      <w:pPr>
        <w:ind w:left="3753" w:hanging="180"/>
      </w:pPr>
    </w:lvl>
    <w:lvl w:ilvl="3" w:tplc="1009000F" w:tentative="1">
      <w:start w:val="1"/>
      <w:numFmt w:val="decimal"/>
      <w:lvlText w:val="%4."/>
      <w:lvlJc w:val="left"/>
      <w:pPr>
        <w:ind w:left="4473" w:hanging="360"/>
      </w:pPr>
    </w:lvl>
    <w:lvl w:ilvl="4" w:tplc="10090019" w:tentative="1">
      <w:start w:val="1"/>
      <w:numFmt w:val="lowerLetter"/>
      <w:lvlText w:val="%5."/>
      <w:lvlJc w:val="left"/>
      <w:pPr>
        <w:ind w:left="5193" w:hanging="360"/>
      </w:pPr>
    </w:lvl>
    <w:lvl w:ilvl="5" w:tplc="1009001B" w:tentative="1">
      <w:start w:val="1"/>
      <w:numFmt w:val="lowerRoman"/>
      <w:lvlText w:val="%6."/>
      <w:lvlJc w:val="right"/>
      <w:pPr>
        <w:ind w:left="5913" w:hanging="180"/>
      </w:pPr>
    </w:lvl>
    <w:lvl w:ilvl="6" w:tplc="1009000F" w:tentative="1">
      <w:start w:val="1"/>
      <w:numFmt w:val="decimal"/>
      <w:lvlText w:val="%7."/>
      <w:lvlJc w:val="left"/>
      <w:pPr>
        <w:ind w:left="6633" w:hanging="360"/>
      </w:pPr>
    </w:lvl>
    <w:lvl w:ilvl="7" w:tplc="10090019" w:tentative="1">
      <w:start w:val="1"/>
      <w:numFmt w:val="lowerLetter"/>
      <w:lvlText w:val="%8."/>
      <w:lvlJc w:val="left"/>
      <w:pPr>
        <w:ind w:left="7353" w:hanging="360"/>
      </w:pPr>
    </w:lvl>
    <w:lvl w:ilvl="8" w:tplc="1009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11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B70991"/>
    <w:multiLevelType w:val="hybridMultilevel"/>
    <w:tmpl w:val="F990A968"/>
    <w:lvl w:ilvl="0" w:tplc="6812E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CA50D5"/>
    <w:multiLevelType w:val="hybridMultilevel"/>
    <w:tmpl w:val="B4E8B4F6"/>
    <w:lvl w:ilvl="0" w:tplc="E7600C9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5"/>
  </w:num>
  <w:num w:numId="21">
    <w:abstractNumId w:val="1"/>
  </w:num>
  <w:num w:numId="22">
    <w:abstractNumId w:val="0"/>
  </w:num>
  <w:num w:numId="23">
    <w:abstractNumId w:val="10"/>
    <w:lvlOverride w:ilvl="0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C4"/>
    <w:rsid w:val="00022AAE"/>
    <w:rsid w:val="000F1F15"/>
    <w:rsid w:val="00162BB0"/>
    <w:rsid w:val="00173390"/>
    <w:rsid w:val="001E7EE2"/>
    <w:rsid w:val="002B6B24"/>
    <w:rsid w:val="002F10A8"/>
    <w:rsid w:val="003855C3"/>
    <w:rsid w:val="003C5A19"/>
    <w:rsid w:val="003C6599"/>
    <w:rsid w:val="003E15F9"/>
    <w:rsid w:val="003F3F0D"/>
    <w:rsid w:val="0053215D"/>
    <w:rsid w:val="00560571"/>
    <w:rsid w:val="00566F5F"/>
    <w:rsid w:val="0057058D"/>
    <w:rsid w:val="005B67B8"/>
    <w:rsid w:val="00713C39"/>
    <w:rsid w:val="00733455"/>
    <w:rsid w:val="00783EE8"/>
    <w:rsid w:val="007A3CAD"/>
    <w:rsid w:val="00811D01"/>
    <w:rsid w:val="008232CA"/>
    <w:rsid w:val="008839F0"/>
    <w:rsid w:val="0090252C"/>
    <w:rsid w:val="009C2EF1"/>
    <w:rsid w:val="009E7099"/>
    <w:rsid w:val="009F4025"/>
    <w:rsid w:val="00A56A3E"/>
    <w:rsid w:val="00A73EC0"/>
    <w:rsid w:val="00AC7B19"/>
    <w:rsid w:val="00AD0B83"/>
    <w:rsid w:val="00AF56AB"/>
    <w:rsid w:val="00B04EC3"/>
    <w:rsid w:val="00B119E3"/>
    <w:rsid w:val="00B20CDF"/>
    <w:rsid w:val="00B232D9"/>
    <w:rsid w:val="00B35A2A"/>
    <w:rsid w:val="00B804BF"/>
    <w:rsid w:val="00BA77B8"/>
    <w:rsid w:val="00BB3848"/>
    <w:rsid w:val="00BC44B7"/>
    <w:rsid w:val="00C946C4"/>
    <w:rsid w:val="00CC4E2F"/>
    <w:rsid w:val="00D10FC3"/>
    <w:rsid w:val="00D33FD9"/>
    <w:rsid w:val="00D437D9"/>
    <w:rsid w:val="00D80F11"/>
    <w:rsid w:val="00D968AE"/>
    <w:rsid w:val="00DA3DCF"/>
    <w:rsid w:val="00E21926"/>
    <w:rsid w:val="00EC4EE4"/>
    <w:rsid w:val="00FB449D"/>
    <w:rsid w:val="00F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67997"/>
  <w15:chartTrackingRefBased/>
  <w15:docId w15:val="{B9424C04-72FD-3146-89DF-9AA80D78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C4"/>
    <w:pPr>
      <w:jc w:val="both"/>
    </w:pPr>
    <w:rPr>
      <w:rFonts w:ascii="Times New Roman" w:eastAsia="Times New Roman" w:hAnsi="Times New Roman" w:cs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6C4"/>
    <w:pPr>
      <w:keepNext/>
      <w:keepLines/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6C4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6C4"/>
    <w:pPr>
      <w:keepNext/>
      <w:keepLines/>
      <w:numPr>
        <w:numId w:val="7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46C4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46C4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6C4"/>
    <w:rPr>
      <w:rFonts w:ascii="Times New Roman" w:eastAsiaTheme="majorEastAsia" w:hAnsi="Times New Roman" w:cstheme="majorBidi"/>
      <w:b/>
      <w:bCs/>
      <w:kern w:val="2"/>
      <w:sz w:val="28"/>
      <w:szCs w:val="32"/>
      <w:lang w:val="en-CA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946C4"/>
    <w:rPr>
      <w:rFonts w:ascii="Times New Roman" w:eastAsiaTheme="majorEastAsia" w:hAnsi="Times New Roman" w:cstheme="majorBidi"/>
      <w:b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46C4"/>
    <w:rPr>
      <w:rFonts w:ascii="Times New Roman" w:eastAsiaTheme="majorEastAsia" w:hAnsi="Times New Roman" w:cs="Times New Roman"/>
      <w:b/>
      <w:bCs/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6C4"/>
    <w:rPr>
      <w:rFonts w:ascii="Times New Roman" w:eastAsiaTheme="majorEastAsia" w:hAnsi="Times New Roman" w:cs="Times New Roman"/>
      <w:b/>
      <w:bCs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946C4"/>
    <w:rPr>
      <w:rFonts w:ascii="Times New Roman" w:eastAsiaTheme="majorEastAsia" w:hAnsi="Times New Roman" w:cs="Times New Roman"/>
      <w:i/>
      <w:iCs/>
      <w:sz w:val="22"/>
      <w:lang w:val="en-GB" w:eastAsia="en-US"/>
    </w:rPr>
  </w:style>
  <w:style w:type="paragraph" w:customStyle="1" w:styleId="Item">
    <w:name w:val="Item"/>
    <w:basedOn w:val="BodyText"/>
    <w:qFormat/>
    <w:rsid w:val="00C946C4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46C4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46C4"/>
    <w:rPr>
      <w:rFonts w:eastAsiaTheme="minorHAnsi"/>
      <w:kern w:val="2"/>
      <w:sz w:val="22"/>
      <w:szCs w:val="22"/>
      <w:lang w:val="en-CA"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946C4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46C4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 w:eastAsia="en-US"/>
      <w14:ligatures w14:val="standardContextual"/>
    </w:rPr>
  </w:style>
  <w:style w:type="paragraph" w:customStyle="1" w:styleId="Cornernotation">
    <w:name w:val="Corner notation"/>
    <w:basedOn w:val="Normal"/>
    <w:rsid w:val="00C946C4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C946C4"/>
    <w:rPr>
      <w:sz w:val="20"/>
      <w:szCs w:val="20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46C4"/>
    <w:rPr>
      <w:rFonts w:eastAsiaTheme="minorHAnsi"/>
      <w:kern w:val="2"/>
      <w:sz w:val="22"/>
      <w:szCs w:val="22"/>
      <w:lang w:val="en-C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C946C4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6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6C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DefaultParagraphFont"/>
    <w:uiPriority w:val="99"/>
    <w:unhideWhenUsed/>
    <w:qFormat/>
    <w:rsid w:val="00C946C4"/>
    <w:rPr>
      <w:vertAlign w:val="superscript"/>
    </w:rPr>
  </w:style>
  <w:style w:type="paragraph" w:customStyle="1" w:styleId="Footnote">
    <w:name w:val="Footnote"/>
    <w:basedOn w:val="FootnoteText"/>
    <w:qFormat/>
    <w:rsid w:val="00C946C4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C946C4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6C4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46C4"/>
    <w:rPr>
      <w:rFonts w:ascii="Times New Roman Bold" w:hAnsi="Times New Roman Bold"/>
      <w:b/>
      <w:color w:val="5A5A5A" w:themeColor="text1" w:themeTint="A5"/>
      <w:sz w:val="22"/>
      <w:szCs w:val="22"/>
      <w:lang w:val="en-GB" w:eastAsia="en-US"/>
    </w:rPr>
  </w:style>
  <w:style w:type="paragraph" w:customStyle="1" w:styleId="Para1">
    <w:name w:val="Para 1"/>
    <w:basedOn w:val="Normal"/>
    <w:qFormat/>
    <w:rsid w:val="00C946C4"/>
    <w:pPr>
      <w:tabs>
        <w:tab w:val="left" w:pos="1134"/>
      </w:tabs>
      <w:spacing w:before="120" w:after="120"/>
    </w:pPr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C946C4"/>
    <w:rPr>
      <w:color w:val="808080"/>
    </w:rPr>
  </w:style>
  <w:style w:type="paragraph" w:styleId="Header">
    <w:name w:val="header"/>
    <w:basedOn w:val="Normal"/>
    <w:link w:val="HeaderChar"/>
    <w:unhideWhenUsed/>
    <w:rsid w:val="00C946C4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C946C4"/>
    <w:rPr>
      <w:rFonts w:ascii="Times New Roman" w:eastAsia="Times New Roman" w:hAnsi="Times New Roman" w:cs="Times New Roman"/>
      <w:caps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94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6C4"/>
    <w:rPr>
      <w:rFonts w:ascii="Times New Roman" w:eastAsia="Times New Roman" w:hAnsi="Times New Roman" w:cs="Times New Roman"/>
      <w:sz w:val="22"/>
      <w:lang w:val="en-GB" w:eastAsia="en-US"/>
    </w:rPr>
  </w:style>
  <w:style w:type="paragraph" w:customStyle="1" w:styleId="Para2">
    <w:name w:val="Para 2"/>
    <w:qFormat/>
    <w:rsid w:val="00C946C4"/>
    <w:pPr>
      <w:numPr>
        <w:numId w:val="13"/>
      </w:numPr>
      <w:tabs>
        <w:tab w:val="left" w:pos="1701"/>
      </w:tabs>
      <w:spacing w:before="120" w:after="120"/>
      <w:jc w:val="both"/>
    </w:pPr>
    <w:rPr>
      <w:rFonts w:ascii="Times New Roman" w:eastAsia="Times New Roman" w:hAnsi="Times New Roman" w:cs="Times New Roman"/>
      <w:sz w:val="22"/>
      <w:lang w:val="en-CA" w:eastAsia="en-US"/>
    </w:rPr>
  </w:style>
  <w:style w:type="paragraph" w:customStyle="1" w:styleId="Annex">
    <w:name w:val="Annex"/>
    <w:basedOn w:val="Normal"/>
    <w:qFormat/>
    <w:rsid w:val="00C946C4"/>
    <w:rPr>
      <w:b/>
      <w:sz w:val="28"/>
    </w:rPr>
  </w:style>
  <w:style w:type="paragraph" w:customStyle="1" w:styleId="Para3">
    <w:name w:val="Para 3"/>
    <w:basedOn w:val="Normal"/>
    <w:qFormat/>
    <w:rsid w:val="00C946C4"/>
    <w:pPr>
      <w:numPr>
        <w:numId w:val="17"/>
      </w:numPr>
      <w:tabs>
        <w:tab w:val="left" w:pos="1701"/>
      </w:tabs>
      <w:spacing w:before="120" w:after="120"/>
      <w:ind w:left="1134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C94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6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6C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C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946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46C4"/>
    <w:pPr>
      <w:ind w:left="720"/>
      <w:contextualSpacing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946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6C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6C4"/>
    <w:rPr>
      <w:rFonts w:ascii="Times New Roman" w:eastAsia="Times New Roman" w:hAnsi="Times New Roman" w:cs="Times New Roman"/>
      <w:sz w:val="22"/>
      <w:lang w:val="en-GB" w:eastAsia="en-US"/>
    </w:rPr>
  </w:style>
  <w:style w:type="character" w:customStyle="1" w:styleId="A5">
    <w:name w:val="A5"/>
    <w:uiPriority w:val="99"/>
    <w:rsid w:val="00C946C4"/>
    <w:rPr>
      <w:rFonts w:cs="TT Norms Regular"/>
      <w:color w:val="000000"/>
    </w:rPr>
  </w:style>
  <w:style w:type="character" w:customStyle="1" w:styleId="preferred">
    <w:name w:val="preferred"/>
    <w:basedOn w:val="DefaultParagraphFont"/>
    <w:rsid w:val="00C946C4"/>
  </w:style>
  <w:style w:type="paragraph" w:styleId="BalloonText">
    <w:name w:val="Balloon Text"/>
    <w:basedOn w:val="Normal"/>
    <w:link w:val="BalloonTextChar"/>
    <w:uiPriority w:val="99"/>
    <w:semiHidden/>
    <w:unhideWhenUsed/>
    <w:rsid w:val="00B23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2D9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d.int/doc/decisions/cop-15/cop-15-dec-11-fr.pdf" TargetMode="External"/><Relationship Id="rId1" Type="http://schemas.openxmlformats.org/officeDocument/2006/relationships/hyperlink" Target="https://www.cbd.int/doc/decisions/cop-15/cop-15-dec-04-fr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1017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Massoulier</dc:creator>
  <cp:keywords/>
  <dc:description/>
  <cp:lastModifiedBy>Finn Kinley</cp:lastModifiedBy>
  <cp:revision>13</cp:revision>
  <cp:lastPrinted>2023-11-14T22:48:00Z</cp:lastPrinted>
  <dcterms:created xsi:type="dcterms:W3CDTF">2023-11-15T21:41:00Z</dcterms:created>
  <dcterms:modified xsi:type="dcterms:W3CDTF">2023-12-20T00:22:00Z</dcterms:modified>
</cp:coreProperties>
</file>