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44"/>
        <w:gridCol w:w="5671"/>
      </w:tblGrid>
      <w:tr w:rsidR="00A96B21" w:rsidRPr="000E6117" w14:paraId="4C1D279C" w14:textId="77777777" w:rsidTr="00B60E5F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4EB4AA2B" w14:textId="77777777" w:rsidR="00A96B21" w:rsidRPr="000E6117" w:rsidRDefault="00A96B21" w:rsidP="00B60E5F">
            <w:pPr>
              <w:spacing w:after="120"/>
              <w:jc w:val="left"/>
            </w:pPr>
            <w:bookmarkStart w:id="0" w:name="_Hlk137651738"/>
            <w:r w:rsidRPr="000E6117">
              <w:rPr>
                <w:noProof/>
                <w:lang w:val="fr-FR" w:eastAsia="fr-FR"/>
              </w:rPr>
              <w:drawing>
                <wp:inline distT="0" distB="0" distL="0" distR="0" wp14:anchorId="0507ABBA" wp14:editId="1253C4EE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03F10320" w14:textId="00BA7C26" w:rsidR="00A96B21" w:rsidRPr="000E6117" w:rsidRDefault="00C7693C" w:rsidP="00B60E5F">
            <w:pPr>
              <w:spacing w:after="120"/>
              <w:jc w:val="left"/>
            </w:pPr>
            <w:r w:rsidRPr="00C7693C">
              <w:rPr>
                <w:noProof/>
                <w:lang w:val="fr-FR" w:eastAsia="fr-FR"/>
              </w:rPr>
              <w:drawing>
                <wp:inline distT="0" distB="0" distL="0" distR="0" wp14:anchorId="0D39781A" wp14:editId="70C13D0F">
                  <wp:extent cx="590550" cy="361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50118B63" w14:textId="1AA7E6D0" w:rsidR="00A96B21" w:rsidRPr="000E6117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8B7C41">
              <w:rPr>
                <w:sz w:val="40"/>
                <w:szCs w:val="40"/>
              </w:rPr>
              <w:t>CBD</w:t>
            </w:r>
            <w:r w:rsidRPr="008B7C41">
              <w:rPr>
                <w:szCs w:val="22"/>
              </w:rPr>
              <w:t>/</w:t>
            </w:r>
            <w:r w:rsidR="00BD5AA6" w:rsidRPr="008B7C41">
              <w:rPr>
                <w:szCs w:val="22"/>
              </w:rPr>
              <w:t>WG8J/</w:t>
            </w:r>
            <w:r w:rsidR="00F51CAC">
              <w:rPr>
                <w:szCs w:val="22"/>
              </w:rPr>
              <w:t>REC/</w:t>
            </w:r>
            <w:r w:rsidR="00BD5AA6" w:rsidRPr="008B7C41">
              <w:rPr>
                <w:szCs w:val="22"/>
              </w:rPr>
              <w:t>12/</w:t>
            </w:r>
            <w:r w:rsidR="00811066">
              <w:rPr>
                <w:szCs w:val="22"/>
              </w:rPr>
              <w:t>5</w:t>
            </w:r>
          </w:p>
        </w:tc>
      </w:tr>
      <w:tr w:rsidR="00A96B21" w:rsidRPr="00F51CAC" w14:paraId="58E5BDAF" w14:textId="77777777" w:rsidTr="00B60E5F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58572ED" w14:textId="781C2D20" w:rsidR="00A96B21" w:rsidRPr="00C7693C" w:rsidRDefault="00C7693C" w:rsidP="00B60E5F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  <w:rPr>
                <w:lang w:val="fr-FR"/>
              </w:rPr>
            </w:pPr>
            <w:r w:rsidRPr="00C7693C">
              <w:rPr>
                <w:b w:val="0"/>
                <w:bCs/>
                <w:noProof/>
                <w:lang w:val="fr-FR" w:eastAsia="fr-FR"/>
              </w:rPr>
              <w:drawing>
                <wp:inline distT="0" distB="0" distL="0" distR="0" wp14:anchorId="6BFC1457" wp14:editId="40A54737">
                  <wp:extent cx="2857500" cy="1076325"/>
                  <wp:effectExtent l="0" t="0" r="0" b="9525"/>
                  <wp:docPr id="1" name="Image 1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24AC094C" w14:textId="7FD02A4B" w:rsidR="004208E7" w:rsidRPr="004208E7" w:rsidRDefault="00F51CAC" w:rsidP="004208E7">
            <w:pPr>
              <w:ind w:left="2584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Distr. : Gén</w:t>
            </w:r>
            <w:r w:rsidR="004208E7" w:rsidRPr="004208E7"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fr-FR"/>
              </w:rPr>
              <w:t>ral</w:t>
            </w:r>
            <w:r w:rsidR="004208E7" w:rsidRPr="004208E7">
              <w:rPr>
                <w:sz w:val="22"/>
                <w:szCs w:val="22"/>
                <w:lang w:val="fr-FR"/>
              </w:rPr>
              <w:t>e</w:t>
            </w:r>
          </w:p>
          <w:p w14:paraId="1E7C0229" w14:textId="527EDC25" w:rsidR="00A96B21" w:rsidRPr="00C7693C" w:rsidRDefault="008B7C41" w:rsidP="003C6F10">
            <w:pPr>
              <w:ind w:left="2584"/>
              <w:rPr>
                <w:sz w:val="22"/>
                <w:szCs w:val="22"/>
                <w:lang w:val="fr-FR"/>
              </w:rPr>
            </w:pPr>
            <w:r w:rsidRPr="00C7693C">
              <w:rPr>
                <w:sz w:val="22"/>
                <w:szCs w:val="22"/>
                <w:lang w:val="fr-FR"/>
              </w:rPr>
              <w:t>1</w:t>
            </w:r>
            <w:r w:rsidR="00811066">
              <w:rPr>
                <w:sz w:val="22"/>
                <w:szCs w:val="22"/>
                <w:lang w:val="fr-FR"/>
              </w:rPr>
              <w:t>6</w:t>
            </w:r>
            <w:r w:rsidR="00C7693C" w:rsidRPr="00C7693C">
              <w:rPr>
                <w:sz w:val="22"/>
                <w:szCs w:val="22"/>
                <w:lang w:val="fr-FR"/>
              </w:rPr>
              <w:t> novembre </w:t>
            </w:r>
            <w:r w:rsidR="00A96B21" w:rsidRPr="00C7693C">
              <w:rPr>
                <w:sz w:val="22"/>
                <w:szCs w:val="22"/>
                <w:lang w:val="fr-FR"/>
              </w:rPr>
              <w:t>2023</w:t>
            </w:r>
          </w:p>
          <w:p w14:paraId="166BA375" w14:textId="77777777" w:rsidR="00A96B21" w:rsidRDefault="00A96B21" w:rsidP="003C6F10">
            <w:pPr>
              <w:ind w:left="2584"/>
              <w:rPr>
                <w:sz w:val="22"/>
                <w:szCs w:val="22"/>
                <w:lang w:val="fr-FR"/>
              </w:rPr>
            </w:pPr>
          </w:p>
          <w:p w14:paraId="4C5C47C6" w14:textId="4728C3B2" w:rsidR="00C7693C" w:rsidRPr="00C7693C" w:rsidRDefault="00C7693C" w:rsidP="003C6F10">
            <w:pPr>
              <w:ind w:left="2584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Français</w:t>
            </w:r>
          </w:p>
          <w:p w14:paraId="3A6A7AB3" w14:textId="21FABE8C" w:rsidR="00A96B21" w:rsidRPr="00C7693C" w:rsidRDefault="00A96B21" w:rsidP="003C6F10">
            <w:pPr>
              <w:ind w:left="2584"/>
              <w:rPr>
                <w:sz w:val="22"/>
                <w:szCs w:val="22"/>
                <w:lang w:val="fr-FR"/>
              </w:rPr>
            </w:pPr>
            <w:r w:rsidRPr="00C7693C">
              <w:rPr>
                <w:sz w:val="22"/>
                <w:szCs w:val="22"/>
                <w:lang w:val="fr-FR"/>
              </w:rPr>
              <w:t>Original</w:t>
            </w:r>
            <w:r w:rsidR="00C7693C">
              <w:rPr>
                <w:sz w:val="22"/>
                <w:szCs w:val="22"/>
                <w:lang w:val="fr-FR"/>
              </w:rPr>
              <w:t> </w:t>
            </w:r>
            <w:r w:rsidRPr="00C7693C">
              <w:rPr>
                <w:sz w:val="22"/>
                <w:szCs w:val="22"/>
                <w:lang w:val="fr-FR"/>
              </w:rPr>
              <w:t xml:space="preserve">: </w:t>
            </w:r>
            <w:r w:rsidR="00C7693C">
              <w:rPr>
                <w:sz w:val="22"/>
                <w:szCs w:val="22"/>
                <w:lang w:val="fr-FR"/>
              </w:rPr>
              <w:t>Anglais</w:t>
            </w:r>
          </w:p>
          <w:p w14:paraId="21F1EB89" w14:textId="77777777" w:rsidR="00A96B21" w:rsidRPr="004208E7" w:rsidRDefault="00A96B21" w:rsidP="00B60E5F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00AAD764" w14:textId="7A65B6E4" w:rsidR="00874541" w:rsidRPr="00C7693C" w:rsidRDefault="00C7693C" w:rsidP="00BD5AA6">
      <w:pPr>
        <w:pStyle w:val="Cornernotation"/>
        <w:tabs>
          <w:tab w:val="left" w:pos="5529"/>
        </w:tabs>
        <w:ind w:left="0" w:right="4540" w:firstLine="0"/>
        <w:rPr>
          <w:bCs/>
          <w:lang w:val="fr-FR"/>
        </w:rPr>
      </w:pPr>
      <w:r>
        <w:rPr>
          <w:bCs/>
          <w:lang w:val="fr-FR"/>
        </w:rPr>
        <w:t>Groupe de travail spécial intersessions à composition non limitée sur l’article 8 j) et les dispositions connexes de la Convention sur la diversité biologique</w:t>
      </w:r>
    </w:p>
    <w:p w14:paraId="3515D1A0" w14:textId="4A609866" w:rsidR="00A96B21" w:rsidRPr="00C7693C" w:rsidRDefault="00C7693C" w:rsidP="00BD5AA6">
      <w:pPr>
        <w:pStyle w:val="Cornernotation"/>
        <w:ind w:left="0" w:firstLine="0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Douzième réunion</w:t>
      </w:r>
      <w:r w:rsidR="00A96B21" w:rsidRPr="00C7693C">
        <w:rPr>
          <w:bCs/>
          <w:sz w:val="22"/>
          <w:szCs w:val="22"/>
          <w:lang w:val="fr-FR"/>
        </w:rPr>
        <w:t xml:space="preserve"> </w:t>
      </w:r>
    </w:p>
    <w:p w14:paraId="2117A6BE" w14:textId="6FB14B0C" w:rsidR="00A96B21" w:rsidRPr="00C7693C" w:rsidRDefault="00C7693C" w:rsidP="00A96B21">
      <w:pPr>
        <w:pStyle w:val="Venuedate"/>
        <w:rPr>
          <w:lang w:val="fr-FR"/>
        </w:rPr>
      </w:pPr>
      <w:r>
        <w:rPr>
          <w:lang w:val="fr-FR"/>
        </w:rPr>
        <w:t>Genève</w:t>
      </w:r>
      <w:r w:rsidR="00BD5AA6" w:rsidRPr="00C7693C">
        <w:rPr>
          <w:lang w:val="fr-FR"/>
        </w:rPr>
        <w:t>, 12–16</w:t>
      </w:r>
      <w:r>
        <w:rPr>
          <w:lang w:val="fr-FR"/>
        </w:rPr>
        <w:t> novembre </w:t>
      </w:r>
      <w:r w:rsidR="00BD5AA6" w:rsidRPr="00C7693C">
        <w:rPr>
          <w:lang w:val="fr-FR"/>
        </w:rPr>
        <w:t>2023</w:t>
      </w:r>
    </w:p>
    <w:p w14:paraId="23648E2C" w14:textId="6BDD5365" w:rsidR="00A96B21" w:rsidRPr="00C7693C" w:rsidRDefault="00C7693C" w:rsidP="00A96B21">
      <w:pPr>
        <w:pStyle w:val="Cornernotation-Item"/>
        <w:rPr>
          <w:lang w:val="fr-FR"/>
        </w:rPr>
      </w:pPr>
      <w:r>
        <w:rPr>
          <w:b w:val="0"/>
          <w:bCs w:val="0"/>
          <w:lang w:val="fr-FR"/>
        </w:rPr>
        <w:t>Point 8 de l’ordre du jour</w:t>
      </w:r>
    </w:p>
    <w:p w14:paraId="63AEE039" w14:textId="2DEB95D4" w:rsidR="00A96B21" w:rsidRDefault="00C7693C" w:rsidP="00E108CB">
      <w:pPr>
        <w:pStyle w:val="Cornernotation-Item"/>
        <w:ind w:left="0" w:firstLine="0"/>
        <w:rPr>
          <w:lang w:val="fr-FR"/>
        </w:rPr>
      </w:pPr>
      <w:r>
        <w:rPr>
          <w:lang w:val="fr-FR"/>
        </w:rPr>
        <w:t>Recommandations de l’Instance permanente sur les questions autochtones</w:t>
      </w:r>
    </w:p>
    <w:p w14:paraId="688698C0" w14:textId="77777777" w:rsidR="00F51CAC" w:rsidRDefault="00F51CAC" w:rsidP="00E108CB">
      <w:pPr>
        <w:pStyle w:val="Cornernotation-Item"/>
        <w:ind w:left="0" w:firstLine="0"/>
        <w:rPr>
          <w:lang w:val="fr-FR"/>
        </w:rPr>
      </w:pPr>
    </w:p>
    <w:p w14:paraId="70E3273A" w14:textId="3BEB25FC" w:rsidR="00F51CAC" w:rsidRPr="00F51CAC" w:rsidRDefault="00F51CAC" w:rsidP="00F51CAC">
      <w:pPr>
        <w:pStyle w:val="Cornernotation-Item"/>
        <w:ind w:left="567" w:right="4" w:firstLine="0"/>
        <w:jc w:val="both"/>
        <w:rPr>
          <w:sz w:val="28"/>
          <w:szCs w:val="28"/>
          <w:lang w:val="fr-FR"/>
        </w:rPr>
      </w:pPr>
      <w:r w:rsidRPr="00F51CAC">
        <w:rPr>
          <w:sz w:val="28"/>
          <w:szCs w:val="28"/>
          <w:lang w:val="fr-FR"/>
        </w:rPr>
        <w:t>Recommandation adoptée par le Groupe de travail le 16 novembre 2023</w:t>
      </w:r>
    </w:p>
    <w:bookmarkEnd w:id="0"/>
    <w:p w14:paraId="5B1552F9" w14:textId="03A83F07" w:rsidR="00E108CB" w:rsidRPr="00E119D2" w:rsidRDefault="00F51CAC" w:rsidP="00F51CAC">
      <w:pPr>
        <w:pStyle w:val="Title"/>
        <w:ind w:left="1418" w:hanging="851"/>
        <w:jc w:val="left"/>
        <w:rPr>
          <w:lang w:val="fr-CA"/>
        </w:rPr>
      </w:pPr>
      <w:r>
        <w:rPr>
          <w:lang w:val="fr-CA"/>
        </w:rPr>
        <w:t xml:space="preserve">12/5. </w:t>
      </w:r>
      <w:r>
        <w:rPr>
          <w:lang w:val="fr-CA"/>
        </w:rPr>
        <w:tab/>
      </w:r>
      <w:r w:rsidR="00E108CB" w:rsidRPr="00E119D2">
        <w:rPr>
          <w:lang w:val="fr-CA"/>
        </w:rPr>
        <w:t>Recommandations de l’Instance permanente sur les questions autochtones relatives à la Convention sur la diversité biologique</w:t>
      </w:r>
    </w:p>
    <w:p w14:paraId="3053F802" w14:textId="26AE9F9F" w:rsidR="00F25E41" w:rsidRPr="00FC44D7" w:rsidRDefault="00F51CAC" w:rsidP="00F51CAC">
      <w:pPr>
        <w:pStyle w:val="Para1"/>
        <w:keepNext/>
        <w:numPr>
          <w:ilvl w:val="0"/>
          <w:numId w:val="0"/>
        </w:numPr>
        <w:spacing w:before="360"/>
        <w:ind w:left="562" w:firstLine="572"/>
        <w:rPr>
          <w:rFonts w:asciiTheme="majorBidi" w:eastAsia="Malgun Gothic" w:hAnsiTheme="majorBidi" w:cstheme="majorBidi"/>
          <w:i/>
          <w:iCs/>
          <w:snapToGrid w:val="0"/>
          <w:szCs w:val="18"/>
          <w:lang w:val="fr-FR" w:eastAsia="x-none"/>
        </w:rPr>
      </w:pPr>
      <w:r w:rsidRPr="00F51CAC">
        <w:rPr>
          <w:rFonts w:asciiTheme="majorBidi" w:eastAsia="Malgun Gothic" w:hAnsiTheme="majorBidi" w:cstheme="majorBidi"/>
          <w:iCs/>
          <w:snapToGrid w:val="0"/>
          <w:szCs w:val="18"/>
          <w:lang w:val="fr-CA" w:eastAsia="x-none"/>
        </w:rPr>
        <w:t>[</w:t>
      </w:r>
      <w:r w:rsidR="009C1C45">
        <w:rPr>
          <w:rFonts w:asciiTheme="majorBidi" w:eastAsia="Malgun Gothic" w:hAnsiTheme="majorBidi" w:cstheme="majorBidi"/>
          <w:i/>
          <w:iCs/>
          <w:snapToGrid w:val="0"/>
          <w:szCs w:val="18"/>
          <w:lang w:val="fr-FR" w:eastAsia="x-none"/>
        </w:rPr>
        <w:t>Le Groupe de travail spécial intersessions à composition non limitée sur l’article 8 j) et les dispositions connexes de la Convention sur la diversité biologique</w:t>
      </w:r>
    </w:p>
    <w:p w14:paraId="49A7E5D5" w14:textId="2551472A" w:rsidR="00EA5361" w:rsidRPr="00C7693C" w:rsidRDefault="009C1C45" w:rsidP="009C1C45">
      <w:pPr>
        <w:pStyle w:val="Para1"/>
        <w:keepNext/>
        <w:numPr>
          <w:ilvl w:val="0"/>
          <w:numId w:val="0"/>
        </w:numPr>
        <w:ind w:left="562" w:firstLine="572"/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</w:pPr>
      <w:r>
        <w:rPr>
          <w:rFonts w:asciiTheme="majorBidi" w:eastAsia="Malgun Gothic" w:hAnsiTheme="majorBidi" w:cstheme="majorBidi"/>
          <w:i/>
          <w:iCs/>
          <w:snapToGrid w:val="0"/>
          <w:szCs w:val="18"/>
          <w:lang w:val="fr-FR" w:eastAsia="x-none"/>
        </w:rPr>
        <w:t>Recommande</w:t>
      </w:r>
      <w:r w:rsidR="00F51CAC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 xml:space="preserve"> que</w:t>
      </w:r>
      <w:r w:rsidRPr="009C1C45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 xml:space="preserve"> la Conférence des Parties adopte</w:t>
      </w:r>
      <w:r w:rsidR="00F51CAC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 xml:space="preserve">, </w:t>
      </w:r>
      <w:r w:rsidR="00F51CAC" w:rsidRPr="009C1C45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>à sa seizième ré</w:t>
      </w:r>
      <w:r w:rsidR="00F51CAC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>u</w:t>
      </w:r>
      <w:r w:rsidR="00F51CAC" w:rsidRPr="009C1C45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>nion</w:t>
      </w:r>
      <w:r w:rsidR="00F51CAC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>,</w:t>
      </w:r>
      <w:r w:rsidRPr="009C1C45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 xml:space="preserve"> un</w:t>
      </w:r>
      <w:r w:rsidR="00F51CAC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>e décision libellée comme</w:t>
      </w:r>
      <w:r w:rsidRPr="009C1C45">
        <w:rPr>
          <w:rFonts w:asciiTheme="majorBidi" w:eastAsia="Malgun Gothic" w:hAnsiTheme="majorBidi" w:cstheme="majorBidi"/>
          <w:snapToGrid w:val="0"/>
          <w:szCs w:val="18"/>
          <w:lang w:val="fr-FR" w:eastAsia="x-none"/>
        </w:rPr>
        <w:t xml:space="preserve"> suit :</w:t>
      </w:r>
    </w:p>
    <w:p w14:paraId="49290953" w14:textId="6F8371D0" w:rsidR="00EA5361" w:rsidRPr="00C7693C" w:rsidRDefault="00F51CAC" w:rsidP="00FC44D7">
      <w:pPr>
        <w:keepNext/>
        <w:tabs>
          <w:tab w:val="left" w:pos="1701"/>
        </w:tabs>
        <w:spacing w:before="120" w:after="120"/>
        <w:ind w:left="562" w:firstLine="562"/>
        <w:jc w:val="left"/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</w:pPr>
      <w:r>
        <w:rPr>
          <w:rFonts w:asciiTheme="majorBidi" w:eastAsiaTheme="minorEastAsia" w:hAnsiTheme="majorBidi" w:cstheme="majorBidi"/>
          <w:i/>
          <w:iCs/>
          <w:kern w:val="2"/>
          <w:szCs w:val="22"/>
          <w:lang w:val="fr-FR" w:eastAsia="zh-CN"/>
          <w14:ligatures w14:val="standardContextual"/>
        </w:rPr>
        <w:t>La Conférence des P</w:t>
      </w:r>
      <w:r w:rsidR="009C1C45">
        <w:rPr>
          <w:rFonts w:asciiTheme="majorBidi" w:eastAsiaTheme="minorEastAsia" w:hAnsiTheme="majorBidi" w:cstheme="majorBidi"/>
          <w:i/>
          <w:iCs/>
          <w:kern w:val="2"/>
          <w:szCs w:val="22"/>
          <w:lang w:val="fr-FR" w:eastAsia="zh-CN"/>
          <w14:ligatures w14:val="standardContextual"/>
        </w:rPr>
        <w:t>arties</w:t>
      </w:r>
      <w:r w:rsidR="00EA5361"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>,</w:t>
      </w:r>
    </w:p>
    <w:p w14:paraId="1F90B96F" w14:textId="2DFE3CA7" w:rsidR="00FC44D7" w:rsidRDefault="009C1C45" w:rsidP="005D7B46">
      <w:pPr>
        <w:spacing w:before="120" w:after="120"/>
        <w:ind w:left="567" w:firstLine="562"/>
        <w:rPr>
          <w:color w:val="000000"/>
          <w:lang w:val="fr-FR"/>
        </w:rPr>
      </w:pPr>
      <w:r>
        <w:rPr>
          <w:i/>
          <w:iCs/>
          <w:lang w:val="fr-FR"/>
        </w:rPr>
        <w:t xml:space="preserve">Rappelant </w:t>
      </w:r>
      <w:r>
        <w:rPr>
          <w:lang w:val="fr-FR"/>
        </w:rPr>
        <w:t xml:space="preserve">que le Cadre mondial de </w:t>
      </w:r>
      <w:bookmarkStart w:id="1" w:name="_GoBack"/>
      <w:bookmarkEnd w:id="1"/>
      <w:r>
        <w:rPr>
          <w:lang w:val="fr-FR"/>
        </w:rPr>
        <w:t>la biodiversité de Kunming-Montréal</w:t>
      </w:r>
      <w:r w:rsidR="00A90BF2" w:rsidRPr="00C7693C">
        <w:rPr>
          <w:rStyle w:val="FootnoteReference"/>
          <w:color w:val="000000"/>
          <w:lang w:val="fr-FR"/>
        </w:rPr>
        <w:footnoteReference w:id="2"/>
      </w:r>
      <w:r w:rsidR="0085407F">
        <w:rPr>
          <w:lang w:val="fr-FR"/>
        </w:rPr>
        <w:t xml:space="preserve"> doit être interprété, appliqué, mis en œuvre, faire l’objet de rapports et d’évaluations conformément à la contribution et aux droits des peuples autochtones</w:t>
      </w:r>
      <w:r>
        <w:rPr>
          <w:color w:val="000000"/>
          <w:lang w:val="fr-FR"/>
        </w:rPr>
        <w:t xml:space="preserve"> </w:t>
      </w:r>
      <w:r w:rsidR="00551996">
        <w:rPr>
          <w:color w:val="000000"/>
          <w:lang w:val="fr-FR"/>
        </w:rPr>
        <w:t>et des communautés locale</w:t>
      </w:r>
      <w:r w:rsidR="0085407F">
        <w:rPr>
          <w:color w:val="000000"/>
          <w:lang w:val="fr-FR"/>
        </w:rPr>
        <w:t>s</w:t>
      </w:r>
      <w:r w:rsidR="00F51CAC">
        <w:rPr>
          <w:color w:val="000000"/>
          <w:lang w:val="fr-FR"/>
        </w:rPr>
        <w:t>,</w:t>
      </w:r>
      <w:r w:rsidR="00551996">
        <w:rPr>
          <w:color w:val="000000"/>
          <w:lang w:val="fr-FR"/>
        </w:rPr>
        <w:t xml:space="preserve"> </w:t>
      </w:r>
      <w:r w:rsidR="0085407F">
        <w:rPr>
          <w:color w:val="000000"/>
          <w:lang w:val="fr-FR"/>
        </w:rPr>
        <w:t xml:space="preserve">et que les rôles et contributions importants des peuples autochtones et </w:t>
      </w:r>
      <w:r w:rsidR="00FC44D7">
        <w:rPr>
          <w:color w:val="000000"/>
          <w:lang w:val="fr-FR"/>
        </w:rPr>
        <w:t>d</w:t>
      </w:r>
      <w:r w:rsidR="0016559D">
        <w:rPr>
          <w:color w:val="000000"/>
          <w:lang w:val="fr-FR"/>
        </w:rPr>
        <w:t xml:space="preserve">es communautés locales en tant </w:t>
      </w:r>
      <w:r w:rsidR="0085407F">
        <w:rPr>
          <w:color w:val="000000"/>
          <w:lang w:val="fr-FR"/>
        </w:rPr>
        <w:t>que gardiens de la biodiversité et partenaires de sa conservation, de son rétablissement et de son utilisation durable</w:t>
      </w:r>
      <w:r w:rsidR="00F51CAC">
        <w:rPr>
          <w:color w:val="000000"/>
          <w:lang w:val="fr-FR"/>
        </w:rPr>
        <w:t xml:space="preserve"> sont reconnus dans le Cadre</w:t>
      </w:r>
      <w:r w:rsidR="0085407F">
        <w:rPr>
          <w:color w:val="000000"/>
          <w:lang w:val="fr-FR"/>
        </w:rPr>
        <w:t>,</w:t>
      </w:r>
    </w:p>
    <w:p w14:paraId="1A50BFF3" w14:textId="619FBDAD" w:rsidR="005D7B46" w:rsidRDefault="005D7B46" w:rsidP="005D7B46">
      <w:pPr>
        <w:spacing w:before="120" w:after="120"/>
        <w:ind w:left="567" w:firstLine="562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Rappelant également </w:t>
      </w:r>
      <w:r w:rsidRPr="005D7B46">
        <w:rPr>
          <w:color w:val="000000"/>
          <w:lang w:val="fr-FR"/>
        </w:rPr>
        <w:t>que le Cadre doit être</w:t>
      </w:r>
      <w:r>
        <w:rPr>
          <w:color w:val="000000"/>
          <w:lang w:val="fr-FR"/>
        </w:rPr>
        <w:t xml:space="preserve"> mis en œuvre conformément aux instruments internationaux</w:t>
      </w:r>
      <w:r w:rsidR="00F51CAC">
        <w:rPr>
          <w:color w:val="000000"/>
          <w:lang w:val="fr-FR"/>
        </w:rPr>
        <w:t xml:space="preserve"> en vigueur, notamment</w:t>
      </w:r>
      <w:r>
        <w:rPr>
          <w:color w:val="000000"/>
          <w:lang w:val="fr-FR"/>
        </w:rPr>
        <w:t xml:space="preserve"> la Déclaration des Nations Unies sur les droits des peuples autochtone</w:t>
      </w:r>
      <w:r w:rsidR="00FC44D7">
        <w:rPr>
          <w:color w:val="000000"/>
          <w:lang w:val="fr-FR"/>
        </w:rPr>
        <w:t>s</w:t>
      </w:r>
      <w:r w:rsidR="00871E22" w:rsidRPr="00C7693C">
        <w:rPr>
          <w:rStyle w:val="FootnoteReference"/>
          <w:color w:val="000000"/>
          <w:lang w:val="fr-FR"/>
        </w:rPr>
        <w:footnoteReference w:id="3"/>
      </w:r>
      <w:r>
        <w:rPr>
          <w:color w:val="000000"/>
          <w:lang w:val="fr-FR"/>
        </w:rPr>
        <w:t>, et au droit relatif aux droits humains et qu’à cet égard, rien dans le Cadre ne peut être interprété comme réduisa</w:t>
      </w:r>
      <w:r w:rsidR="00A84A17">
        <w:rPr>
          <w:color w:val="000000"/>
          <w:lang w:val="fr-FR"/>
        </w:rPr>
        <w:t>nt ou supprimant les droits dont</w:t>
      </w:r>
      <w:r>
        <w:rPr>
          <w:color w:val="000000"/>
          <w:lang w:val="fr-FR"/>
        </w:rPr>
        <w:t xml:space="preserve"> </w:t>
      </w:r>
      <w:r w:rsidR="00A84A17">
        <w:rPr>
          <w:color w:val="000000"/>
          <w:lang w:val="fr-FR"/>
        </w:rPr>
        <w:t>les peuples autochtones bénéficient</w:t>
      </w:r>
      <w:r>
        <w:rPr>
          <w:color w:val="000000"/>
          <w:lang w:val="fr-FR"/>
        </w:rPr>
        <w:t xml:space="preserve"> ou</w:t>
      </w:r>
      <w:r w:rsidR="00A84A17">
        <w:rPr>
          <w:color w:val="000000"/>
          <w:lang w:val="fr-FR"/>
        </w:rPr>
        <w:t xml:space="preserve"> qu’ils pourraient acquérir</w:t>
      </w:r>
      <w:r>
        <w:rPr>
          <w:color w:val="000000"/>
          <w:lang w:val="fr-FR"/>
        </w:rPr>
        <w:t xml:space="preserve"> à </w:t>
      </w:r>
      <w:r w:rsidR="00C3767D">
        <w:rPr>
          <w:color w:val="000000"/>
          <w:lang w:val="fr-FR"/>
        </w:rPr>
        <w:t>l’avenir</w:t>
      </w:r>
      <w:r>
        <w:rPr>
          <w:color w:val="000000"/>
          <w:lang w:val="fr-FR"/>
        </w:rPr>
        <w:t>,</w:t>
      </w:r>
    </w:p>
    <w:p w14:paraId="4657930A" w14:textId="653CA101" w:rsidR="00EA5361" w:rsidRPr="005D7B46" w:rsidRDefault="005D7B46" w:rsidP="005D7B46">
      <w:pPr>
        <w:spacing w:before="120" w:after="120"/>
        <w:ind w:left="567" w:firstLine="562"/>
        <w:rPr>
          <w:color w:val="000000"/>
          <w:lang w:val="fr-FR"/>
        </w:rPr>
      </w:pPr>
      <w:r>
        <w:rPr>
          <w:rFonts w:asciiTheme="majorBidi" w:eastAsiaTheme="minorEastAsia" w:hAnsiTheme="majorBidi" w:cstheme="majorBidi"/>
          <w:i/>
          <w:iCs/>
          <w:kern w:val="2"/>
          <w:szCs w:val="22"/>
          <w:lang w:val="fr-FR" w:eastAsia="zh-CN"/>
          <w14:ligatures w14:val="standardContextual"/>
        </w:rPr>
        <w:t xml:space="preserve">Ayant examiné </w:t>
      </w:r>
      <w:r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>la note du Secrétariat</w:t>
      </w:r>
      <w:r w:rsidR="00373927" w:rsidRPr="00C7693C">
        <w:rPr>
          <w:rFonts w:asciiTheme="majorBidi" w:eastAsiaTheme="minorEastAsia" w:hAnsiTheme="majorBidi" w:cstheme="majorBidi"/>
          <w:kern w:val="2"/>
          <w:szCs w:val="22"/>
          <w:vertAlign w:val="superscript"/>
          <w:lang w:val="fr-FR" w:eastAsia="zh-CN"/>
          <w14:ligatures w14:val="standardContextual"/>
        </w:rPr>
        <w:footnoteReference w:id="4"/>
      </w:r>
      <w:r w:rsidR="001D5BB3"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 xml:space="preserve"> </w:t>
      </w:r>
      <w:r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sur les recommandations de l</w:t>
      </w:r>
      <w:r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’</w:t>
      </w:r>
      <w:r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Instance permanente sur les questions autochtones concernant la Convention sur la diversité biologique</w:t>
      </w:r>
      <w:r w:rsidR="00373927" w:rsidRPr="00C7693C">
        <w:rPr>
          <w:rStyle w:val="FootnoteReference"/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footnoteReference w:id="5"/>
      </w:r>
      <w:r w:rsidR="00C3767D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,</w:t>
      </w:r>
    </w:p>
    <w:p w14:paraId="28B0B0F7" w14:textId="34DB3320" w:rsidR="00EA5361" w:rsidRPr="005D7B46" w:rsidRDefault="00EA5361" w:rsidP="002351F6">
      <w:pPr>
        <w:tabs>
          <w:tab w:val="left" w:pos="1701"/>
        </w:tabs>
        <w:spacing w:before="120" w:after="120"/>
        <w:ind w:left="567" w:firstLine="567"/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</w:pPr>
      <w:r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lastRenderedPageBreak/>
        <w:t>1.</w:t>
      </w:r>
      <w:r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ab/>
      </w:r>
      <w:r w:rsidR="005D7B46" w:rsidRPr="00506218">
        <w:rPr>
          <w:rFonts w:asciiTheme="majorBidi" w:eastAsiaTheme="minorEastAsia" w:hAnsiTheme="majorBidi" w:cstheme="majorBidi"/>
          <w:i/>
          <w:noProof/>
          <w:kern w:val="2"/>
          <w:szCs w:val="22"/>
          <w:lang w:val="fr-CA" w:eastAsia="zh-CN"/>
        </w:rPr>
        <w:t xml:space="preserve">Prend note </w:t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 xml:space="preserve">des observations et 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 xml:space="preserve">des </w:t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recommandations émanant des vingtième, vingt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noBreakHyphen/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et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noBreakHyphen/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unième et vingt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noBreakHyphen/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deuxième sessions de l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’</w:t>
      </w:r>
      <w:r w:rsidR="005D7B4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Instance permanente sur les questions autochtones</w:t>
      </w:r>
      <w:r w:rsidR="005D7B4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;</w:t>
      </w:r>
    </w:p>
    <w:p w14:paraId="06E9878C" w14:textId="5D761695" w:rsidR="00537248" w:rsidRPr="00C7693C" w:rsidRDefault="00EA5361" w:rsidP="002351F6">
      <w:pPr>
        <w:tabs>
          <w:tab w:val="left" w:pos="1701"/>
        </w:tabs>
        <w:spacing w:before="120" w:after="120"/>
        <w:ind w:left="567" w:firstLine="567"/>
        <w:rPr>
          <w:rFonts w:eastAsiaTheme="minorEastAsia"/>
          <w:kern w:val="2"/>
          <w:szCs w:val="22"/>
          <w:lang w:val="fr-FR" w:eastAsia="zh-CN"/>
          <w14:ligatures w14:val="standardContextual"/>
        </w:rPr>
      </w:pPr>
      <w:r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>2.</w:t>
      </w:r>
      <w:r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ab/>
      </w:r>
      <w:r w:rsidR="002351F6" w:rsidRPr="00506218">
        <w:rPr>
          <w:rFonts w:asciiTheme="majorBidi" w:eastAsiaTheme="minorEastAsia" w:hAnsiTheme="majorBidi" w:cstheme="majorBidi"/>
          <w:i/>
          <w:noProof/>
          <w:kern w:val="2"/>
          <w:szCs w:val="22"/>
          <w:lang w:val="fr-CA" w:eastAsia="zh-CN"/>
        </w:rPr>
        <w:t xml:space="preserve">Demande </w:t>
      </w:r>
      <w:r w:rsidR="002351F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au Secrétariat de continuer d</w:t>
      </w:r>
      <w:r w:rsidR="002351F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informer l</w:t>
      </w:r>
      <w:r w:rsidR="002351F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Instance permanente</w:t>
      </w:r>
      <w:r w:rsidR="002351F6" w:rsidRPr="00C7693C">
        <w:rPr>
          <w:rFonts w:asciiTheme="majorBidi" w:eastAsiaTheme="minorEastAsia" w:hAnsiTheme="majorBidi" w:cstheme="majorBidi"/>
          <w:i/>
          <w:iCs/>
          <w:kern w:val="2"/>
          <w:szCs w:val="22"/>
          <w:lang w:val="fr-FR" w:eastAsia="zh-CN"/>
          <w14:ligatures w14:val="standardContextual"/>
        </w:rPr>
        <w:t xml:space="preserve"> </w:t>
      </w:r>
      <w:r w:rsidR="002351F6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 xml:space="preserve">sur les questions autochtones </w:t>
      </w:r>
      <w:r w:rsidR="00A84A17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 xml:space="preserve">au sujet des </w:t>
      </w:r>
      <w:r w:rsidR="002351F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développements d</w:t>
      </w:r>
      <w:r w:rsidR="002351F6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noProof/>
          <w:kern w:val="2"/>
          <w:szCs w:val="22"/>
          <w:lang w:val="fr-CA" w:eastAsia="zh-CN"/>
        </w:rPr>
        <w:t>intérêt commun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, et de communiquer à l</w:t>
      </w:r>
      <w:r w:rsidR="002351F6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 xml:space="preserve">Instance </w:t>
      </w:r>
      <w:r w:rsidR="00344BFB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d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es informations concernant les activités entreprises au titre de la</w:t>
      </w:r>
      <w:r w:rsidR="002351F6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 xml:space="preserve"> </w:t>
      </w:r>
      <w:r w:rsidRPr="00C7693C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>Convention</w:t>
      </w:r>
      <w:r w:rsidR="002351F6">
        <w:rPr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t xml:space="preserve"> relatives aux observations et aux recommandations de l’Instance, 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conformément au plan d</w:t>
      </w:r>
      <w:r w:rsidR="002351F6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action à l</w:t>
      </w:r>
      <w:r w:rsidR="002351F6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’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échelle du système</w:t>
      </w:r>
      <w:r w:rsidR="00A84A17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 xml:space="preserve"> des Nations Unies pour 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assurer une appr</w:t>
      </w:r>
      <w:r w:rsidR="00A84A17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 xml:space="preserve">oche cohérente dans la réalisation des </w:t>
      </w:r>
      <w:r w:rsidR="002351F6" w:rsidRPr="00506218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objectifs de la Déclaration des Nations Unies sur les droits des peuples autochtones</w:t>
      </w:r>
      <w:r w:rsidR="00002178" w:rsidRPr="00C7693C">
        <w:rPr>
          <w:rStyle w:val="FootnoteReference"/>
          <w:rFonts w:asciiTheme="majorBidi" w:eastAsiaTheme="minorEastAsia" w:hAnsiTheme="majorBidi" w:cstheme="majorBidi"/>
          <w:kern w:val="2"/>
          <w:szCs w:val="22"/>
          <w:lang w:val="fr-FR" w:eastAsia="zh-CN"/>
          <w14:ligatures w14:val="standardContextual"/>
        </w:rPr>
        <w:footnoteReference w:id="6"/>
      </w:r>
      <w:r w:rsidR="002351F6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.</w:t>
      </w:r>
      <w:r w:rsidR="00811066">
        <w:rPr>
          <w:rFonts w:asciiTheme="majorBidi" w:eastAsiaTheme="minorEastAsia" w:hAnsiTheme="majorBidi" w:cstheme="majorBidi"/>
          <w:iCs/>
          <w:kern w:val="2"/>
          <w:szCs w:val="22"/>
          <w:lang w:val="fr-CA" w:eastAsia="zh-CN"/>
        </w:rPr>
        <w:t>]</w:t>
      </w:r>
    </w:p>
    <w:p w14:paraId="4801B849" w14:textId="77777777" w:rsidR="002B559C" w:rsidRPr="00C7693C" w:rsidRDefault="00ED3849" w:rsidP="00F82154">
      <w:pPr>
        <w:pStyle w:val="Para1"/>
        <w:numPr>
          <w:ilvl w:val="0"/>
          <w:numId w:val="0"/>
        </w:numPr>
        <w:ind w:left="567"/>
        <w:jc w:val="center"/>
        <w:rPr>
          <w:lang w:val="fr-FR"/>
        </w:rPr>
      </w:pPr>
      <w:r w:rsidRPr="00C7693C">
        <w:rPr>
          <w:lang w:val="fr-FR"/>
        </w:rPr>
        <w:t>__________</w:t>
      </w:r>
    </w:p>
    <w:sectPr w:rsidR="002B559C" w:rsidRPr="00C7693C" w:rsidSect="00EA1B25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B8876" w14:textId="77777777" w:rsidR="00AA44E8" w:rsidRDefault="00AA44E8" w:rsidP="00A96B21">
      <w:r>
        <w:separator/>
      </w:r>
    </w:p>
  </w:endnote>
  <w:endnote w:type="continuationSeparator" w:id="0">
    <w:p w14:paraId="378832F5" w14:textId="77777777" w:rsidR="00AA44E8" w:rsidRDefault="00AA44E8" w:rsidP="00A96B21">
      <w:r>
        <w:continuationSeparator/>
      </w:r>
    </w:p>
  </w:endnote>
  <w:endnote w:type="continuationNotice" w:id="1">
    <w:p w14:paraId="4D2B3959" w14:textId="77777777" w:rsidR="00AA44E8" w:rsidRDefault="00AA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09825E" w14:textId="77777777" w:rsidR="002B559C" w:rsidRDefault="002B559C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551996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551996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8201E" w14:textId="77777777" w:rsidR="002B559C" w:rsidRDefault="002B559C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AB3D" w14:textId="77777777" w:rsidR="00AA44E8" w:rsidRDefault="00AA44E8" w:rsidP="00A96B21">
      <w:r>
        <w:separator/>
      </w:r>
    </w:p>
  </w:footnote>
  <w:footnote w:type="continuationSeparator" w:id="0">
    <w:p w14:paraId="415BCA94" w14:textId="77777777" w:rsidR="00AA44E8" w:rsidRDefault="00AA44E8" w:rsidP="00A96B21">
      <w:r>
        <w:continuationSeparator/>
      </w:r>
    </w:p>
  </w:footnote>
  <w:footnote w:type="continuationNotice" w:id="1">
    <w:p w14:paraId="764343A8" w14:textId="77777777" w:rsidR="00AA44E8" w:rsidRDefault="00AA44E8"/>
  </w:footnote>
  <w:footnote w:id="2">
    <w:p w14:paraId="364472B6" w14:textId="6F2B5415" w:rsidR="00A90BF2" w:rsidRPr="00A84A17" w:rsidRDefault="00A90BF2">
      <w:pPr>
        <w:pStyle w:val="FootnoteText"/>
        <w:rPr>
          <w:sz w:val="18"/>
          <w:szCs w:val="18"/>
          <w:lang w:val="fr-FR"/>
        </w:rPr>
      </w:pPr>
      <w:r w:rsidRPr="00551996">
        <w:rPr>
          <w:rStyle w:val="FootnoteReference"/>
        </w:rPr>
        <w:footnoteRef/>
      </w:r>
      <w:r w:rsidRPr="00A84A17">
        <w:rPr>
          <w:sz w:val="18"/>
          <w:szCs w:val="18"/>
          <w:lang w:val="fr-CA"/>
        </w:rPr>
        <w:t xml:space="preserve"> </w:t>
      </w:r>
      <w:r w:rsidRPr="00A84A17">
        <w:rPr>
          <w:sz w:val="18"/>
          <w:szCs w:val="18"/>
          <w:lang w:val="fr-FR"/>
        </w:rPr>
        <w:t>D</w:t>
      </w:r>
      <w:r w:rsidR="006734D2" w:rsidRPr="00A84A17">
        <w:rPr>
          <w:sz w:val="18"/>
          <w:szCs w:val="18"/>
          <w:lang w:val="fr-FR"/>
        </w:rPr>
        <w:t>é</w:t>
      </w:r>
      <w:r w:rsidRPr="00A84A17">
        <w:rPr>
          <w:sz w:val="18"/>
          <w:szCs w:val="18"/>
          <w:lang w:val="fr-FR"/>
        </w:rPr>
        <w:t>cision</w:t>
      </w:r>
      <w:r w:rsidR="006734D2" w:rsidRPr="00A84A17">
        <w:rPr>
          <w:sz w:val="18"/>
          <w:szCs w:val="18"/>
          <w:lang w:val="fr-FR"/>
        </w:rPr>
        <w:t> </w:t>
      </w:r>
      <w:r w:rsidRPr="00A84A17">
        <w:rPr>
          <w:sz w:val="18"/>
          <w:szCs w:val="18"/>
          <w:lang w:val="fr-FR"/>
        </w:rPr>
        <w:t>15/4, annex</w:t>
      </w:r>
      <w:r w:rsidR="006734D2" w:rsidRPr="00A84A17">
        <w:rPr>
          <w:sz w:val="18"/>
          <w:szCs w:val="18"/>
          <w:lang w:val="fr-FR"/>
        </w:rPr>
        <w:t>e</w:t>
      </w:r>
      <w:r w:rsidRPr="00A84A17">
        <w:rPr>
          <w:sz w:val="18"/>
          <w:szCs w:val="18"/>
          <w:lang w:val="fr-FR"/>
        </w:rPr>
        <w:t>.</w:t>
      </w:r>
    </w:p>
  </w:footnote>
  <w:footnote w:id="3">
    <w:p w14:paraId="281533E1" w14:textId="1856549A" w:rsidR="00871E22" w:rsidRPr="00A84A17" w:rsidRDefault="00871E22">
      <w:pPr>
        <w:pStyle w:val="FootnoteText"/>
        <w:rPr>
          <w:sz w:val="18"/>
          <w:szCs w:val="18"/>
          <w:lang w:val="fr-FR"/>
        </w:rPr>
      </w:pPr>
      <w:r w:rsidRPr="00551996">
        <w:rPr>
          <w:rStyle w:val="FootnoteReference"/>
          <w:lang w:val="fr-FR"/>
        </w:rPr>
        <w:footnoteRef/>
      </w:r>
      <w:r w:rsidRPr="00A84A17">
        <w:rPr>
          <w:sz w:val="18"/>
          <w:szCs w:val="18"/>
          <w:lang w:val="fr-FR"/>
        </w:rPr>
        <w:t xml:space="preserve"> </w:t>
      </w:r>
      <w:r w:rsidR="006734D2" w:rsidRPr="00A84A17">
        <w:rPr>
          <w:sz w:val="18"/>
          <w:szCs w:val="18"/>
          <w:lang w:val="fr-FR"/>
        </w:rPr>
        <w:t>Résolution </w:t>
      </w:r>
      <w:r w:rsidR="006734D2" w:rsidRPr="00A84A17">
        <w:rPr>
          <w:bCs/>
          <w:color w:val="000000"/>
          <w:sz w:val="18"/>
          <w:szCs w:val="18"/>
          <w:lang w:val="fr-FR"/>
        </w:rPr>
        <w:t xml:space="preserve">61/295 </w:t>
      </w:r>
      <w:r w:rsidR="006734D2" w:rsidRPr="00A84A17">
        <w:rPr>
          <w:sz w:val="18"/>
          <w:szCs w:val="18"/>
          <w:lang w:val="fr-FR"/>
        </w:rPr>
        <w:t>de l’Assemblée générale</w:t>
      </w:r>
      <w:r w:rsidRPr="00A84A17">
        <w:rPr>
          <w:bCs/>
          <w:color w:val="000000"/>
          <w:sz w:val="18"/>
          <w:szCs w:val="18"/>
          <w:lang w:val="fr-FR"/>
        </w:rPr>
        <w:t>, annex</w:t>
      </w:r>
      <w:r w:rsidR="006734D2" w:rsidRPr="00A84A17">
        <w:rPr>
          <w:bCs/>
          <w:color w:val="000000"/>
          <w:sz w:val="18"/>
          <w:szCs w:val="18"/>
          <w:lang w:val="fr-FR"/>
        </w:rPr>
        <w:t>e</w:t>
      </w:r>
      <w:r w:rsidRPr="00A84A17">
        <w:rPr>
          <w:bCs/>
          <w:color w:val="000000"/>
          <w:sz w:val="18"/>
          <w:szCs w:val="18"/>
          <w:lang w:val="fr-FR"/>
        </w:rPr>
        <w:t>.</w:t>
      </w:r>
    </w:p>
  </w:footnote>
  <w:footnote w:id="4">
    <w:p w14:paraId="149B01EB" w14:textId="77777777" w:rsidR="00373927" w:rsidRPr="00A84A17" w:rsidRDefault="00373927" w:rsidP="00373927">
      <w:pPr>
        <w:pStyle w:val="FootnoteText"/>
        <w:rPr>
          <w:rFonts w:asciiTheme="majorBidi" w:hAnsiTheme="majorBidi" w:cstheme="majorBidi"/>
          <w:sz w:val="18"/>
          <w:szCs w:val="18"/>
          <w:lang w:val="fr-FR"/>
        </w:rPr>
      </w:pPr>
      <w:r w:rsidRPr="00551996">
        <w:rPr>
          <w:rStyle w:val="FootnoteReference"/>
          <w:rFonts w:asciiTheme="majorBidi" w:hAnsiTheme="majorBidi" w:cstheme="majorBidi"/>
          <w:lang w:val="fr-FR"/>
        </w:rPr>
        <w:footnoteRef/>
      </w:r>
      <w:r w:rsidRPr="00A84A17">
        <w:rPr>
          <w:rFonts w:asciiTheme="majorBidi" w:hAnsiTheme="majorBidi" w:cstheme="majorBidi"/>
          <w:sz w:val="18"/>
          <w:szCs w:val="18"/>
          <w:lang w:val="fr-FR"/>
        </w:rPr>
        <w:t xml:space="preserve"> CBD/WG8J/12/7.</w:t>
      </w:r>
    </w:p>
  </w:footnote>
  <w:footnote w:id="5">
    <w:p w14:paraId="74370C64" w14:textId="68B9A426" w:rsidR="00373927" w:rsidRPr="006734D2" w:rsidRDefault="00373927" w:rsidP="00373927">
      <w:pPr>
        <w:pStyle w:val="FootnoteText"/>
        <w:rPr>
          <w:lang w:val="fr-FR"/>
        </w:rPr>
      </w:pPr>
      <w:r w:rsidRPr="00551996">
        <w:rPr>
          <w:rStyle w:val="FootnoteReference"/>
          <w:lang w:val="fr-FR"/>
        </w:rPr>
        <w:footnoteRef/>
      </w:r>
      <w:r w:rsidRPr="00A84A17">
        <w:rPr>
          <w:sz w:val="18"/>
          <w:szCs w:val="18"/>
          <w:lang w:val="fr-FR"/>
        </w:rPr>
        <w:t xml:space="preserve"> </w:t>
      </w:r>
      <w:r w:rsidR="000E4D17" w:rsidRPr="00A84A17">
        <w:rPr>
          <w:color w:val="000000"/>
          <w:sz w:val="18"/>
          <w:szCs w:val="18"/>
          <w:lang w:val="fr-FR"/>
        </w:rPr>
        <w:t xml:space="preserve">Nations Unies, </w:t>
      </w:r>
      <w:r w:rsidR="000E4D17" w:rsidRPr="00A84A17">
        <w:rPr>
          <w:i/>
          <w:iCs/>
          <w:color w:val="000000"/>
          <w:sz w:val="18"/>
          <w:szCs w:val="18"/>
          <w:lang w:val="fr-FR"/>
        </w:rPr>
        <w:t>Recueil des Traités</w:t>
      </w:r>
      <w:r w:rsidR="00A84A17">
        <w:rPr>
          <w:color w:val="000000"/>
          <w:sz w:val="18"/>
          <w:szCs w:val="18"/>
          <w:lang w:val="fr-FR"/>
        </w:rPr>
        <w:t>, vol. 1760, No.</w:t>
      </w:r>
      <w:r w:rsidR="000E4D17" w:rsidRPr="00A84A17">
        <w:rPr>
          <w:color w:val="000000"/>
          <w:sz w:val="18"/>
          <w:szCs w:val="18"/>
          <w:lang w:val="fr-FR"/>
        </w:rPr>
        <w:t>30619.</w:t>
      </w:r>
    </w:p>
  </w:footnote>
  <w:footnote w:id="6">
    <w:p w14:paraId="471E28DB" w14:textId="1A01D423" w:rsidR="00002178" w:rsidRPr="00F82154" w:rsidRDefault="00002178" w:rsidP="00F82154">
      <w:pPr>
        <w:pStyle w:val="FootnoteText"/>
        <w:jc w:val="left"/>
        <w:rPr>
          <w:lang w:val="es-ES"/>
        </w:rPr>
      </w:pPr>
      <w:r w:rsidRPr="004D1A94">
        <w:rPr>
          <w:rStyle w:val="FootnoteReference"/>
        </w:rPr>
        <w:footnoteRef/>
      </w:r>
      <w:r w:rsidRPr="00F82154">
        <w:rPr>
          <w:lang w:val="es-ES"/>
        </w:rPr>
        <w:t xml:space="preserve"> </w:t>
      </w:r>
      <w:hyperlink r:id="rId1" w:history="1">
        <w:r w:rsidR="00787FA9" w:rsidRPr="00F82154">
          <w:rPr>
            <w:rStyle w:val="Hyperlink"/>
            <w:sz w:val="18"/>
            <w:szCs w:val="18"/>
            <w:lang w:val="es-ES"/>
          </w:rPr>
          <w:t>E/C.19/2016/5</w:t>
        </w:r>
      </w:hyperlink>
      <w:r w:rsidR="00862343" w:rsidRPr="00F82154">
        <w:rPr>
          <w:sz w:val="18"/>
          <w:szCs w:val="18"/>
          <w:lang w:val="es-ES"/>
        </w:rPr>
        <w:t xml:space="preserve"> </w:t>
      </w:r>
      <w:r w:rsidR="008D56EC">
        <w:rPr>
          <w:sz w:val="18"/>
          <w:szCs w:val="18"/>
          <w:lang w:val="es-ES"/>
        </w:rPr>
        <w:t>et</w:t>
      </w:r>
      <w:r w:rsidR="00862343" w:rsidRPr="00F82154">
        <w:rPr>
          <w:sz w:val="18"/>
          <w:szCs w:val="18"/>
          <w:lang w:val="es-ES"/>
        </w:rPr>
        <w:t xml:space="preserve"> </w:t>
      </w:r>
      <w:hyperlink r:id="rId2" w:history="1">
        <w:r w:rsidR="000E4D17" w:rsidRPr="00FC44D7">
          <w:rPr>
            <w:rStyle w:val="Hyperlink"/>
            <w:sz w:val="18"/>
            <w:szCs w:val="18"/>
            <w:lang w:val="es-ES"/>
          </w:rPr>
          <w:t>E/C.19/2016/5/</w:t>
        </w:r>
        <w:r w:rsidR="00862343" w:rsidRPr="00FC44D7">
          <w:rPr>
            <w:rStyle w:val="Hyperlink"/>
            <w:sz w:val="18"/>
            <w:szCs w:val="18"/>
            <w:lang w:val="es-ES"/>
          </w:rPr>
          <w:t>Corr.1</w:t>
        </w:r>
      </w:hyperlink>
      <w:r w:rsidR="000C3F52" w:rsidRPr="00F82154">
        <w:rPr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137802784"/>
  <w:bookmarkStart w:id="3" w:name="_Hlk137802785"/>
  <w:p w14:paraId="22E5D1DF" w14:textId="101E85BB" w:rsidR="002B559C" w:rsidRPr="002B559C" w:rsidRDefault="00AA44E8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13B5">
          <w:rPr>
            <w:sz w:val="20"/>
            <w:szCs w:val="20"/>
            <w:lang w:val="fr-FR"/>
          </w:rPr>
          <w:t>CBD/WG8J/</w:t>
        </w:r>
        <w:r w:rsidR="00A84A17">
          <w:rPr>
            <w:sz w:val="20"/>
            <w:szCs w:val="20"/>
            <w:lang w:val="fr-FR"/>
          </w:rPr>
          <w:t>REC/</w:t>
        </w:r>
        <w:r w:rsidR="00EB13B5">
          <w:rPr>
            <w:sz w:val="20"/>
            <w:szCs w:val="20"/>
            <w:lang w:val="fr-FR"/>
          </w:rPr>
          <w:t>12/</w:t>
        </w:r>
        <w:r w:rsidR="00811066">
          <w:rPr>
            <w:sz w:val="20"/>
            <w:szCs w:val="20"/>
            <w:lang w:val="fr-FR"/>
          </w:rPr>
          <w:t>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57068A11" w14:textId="5B082B28" w:rsidR="002B559C" w:rsidRPr="00F82154" w:rsidRDefault="00A84A17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CBD/WG8J/REC/12/5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64BB7"/>
    <w:multiLevelType w:val="hybridMultilevel"/>
    <w:tmpl w:val="0F88185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20ACD"/>
    <w:multiLevelType w:val="hybridMultilevel"/>
    <w:tmpl w:val="312E1F20"/>
    <w:lvl w:ilvl="0" w:tplc="A5FEA2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69C1"/>
    <w:multiLevelType w:val="hybridMultilevel"/>
    <w:tmpl w:val="E15070AE"/>
    <w:lvl w:ilvl="0" w:tplc="58D0A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4A8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20A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98A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04D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6A1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F8C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6AEC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928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8B70991"/>
    <w:multiLevelType w:val="hybridMultilevel"/>
    <w:tmpl w:val="B68E05C0"/>
    <w:lvl w:ilvl="0" w:tplc="E48A3268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0205B"/>
    <w:multiLevelType w:val="hybridMultilevel"/>
    <w:tmpl w:val="EF24DD64"/>
    <w:lvl w:ilvl="0" w:tplc="D75EB3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1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MTIyNDSzNDW1NLJU0lEKTi0uzszPAykwrQUApF2vDiwAAAA="/>
  </w:docVars>
  <w:rsids>
    <w:rsidRoot w:val="00EA5361"/>
    <w:rsid w:val="00000FD7"/>
    <w:rsid w:val="00001A17"/>
    <w:rsid w:val="00002178"/>
    <w:rsid w:val="00005E67"/>
    <w:rsid w:val="00007CE8"/>
    <w:rsid w:val="000137E1"/>
    <w:rsid w:val="00016290"/>
    <w:rsid w:val="00040598"/>
    <w:rsid w:val="00042123"/>
    <w:rsid w:val="00042CEC"/>
    <w:rsid w:val="0004356F"/>
    <w:rsid w:val="000473A5"/>
    <w:rsid w:val="000473D7"/>
    <w:rsid w:val="0005497C"/>
    <w:rsid w:val="000653DC"/>
    <w:rsid w:val="00066E66"/>
    <w:rsid w:val="00067BB5"/>
    <w:rsid w:val="00071638"/>
    <w:rsid w:val="00071C81"/>
    <w:rsid w:val="00071E37"/>
    <w:rsid w:val="00073DD4"/>
    <w:rsid w:val="000749E1"/>
    <w:rsid w:val="00081DB7"/>
    <w:rsid w:val="0008206A"/>
    <w:rsid w:val="00083370"/>
    <w:rsid w:val="0008428B"/>
    <w:rsid w:val="00087833"/>
    <w:rsid w:val="00093A01"/>
    <w:rsid w:val="00096C71"/>
    <w:rsid w:val="000A15CB"/>
    <w:rsid w:val="000A5CED"/>
    <w:rsid w:val="000B16FC"/>
    <w:rsid w:val="000B5268"/>
    <w:rsid w:val="000B7E26"/>
    <w:rsid w:val="000C1F11"/>
    <w:rsid w:val="000C3F52"/>
    <w:rsid w:val="000D2746"/>
    <w:rsid w:val="000D6DDF"/>
    <w:rsid w:val="000D7471"/>
    <w:rsid w:val="000D77D5"/>
    <w:rsid w:val="000E0CA5"/>
    <w:rsid w:val="000E2B38"/>
    <w:rsid w:val="000E4D17"/>
    <w:rsid w:val="000E5478"/>
    <w:rsid w:val="000E6117"/>
    <w:rsid w:val="000F4538"/>
    <w:rsid w:val="000F67D5"/>
    <w:rsid w:val="000F6DF9"/>
    <w:rsid w:val="00100FF2"/>
    <w:rsid w:val="00101DD6"/>
    <w:rsid w:val="00106D18"/>
    <w:rsid w:val="001078DF"/>
    <w:rsid w:val="00111D5A"/>
    <w:rsid w:val="001137A2"/>
    <w:rsid w:val="001269AC"/>
    <w:rsid w:val="00126D26"/>
    <w:rsid w:val="00130611"/>
    <w:rsid w:val="0013177F"/>
    <w:rsid w:val="00132581"/>
    <w:rsid w:val="00135105"/>
    <w:rsid w:val="001427E4"/>
    <w:rsid w:val="00147C85"/>
    <w:rsid w:val="00150018"/>
    <w:rsid w:val="00152672"/>
    <w:rsid w:val="00156B7E"/>
    <w:rsid w:val="00162A88"/>
    <w:rsid w:val="00164F28"/>
    <w:rsid w:val="0016559D"/>
    <w:rsid w:val="00167794"/>
    <w:rsid w:val="00172FB5"/>
    <w:rsid w:val="00180575"/>
    <w:rsid w:val="00182D9E"/>
    <w:rsid w:val="00184909"/>
    <w:rsid w:val="00186E71"/>
    <w:rsid w:val="001A22E3"/>
    <w:rsid w:val="001A3971"/>
    <w:rsid w:val="001B1D37"/>
    <w:rsid w:val="001B6865"/>
    <w:rsid w:val="001C1B34"/>
    <w:rsid w:val="001D0885"/>
    <w:rsid w:val="001D3A04"/>
    <w:rsid w:val="001D4A3C"/>
    <w:rsid w:val="001D5BB3"/>
    <w:rsid w:val="001D7D4C"/>
    <w:rsid w:val="001E6A72"/>
    <w:rsid w:val="001F622C"/>
    <w:rsid w:val="00201AF2"/>
    <w:rsid w:val="00204558"/>
    <w:rsid w:val="002148C1"/>
    <w:rsid w:val="002168F8"/>
    <w:rsid w:val="0023226D"/>
    <w:rsid w:val="002351F6"/>
    <w:rsid w:val="002362D0"/>
    <w:rsid w:val="00237EAD"/>
    <w:rsid w:val="00240A25"/>
    <w:rsid w:val="00251D25"/>
    <w:rsid w:val="00254528"/>
    <w:rsid w:val="00254AD7"/>
    <w:rsid w:val="00261305"/>
    <w:rsid w:val="00270216"/>
    <w:rsid w:val="00274817"/>
    <w:rsid w:val="002768A2"/>
    <w:rsid w:val="002771CF"/>
    <w:rsid w:val="002817CE"/>
    <w:rsid w:val="00286980"/>
    <w:rsid w:val="0029015B"/>
    <w:rsid w:val="0029648B"/>
    <w:rsid w:val="002A3109"/>
    <w:rsid w:val="002A4699"/>
    <w:rsid w:val="002A4D12"/>
    <w:rsid w:val="002B00CA"/>
    <w:rsid w:val="002B0113"/>
    <w:rsid w:val="002B1666"/>
    <w:rsid w:val="002B3F5D"/>
    <w:rsid w:val="002B5099"/>
    <w:rsid w:val="002B559C"/>
    <w:rsid w:val="002B7181"/>
    <w:rsid w:val="002B7A02"/>
    <w:rsid w:val="002C0F49"/>
    <w:rsid w:val="002C3B5B"/>
    <w:rsid w:val="002C3CDD"/>
    <w:rsid w:val="002D593D"/>
    <w:rsid w:val="002E76F3"/>
    <w:rsid w:val="002F47B8"/>
    <w:rsid w:val="002F507C"/>
    <w:rsid w:val="002F5CE4"/>
    <w:rsid w:val="003033E5"/>
    <w:rsid w:val="00305185"/>
    <w:rsid w:val="003056ED"/>
    <w:rsid w:val="003059BD"/>
    <w:rsid w:val="00310608"/>
    <w:rsid w:val="00310E1A"/>
    <w:rsid w:val="003118E6"/>
    <w:rsid w:val="00311E02"/>
    <w:rsid w:val="00312D16"/>
    <w:rsid w:val="0031450D"/>
    <w:rsid w:val="003216DF"/>
    <w:rsid w:val="00321DF5"/>
    <w:rsid w:val="0032248B"/>
    <w:rsid w:val="00323F22"/>
    <w:rsid w:val="003245A4"/>
    <w:rsid w:val="00330146"/>
    <w:rsid w:val="00333FE1"/>
    <w:rsid w:val="00335746"/>
    <w:rsid w:val="00337EAB"/>
    <w:rsid w:val="003431EB"/>
    <w:rsid w:val="003448FF"/>
    <w:rsid w:val="00344BFB"/>
    <w:rsid w:val="00346905"/>
    <w:rsid w:val="00346B9A"/>
    <w:rsid w:val="003476A9"/>
    <w:rsid w:val="00357D0F"/>
    <w:rsid w:val="00365936"/>
    <w:rsid w:val="00365D81"/>
    <w:rsid w:val="00373927"/>
    <w:rsid w:val="0037673F"/>
    <w:rsid w:val="0038058E"/>
    <w:rsid w:val="00387BD2"/>
    <w:rsid w:val="003968DB"/>
    <w:rsid w:val="003A53D3"/>
    <w:rsid w:val="003B56EB"/>
    <w:rsid w:val="003C1B0D"/>
    <w:rsid w:val="003C6F10"/>
    <w:rsid w:val="003D0C5E"/>
    <w:rsid w:val="003D10CF"/>
    <w:rsid w:val="003D54EC"/>
    <w:rsid w:val="003D6AB7"/>
    <w:rsid w:val="003F40B3"/>
    <w:rsid w:val="003F4E4A"/>
    <w:rsid w:val="00403145"/>
    <w:rsid w:val="00404129"/>
    <w:rsid w:val="0040581A"/>
    <w:rsid w:val="00412CF2"/>
    <w:rsid w:val="00414153"/>
    <w:rsid w:val="004208E7"/>
    <w:rsid w:val="00421E07"/>
    <w:rsid w:val="0042361C"/>
    <w:rsid w:val="0042519E"/>
    <w:rsid w:val="00425EFA"/>
    <w:rsid w:val="0043615C"/>
    <w:rsid w:val="004371F9"/>
    <w:rsid w:val="00446E5C"/>
    <w:rsid w:val="004479B4"/>
    <w:rsid w:val="00450BF7"/>
    <w:rsid w:val="00453C4B"/>
    <w:rsid w:val="00454260"/>
    <w:rsid w:val="00456CCA"/>
    <w:rsid w:val="00464FC7"/>
    <w:rsid w:val="004701EE"/>
    <w:rsid w:val="00471B50"/>
    <w:rsid w:val="00472D45"/>
    <w:rsid w:val="00475E4B"/>
    <w:rsid w:val="00483384"/>
    <w:rsid w:val="00484C6E"/>
    <w:rsid w:val="00487DC8"/>
    <w:rsid w:val="004931AC"/>
    <w:rsid w:val="004A15E5"/>
    <w:rsid w:val="004A2838"/>
    <w:rsid w:val="004A2A2D"/>
    <w:rsid w:val="004B67D2"/>
    <w:rsid w:val="004B7533"/>
    <w:rsid w:val="004C3AEF"/>
    <w:rsid w:val="004D1A94"/>
    <w:rsid w:val="004D67EE"/>
    <w:rsid w:val="004E0748"/>
    <w:rsid w:val="004E2243"/>
    <w:rsid w:val="004E3C6B"/>
    <w:rsid w:val="00506684"/>
    <w:rsid w:val="00521B28"/>
    <w:rsid w:val="005334C9"/>
    <w:rsid w:val="005352E9"/>
    <w:rsid w:val="005368DF"/>
    <w:rsid w:val="00537248"/>
    <w:rsid w:val="00547509"/>
    <w:rsid w:val="00551996"/>
    <w:rsid w:val="005547C4"/>
    <w:rsid w:val="005605B7"/>
    <w:rsid w:val="00560E66"/>
    <w:rsid w:val="005617F1"/>
    <w:rsid w:val="00564064"/>
    <w:rsid w:val="005759F7"/>
    <w:rsid w:val="005875F4"/>
    <w:rsid w:val="00594AF2"/>
    <w:rsid w:val="005A032D"/>
    <w:rsid w:val="005A206E"/>
    <w:rsid w:val="005A7C43"/>
    <w:rsid w:val="005B0D63"/>
    <w:rsid w:val="005B1462"/>
    <w:rsid w:val="005B1AC0"/>
    <w:rsid w:val="005B30C3"/>
    <w:rsid w:val="005B670F"/>
    <w:rsid w:val="005C01F3"/>
    <w:rsid w:val="005C0FC9"/>
    <w:rsid w:val="005C5DA0"/>
    <w:rsid w:val="005D1CA4"/>
    <w:rsid w:val="005D56CE"/>
    <w:rsid w:val="005D7B46"/>
    <w:rsid w:val="005E0A90"/>
    <w:rsid w:val="005E107D"/>
    <w:rsid w:val="005E2605"/>
    <w:rsid w:val="005E5D55"/>
    <w:rsid w:val="005E6155"/>
    <w:rsid w:val="00602043"/>
    <w:rsid w:val="006105AC"/>
    <w:rsid w:val="006115E2"/>
    <w:rsid w:val="00616D72"/>
    <w:rsid w:val="00617173"/>
    <w:rsid w:val="006213FA"/>
    <w:rsid w:val="00632E3C"/>
    <w:rsid w:val="00636B2D"/>
    <w:rsid w:val="00637067"/>
    <w:rsid w:val="006419E8"/>
    <w:rsid w:val="00642D0E"/>
    <w:rsid w:val="00656378"/>
    <w:rsid w:val="00657ED6"/>
    <w:rsid w:val="00662402"/>
    <w:rsid w:val="00666E15"/>
    <w:rsid w:val="00667478"/>
    <w:rsid w:val="006734D2"/>
    <w:rsid w:val="00673D57"/>
    <w:rsid w:val="00682E81"/>
    <w:rsid w:val="00683CAE"/>
    <w:rsid w:val="0068641F"/>
    <w:rsid w:val="006936B2"/>
    <w:rsid w:val="00696396"/>
    <w:rsid w:val="00696522"/>
    <w:rsid w:val="006A1328"/>
    <w:rsid w:val="006A140D"/>
    <w:rsid w:val="006A3100"/>
    <w:rsid w:val="006A711C"/>
    <w:rsid w:val="006A7B64"/>
    <w:rsid w:val="006B0F19"/>
    <w:rsid w:val="006B293D"/>
    <w:rsid w:val="006B683E"/>
    <w:rsid w:val="006C4D91"/>
    <w:rsid w:val="006C4FCD"/>
    <w:rsid w:val="006C6590"/>
    <w:rsid w:val="006D2152"/>
    <w:rsid w:val="006D3983"/>
    <w:rsid w:val="006E6B9E"/>
    <w:rsid w:val="006E7B73"/>
    <w:rsid w:val="00700F21"/>
    <w:rsid w:val="00703B12"/>
    <w:rsid w:val="0070487D"/>
    <w:rsid w:val="00706495"/>
    <w:rsid w:val="00710687"/>
    <w:rsid w:val="00710D8A"/>
    <w:rsid w:val="00713F13"/>
    <w:rsid w:val="00714BD9"/>
    <w:rsid w:val="00717926"/>
    <w:rsid w:val="00721682"/>
    <w:rsid w:val="007255EF"/>
    <w:rsid w:val="007265DF"/>
    <w:rsid w:val="00733E39"/>
    <w:rsid w:val="00747298"/>
    <w:rsid w:val="00753751"/>
    <w:rsid w:val="0077151A"/>
    <w:rsid w:val="007822EF"/>
    <w:rsid w:val="00787FA9"/>
    <w:rsid w:val="00791119"/>
    <w:rsid w:val="007935D4"/>
    <w:rsid w:val="007978E1"/>
    <w:rsid w:val="007A0D08"/>
    <w:rsid w:val="007A25C7"/>
    <w:rsid w:val="007B5762"/>
    <w:rsid w:val="007B585B"/>
    <w:rsid w:val="007B734A"/>
    <w:rsid w:val="007C0E79"/>
    <w:rsid w:val="007C3897"/>
    <w:rsid w:val="007C3E26"/>
    <w:rsid w:val="007C77BC"/>
    <w:rsid w:val="007D53C1"/>
    <w:rsid w:val="007E2488"/>
    <w:rsid w:val="007E701D"/>
    <w:rsid w:val="007F31BC"/>
    <w:rsid w:val="00800006"/>
    <w:rsid w:val="00805E2A"/>
    <w:rsid w:val="00807013"/>
    <w:rsid w:val="00811066"/>
    <w:rsid w:val="008320BE"/>
    <w:rsid w:val="00833C6D"/>
    <w:rsid w:val="00833D9A"/>
    <w:rsid w:val="008354C5"/>
    <w:rsid w:val="0083651B"/>
    <w:rsid w:val="00840AAA"/>
    <w:rsid w:val="00841874"/>
    <w:rsid w:val="00843ABA"/>
    <w:rsid w:val="00851AB6"/>
    <w:rsid w:val="00853389"/>
    <w:rsid w:val="0085407F"/>
    <w:rsid w:val="00861050"/>
    <w:rsid w:val="00862343"/>
    <w:rsid w:val="00871E22"/>
    <w:rsid w:val="00874115"/>
    <w:rsid w:val="00874541"/>
    <w:rsid w:val="008935AC"/>
    <w:rsid w:val="0089540D"/>
    <w:rsid w:val="00895B66"/>
    <w:rsid w:val="00896945"/>
    <w:rsid w:val="008A0CD9"/>
    <w:rsid w:val="008A2547"/>
    <w:rsid w:val="008A6981"/>
    <w:rsid w:val="008A7C25"/>
    <w:rsid w:val="008B4614"/>
    <w:rsid w:val="008B7C41"/>
    <w:rsid w:val="008C5AB4"/>
    <w:rsid w:val="008D2CCA"/>
    <w:rsid w:val="008D33FD"/>
    <w:rsid w:val="008D36C5"/>
    <w:rsid w:val="008D56EC"/>
    <w:rsid w:val="008E0581"/>
    <w:rsid w:val="008E40D7"/>
    <w:rsid w:val="008F5EE8"/>
    <w:rsid w:val="00901134"/>
    <w:rsid w:val="009019D4"/>
    <w:rsid w:val="00905F0E"/>
    <w:rsid w:val="00915086"/>
    <w:rsid w:val="0091703D"/>
    <w:rsid w:val="00932E48"/>
    <w:rsid w:val="0093406F"/>
    <w:rsid w:val="00935461"/>
    <w:rsid w:val="0094098C"/>
    <w:rsid w:val="00940FFE"/>
    <w:rsid w:val="00942878"/>
    <w:rsid w:val="00944D29"/>
    <w:rsid w:val="00945A72"/>
    <w:rsid w:val="009511EA"/>
    <w:rsid w:val="009529C9"/>
    <w:rsid w:val="00954564"/>
    <w:rsid w:val="0096019F"/>
    <w:rsid w:val="009727B1"/>
    <w:rsid w:val="00974846"/>
    <w:rsid w:val="009816A6"/>
    <w:rsid w:val="0098191E"/>
    <w:rsid w:val="009833FB"/>
    <w:rsid w:val="009834CD"/>
    <w:rsid w:val="00995DDC"/>
    <w:rsid w:val="009A5E29"/>
    <w:rsid w:val="009B05A8"/>
    <w:rsid w:val="009B25A2"/>
    <w:rsid w:val="009B551A"/>
    <w:rsid w:val="009C1114"/>
    <w:rsid w:val="009C1C45"/>
    <w:rsid w:val="009C4796"/>
    <w:rsid w:val="009C6EC2"/>
    <w:rsid w:val="009C7334"/>
    <w:rsid w:val="009D60EC"/>
    <w:rsid w:val="009E06BB"/>
    <w:rsid w:val="009E074D"/>
    <w:rsid w:val="009E62B5"/>
    <w:rsid w:val="009F07F4"/>
    <w:rsid w:val="009F4080"/>
    <w:rsid w:val="00A04B62"/>
    <w:rsid w:val="00A067A2"/>
    <w:rsid w:val="00A10ADB"/>
    <w:rsid w:val="00A12FE0"/>
    <w:rsid w:val="00A22640"/>
    <w:rsid w:val="00A23B80"/>
    <w:rsid w:val="00A254AD"/>
    <w:rsid w:val="00A321E9"/>
    <w:rsid w:val="00A46F51"/>
    <w:rsid w:val="00A52D2E"/>
    <w:rsid w:val="00A53E1B"/>
    <w:rsid w:val="00A54066"/>
    <w:rsid w:val="00A54FA0"/>
    <w:rsid w:val="00A614C8"/>
    <w:rsid w:val="00A625A2"/>
    <w:rsid w:val="00A62D59"/>
    <w:rsid w:val="00A663A0"/>
    <w:rsid w:val="00A66AC6"/>
    <w:rsid w:val="00A70E0D"/>
    <w:rsid w:val="00A72155"/>
    <w:rsid w:val="00A84A17"/>
    <w:rsid w:val="00A90B7F"/>
    <w:rsid w:val="00A90BF2"/>
    <w:rsid w:val="00A9679D"/>
    <w:rsid w:val="00A96B21"/>
    <w:rsid w:val="00A9778A"/>
    <w:rsid w:val="00AA1C77"/>
    <w:rsid w:val="00AA44E8"/>
    <w:rsid w:val="00AA624D"/>
    <w:rsid w:val="00AA6BA3"/>
    <w:rsid w:val="00AB33EF"/>
    <w:rsid w:val="00AB3825"/>
    <w:rsid w:val="00AC1234"/>
    <w:rsid w:val="00AD0D3F"/>
    <w:rsid w:val="00AD2E47"/>
    <w:rsid w:val="00AD5306"/>
    <w:rsid w:val="00AE0041"/>
    <w:rsid w:val="00AE1A95"/>
    <w:rsid w:val="00AE307A"/>
    <w:rsid w:val="00AE799D"/>
    <w:rsid w:val="00AF1188"/>
    <w:rsid w:val="00AF61CB"/>
    <w:rsid w:val="00AF63D6"/>
    <w:rsid w:val="00AF79A1"/>
    <w:rsid w:val="00B04745"/>
    <w:rsid w:val="00B048F0"/>
    <w:rsid w:val="00B158B7"/>
    <w:rsid w:val="00B26377"/>
    <w:rsid w:val="00B315A7"/>
    <w:rsid w:val="00B32CB6"/>
    <w:rsid w:val="00B33555"/>
    <w:rsid w:val="00B34A22"/>
    <w:rsid w:val="00B36EA9"/>
    <w:rsid w:val="00B37DF5"/>
    <w:rsid w:val="00B414AC"/>
    <w:rsid w:val="00B460E8"/>
    <w:rsid w:val="00B50063"/>
    <w:rsid w:val="00B553C9"/>
    <w:rsid w:val="00B6694A"/>
    <w:rsid w:val="00B72A4E"/>
    <w:rsid w:val="00B74D66"/>
    <w:rsid w:val="00B753E5"/>
    <w:rsid w:val="00B80021"/>
    <w:rsid w:val="00B80930"/>
    <w:rsid w:val="00B81212"/>
    <w:rsid w:val="00B824CE"/>
    <w:rsid w:val="00B829AA"/>
    <w:rsid w:val="00B82BC2"/>
    <w:rsid w:val="00B86989"/>
    <w:rsid w:val="00B95DE8"/>
    <w:rsid w:val="00BA0925"/>
    <w:rsid w:val="00BA2481"/>
    <w:rsid w:val="00BA6235"/>
    <w:rsid w:val="00BA7415"/>
    <w:rsid w:val="00BB48F7"/>
    <w:rsid w:val="00BB7D20"/>
    <w:rsid w:val="00BC05A8"/>
    <w:rsid w:val="00BC3F3B"/>
    <w:rsid w:val="00BC4927"/>
    <w:rsid w:val="00BD26BF"/>
    <w:rsid w:val="00BD5AA6"/>
    <w:rsid w:val="00BE06FF"/>
    <w:rsid w:val="00BE5A26"/>
    <w:rsid w:val="00BF39FD"/>
    <w:rsid w:val="00BF7871"/>
    <w:rsid w:val="00C120C5"/>
    <w:rsid w:val="00C1226D"/>
    <w:rsid w:val="00C230DA"/>
    <w:rsid w:val="00C2354A"/>
    <w:rsid w:val="00C237EC"/>
    <w:rsid w:val="00C35D6F"/>
    <w:rsid w:val="00C3767D"/>
    <w:rsid w:val="00C376A2"/>
    <w:rsid w:val="00C37E84"/>
    <w:rsid w:val="00C5033D"/>
    <w:rsid w:val="00C515C9"/>
    <w:rsid w:val="00C537FD"/>
    <w:rsid w:val="00C54320"/>
    <w:rsid w:val="00C568B2"/>
    <w:rsid w:val="00C672F2"/>
    <w:rsid w:val="00C70BBF"/>
    <w:rsid w:val="00C727EF"/>
    <w:rsid w:val="00C7693C"/>
    <w:rsid w:val="00C772C2"/>
    <w:rsid w:val="00C80C01"/>
    <w:rsid w:val="00C80E0F"/>
    <w:rsid w:val="00C91B50"/>
    <w:rsid w:val="00CA4164"/>
    <w:rsid w:val="00CA57C2"/>
    <w:rsid w:val="00CA62CC"/>
    <w:rsid w:val="00CB041E"/>
    <w:rsid w:val="00CB4DBA"/>
    <w:rsid w:val="00CB4DD1"/>
    <w:rsid w:val="00CC0CE9"/>
    <w:rsid w:val="00CC2B2C"/>
    <w:rsid w:val="00CE59EE"/>
    <w:rsid w:val="00CE7ABE"/>
    <w:rsid w:val="00CF1AD3"/>
    <w:rsid w:val="00CF1D8F"/>
    <w:rsid w:val="00CF70AB"/>
    <w:rsid w:val="00D00E05"/>
    <w:rsid w:val="00D02A12"/>
    <w:rsid w:val="00D0359D"/>
    <w:rsid w:val="00D0634A"/>
    <w:rsid w:val="00D14CD8"/>
    <w:rsid w:val="00D1696C"/>
    <w:rsid w:val="00D16CF7"/>
    <w:rsid w:val="00D25BA2"/>
    <w:rsid w:val="00D25EB7"/>
    <w:rsid w:val="00D3059B"/>
    <w:rsid w:val="00D314C9"/>
    <w:rsid w:val="00D3292D"/>
    <w:rsid w:val="00D36B7E"/>
    <w:rsid w:val="00D40C70"/>
    <w:rsid w:val="00D42F6E"/>
    <w:rsid w:val="00D47726"/>
    <w:rsid w:val="00D56C30"/>
    <w:rsid w:val="00D60046"/>
    <w:rsid w:val="00D619BE"/>
    <w:rsid w:val="00D63FEC"/>
    <w:rsid w:val="00D64A16"/>
    <w:rsid w:val="00D718AE"/>
    <w:rsid w:val="00D71FFB"/>
    <w:rsid w:val="00D76028"/>
    <w:rsid w:val="00D77525"/>
    <w:rsid w:val="00D809F7"/>
    <w:rsid w:val="00D95348"/>
    <w:rsid w:val="00DA07D0"/>
    <w:rsid w:val="00DA326C"/>
    <w:rsid w:val="00DA4666"/>
    <w:rsid w:val="00DB115B"/>
    <w:rsid w:val="00DB1CE5"/>
    <w:rsid w:val="00DB747D"/>
    <w:rsid w:val="00DB7801"/>
    <w:rsid w:val="00DB79B4"/>
    <w:rsid w:val="00DB7EA5"/>
    <w:rsid w:val="00DC1835"/>
    <w:rsid w:val="00DC5599"/>
    <w:rsid w:val="00DC7AB8"/>
    <w:rsid w:val="00DD0187"/>
    <w:rsid w:val="00DD3AC1"/>
    <w:rsid w:val="00DE01FD"/>
    <w:rsid w:val="00DE0907"/>
    <w:rsid w:val="00DE4227"/>
    <w:rsid w:val="00DE47A9"/>
    <w:rsid w:val="00E00D58"/>
    <w:rsid w:val="00E03547"/>
    <w:rsid w:val="00E03DF7"/>
    <w:rsid w:val="00E0749F"/>
    <w:rsid w:val="00E108CB"/>
    <w:rsid w:val="00E13128"/>
    <w:rsid w:val="00E14F11"/>
    <w:rsid w:val="00E1597C"/>
    <w:rsid w:val="00E20624"/>
    <w:rsid w:val="00E215E8"/>
    <w:rsid w:val="00E25FCA"/>
    <w:rsid w:val="00E26963"/>
    <w:rsid w:val="00E446BC"/>
    <w:rsid w:val="00E46731"/>
    <w:rsid w:val="00E530EA"/>
    <w:rsid w:val="00E54786"/>
    <w:rsid w:val="00E60F3B"/>
    <w:rsid w:val="00E64054"/>
    <w:rsid w:val="00E64142"/>
    <w:rsid w:val="00E64767"/>
    <w:rsid w:val="00E752A6"/>
    <w:rsid w:val="00E75530"/>
    <w:rsid w:val="00E756E1"/>
    <w:rsid w:val="00E80440"/>
    <w:rsid w:val="00E81EFE"/>
    <w:rsid w:val="00E82064"/>
    <w:rsid w:val="00E82EB4"/>
    <w:rsid w:val="00E8708D"/>
    <w:rsid w:val="00E9283B"/>
    <w:rsid w:val="00E97C8D"/>
    <w:rsid w:val="00EA1B25"/>
    <w:rsid w:val="00EA3F27"/>
    <w:rsid w:val="00EA5361"/>
    <w:rsid w:val="00EB13B5"/>
    <w:rsid w:val="00EB4088"/>
    <w:rsid w:val="00EB73C6"/>
    <w:rsid w:val="00EB7460"/>
    <w:rsid w:val="00EC2996"/>
    <w:rsid w:val="00EC43F0"/>
    <w:rsid w:val="00EC7830"/>
    <w:rsid w:val="00ED21B5"/>
    <w:rsid w:val="00ED3849"/>
    <w:rsid w:val="00EE6768"/>
    <w:rsid w:val="00EE684D"/>
    <w:rsid w:val="00EE7B4F"/>
    <w:rsid w:val="00EF30C2"/>
    <w:rsid w:val="00F01EC1"/>
    <w:rsid w:val="00F050EC"/>
    <w:rsid w:val="00F10330"/>
    <w:rsid w:val="00F1431B"/>
    <w:rsid w:val="00F258FB"/>
    <w:rsid w:val="00F25E41"/>
    <w:rsid w:val="00F332A6"/>
    <w:rsid w:val="00F33FAA"/>
    <w:rsid w:val="00F34510"/>
    <w:rsid w:val="00F35C42"/>
    <w:rsid w:val="00F36160"/>
    <w:rsid w:val="00F3749E"/>
    <w:rsid w:val="00F37588"/>
    <w:rsid w:val="00F41711"/>
    <w:rsid w:val="00F43E6D"/>
    <w:rsid w:val="00F442FD"/>
    <w:rsid w:val="00F46E81"/>
    <w:rsid w:val="00F5110B"/>
    <w:rsid w:val="00F51CAC"/>
    <w:rsid w:val="00F520F4"/>
    <w:rsid w:val="00F52539"/>
    <w:rsid w:val="00F52C2C"/>
    <w:rsid w:val="00F53417"/>
    <w:rsid w:val="00F53E7F"/>
    <w:rsid w:val="00F55141"/>
    <w:rsid w:val="00F5799C"/>
    <w:rsid w:val="00F63BFA"/>
    <w:rsid w:val="00F6696D"/>
    <w:rsid w:val="00F82154"/>
    <w:rsid w:val="00F834AE"/>
    <w:rsid w:val="00F84144"/>
    <w:rsid w:val="00F90DB4"/>
    <w:rsid w:val="00F91124"/>
    <w:rsid w:val="00F91202"/>
    <w:rsid w:val="00FA0339"/>
    <w:rsid w:val="00FA18C9"/>
    <w:rsid w:val="00FA45D4"/>
    <w:rsid w:val="00FB45F6"/>
    <w:rsid w:val="00FB4C15"/>
    <w:rsid w:val="00FB7661"/>
    <w:rsid w:val="00FC0032"/>
    <w:rsid w:val="00FC44D7"/>
    <w:rsid w:val="00FC6B7E"/>
    <w:rsid w:val="00FD7D9B"/>
    <w:rsid w:val="00FE46A1"/>
    <w:rsid w:val="00FF17AD"/>
    <w:rsid w:val="00FF1E42"/>
    <w:rsid w:val="00FF294A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59EF2"/>
  <w15:chartTrackingRefBased/>
  <w15:docId w15:val="{160403B7-C7EA-43C9-B593-799D8C4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link w:val="BVIfnrChar"/>
    <w:uiPriority w:val="99"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D95348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A53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C7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9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B3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BVIfnrChar">
    <w:name w:val="BVI fnr Char"/>
    <w:basedOn w:val="Normal"/>
    <w:link w:val="FootnoteReference"/>
    <w:uiPriority w:val="99"/>
    <w:rsid w:val="005E6155"/>
    <w:pPr>
      <w:spacing w:after="160" w:line="240" w:lineRule="exact"/>
      <w:jc w:val="left"/>
    </w:pPr>
    <w:rPr>
      <w:rFonts w:asciiTheme="minorHAnsi" w:eastAsiaTheme="minorHAnsi" w:hAnsiTheme="minorHAnsi" w:cstheme="minorBidi"/>
      <w:kern w:val="2"/>
      <w:szCs w:val="22"/>
      <w:vertAlign w:val="superscript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uments-dds-ny.un.org/doc/UNDOC/GEN/N16/126/36/PDF/N1612636.pdf?OpenElement" TargetMode="External"/><Relationship Id="rId1" Type="http://schemas.openxmlformats.org/officeDocument/2006/relationships/hyperlink" Target="https://documents-dds-ny.un.org/doc/UNDOC/GEN/N16/044/10/PDF/N1604410.pdf?OpenEl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wg8j-12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MediaLengthInSeconds xmlns="358298e0-1b7e-4ebe-8695-94439b74f0d1" xsi:nil="true"/>
    <SharedWithUsers xmlns="13ad741f-c0db-4e29-b5a6-03b4a1bc18ba">
      <UserInfo>
        <DisplayName/>
        <AccountId xsi:nil="true"/>
        <AccountType/>
      </UserInfo>
    </SharedWithUsers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661A-1BD7-4E30-B00F-A111DF02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5C94C-C273-4E69-8BAD-0132918C2E0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  <ds:schemaRef ds:uri="13ad741f-c0db-4e29-b5a6-03b4a1bc18ba"/>
  </ds:schemaRefs>
</ds:datastoreItem>
</file>

<file path=customXml/itemProps4.xml><?xml version="1.0" encoding="utf-8"?>
<ds:datastoreItem xmlns:ds="http://schemas.openxmlformats.org/officeDocument/2006/customXml" ds:itemID="{0C48B625-9B3B-4B00-A148-C2404006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wg8j-12-template</Template>
  <TotalTime>26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the document</vt:lpstr>
      <vt:lpstr>Title of the document</vt:lpstr>
    </vt:vector>
  </TitlesOfParts>
  <Company/>
  <LinksUpToDate>false</LinksUpToDate>
  <CharactersWithSpaces>2719</CharactersWithSpaces>
  <SharedDoc>false</SharedDoc>
  <HLinks>
    <vt:vector size="156" baseType="variant">
      <vt:variant>
        <vt:i4>917578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https://www.cbd.int/decisions/cop/12/12</vt:lpwstr>
      </vt:variant>
      <vt:variant>
        <vt:lpwstr/>
      </vt:variant>
      <vt:variant>
        <vt:i4>786507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https://www.cbd.int/doc/decisions/cop-11/cop-11-dec-14-en.pdf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5701639</vt:i4>
      </vt:variant>
      <vt:variant>
        <vt:i4>66</vt:i4>
      </vt:variant>
      <vt:variant>
        <vt:i4>0</vt:i4>
      </vt:variant>
      <vt:variant>
        <vt:i4>5</vt:i4>
      </vt:variant>
      <vt:variant>
        <vt:lpwstr>https://documents-dds-ny.un.org/doc/UNDOC/GEN/N16/044/09/pdf/N1604409.pdf?OpenElement</vt:lpwstr>
      </vt:variant>
      <vt:variant>
        <vt:lpwstr/>
      </vt:variant>
      <vt:variant>
        <vt:i4>589905</vt:i4>
      </vt:variant>
      <vt:variant>
        <vt:i4>60</vt:i4>
      </vt:variant>
      <vt:variant>
        <vt:i4>0</vt:i4>
      </vt:variant>
      <vt:variant>
        <vt:i4>5</vt:i4>
      </vt:variant>
      <vt:variant>
        <vt:lpwstr>http://www.cbd.int/doc/notifications/2023/ntf-2023-040-indicators-en.pdf</vt:lpwstr>
      </vt:variant>
      <vt:variant>
        <vt:lpwstr/>
      </vt:variant>
      <vt:variant>
        <vt:i4>4784137</vt:i4>
      </vt:variant>
      <vt:variant>
        <vt:i4>57</vt:i4>
      </vt:variant>
      <vt:variant>
        <vt:i4>0</vt:i4>
      </vt:variant>
      <vt:variant>
        <vt:i4>5</vt:i4>
      </vt:variant>
      <vt:variant>
        <vt:lpwstr>https://documents-dds-ny.un.org/doc/UNDOC/LTD/N23/127/22/PDF/N2312722.pdf?OpenElement</vt:lpwstr>
      </vt:variant>
      <vt:variant>
        <vt:lpwstr/>
      </vt:variant>
      <vt:variant>
        <vt:i4>720973</vt:i4>
      </vt:variant>
      <vt:variant>
        <vt:i4>51</vt:i4>
      </vt:variant>
      <vt:variant>
        <vt:i4>0</vt:i4>
      </vt:variant>
      <vt:variant>
        <vt:i4>5</vt:i4>
      </vt:variant>
      <vt:variant>
        <vt:lpwstr>https://www.cbd.int/doc/decisions/cop-12/cop-12-dec-12-en.pdf</vt:lpwstr>
      </vt:variant>
      <vt:variant>
        <vt:lpwstr/>
      </vt:variant>
      <vt:variant>
        <vt:i4>7864432</vt:i4>
      </vt:variant>
      <vt:variant>
        <vt:i4>48</vt:i4>
      </vt:variant>
      <vt:variant>
        <vt:i4>0</vt:i4>
      </vt:variant>
      <vt:variant>
        <vt:i4>5</vt:i4>
      </vt:variant>
      <vt:variant>
        <vt:lpwstr>https://www.cbd.int/doc/meetings/tk/wg8j-07/official/wg8j-07-08-add1-en.pdf</vt:lpwstr>
      </vt:variant>
      <vt:variant>
        <vt:lpwstr/>
      </vt:variant>
      <vt:variant>
        <vt:i4>6946850</vt:i4>
      </vt:variant>
      <vt:variant>
        <vt:i4>42</vt:i4>
      </vt:variant>
      <vt:variant>
        <vt:i4>0</vt:i4>
      </vt:variant>
      <vt:variant>
        <vt:i4>5</vt:i4>
      </vt:variant>
      <vt:variant>
        <vt:lpwstr>see: undocs.org/Home/Mobile?FinalSymbol=E%2F2022%2F43&amp;Language=E&amp;DeviceType=Desktop&amp;LangRequested=False</vt:lpwstr>
      </vt:variant>
      <vt:variant>
        <vt:lpwstr/>
      </vt:variant>
      <vt:variant>
        <vt:i4>262165</vt:i4>
      </vt:variant>
      <vt:variant>
        <vt:i4>39</vt:i4>
      </vt:variant>
      <vt:variant>
        <vt:i4>0</vt:i4>
      </vt:variant>
      <vt:variant>
        <vt:i4>5</vt:i4>
      </vt:variant>
      <vt:variant>
        <vt:lpwstr>http://See: www.cbd.int/meetings/POST2020-WS-2021-01</vt:lpwstr>
      </vt:variant>
      <vt:variant>
        <vt:lpwstr/>
      </vt:variant>
      <vt:variant>
        <vt:i4>1900610</vt:i4>
      </vt:variant>
      <vt:variant>
        <vt:i4>36</vt:i4>
      </vt:variant>
      <vt:variant>
        <vt:i4>0</vt:i4>
      </vt:variant>
      <vt:variant>
        <vt:i4>5</vt:i4>
      </vt:variant>
      <vt:variant>
        <vt:lpwstr>www.cbd.int/meetings/POST2020-WS-2020-05</vt:lpwstr>
      </vt:variant>
      <vt:variant>
        <vt:lpwstr/>
      </vt:variant>
      <vt:variant>
        <vt:i4>1638474</vt:i4>
      </vt:variant>
      <vt:variant>
        <vt:i4>33</vt:i4>
      </vt:variant>
      <vt:variant>
        <vt:i4>0</vt:i4>
      </vt:variant>
      <vt:variant>
        <vt:i4>5</vt:i4>
      </vt:variant>
      <vt:variant>
        <vt:lpwstr>www.cbd.int/meetings/POST2020-WS-2019-12</vt:lpwstr>
      </vt:variant>
      <vt:variant>
        <vt:lpwstr/>
      </vt:variant>
      <vt:variant>
        <vt:i4>5242952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https://www.cbd.int/doc/notifications/2022/ntf-2022-066-cop15-iplc-en.pdf</vt:lpwstr>
      </vt:variant>
      <vt:variant>
        <vt:lpwstr/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852043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https://www.cbd.int/doc/decisions/cop-14/cop-14-dec-12-en.pdf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https://www.cbd.int/doc/decisions/cop-13/cop-13-dec-18-en.pdf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https://www.cbd.int/doc/decisions/cop-10/cop-10-dec-42-en.pdf</vt:lpwstr>
      </vt:variant>
      <vt:variant>
        <vt:lpwstr/>
      </vt:variant>
      <vt:variant>
        <vt:i4>720969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https://www.cbd.int/doc/decisions/cop-07/cop-07-dec-16-en.pdf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https://documents-dds-ny.un.org/doc/UNDOC/GEN/N21/114/57/PDF/N2111457.pdf?OpenElement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undocs.org%2FHome%2FMobile%3FFinalSymbol%3DE%252FC.19%252F2023%252F7%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4p87Qxw1IRMcpHFSgBiFW86Rkb4imzaF%2Bsr7nlGanZM%3D&amp;reserved=0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2022%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COFswWCiZtpl2rZNPqwF9te4GCcYZoWowbN8TQej7ao%3D&amp;reserved=0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2021%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rfosNIkve9xb1zWn1gaG6HNTHh15y%2BuW3nroUlZVrdA%3D&amp;reserved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subject>CBD/WG8J/REC/12/5</dc:subject>
  <dc:creator>Q"apaj Conde</dc:creator>
  <cp:keywords>Ad Hoc Open-ended Working Group on Article 8(j) and Related Provisions</cp:keywords>
  <dc:description/>
  <cp:lastModifiedBy>Finn Kinley</cp:lastModifiedBy>
  <cp:revision>8</cp:revision>
  <dcterms:created xsi:type="dcterms:W3CDTF">2023-11-16T14:00:00Z</dcterms:created>
  <dcterms:modified xsi:type="dcterms:W3CDTF">2023-12-13T23:24:00Z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