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A2" w:rsidRPr="00DF6EBC" w:rsidRDefault="0039463C" w:rsidP="00596009">
      <w:pPr>
        <w:rPr>
          <w:b/>
          <w:lang w:val="en-US"/>
        </w:rPr>
      </w:pPr>
      <w:r>
        <w:rPr>
          <w:b/>
          <w:lang w:val="en-US"/>
        </w:rPr>
        <w:t>S</w:t>
      </w:r>
      <w:r w:rsidR="00D679B4">
        <w:rPr>
          <w:b/>
          <w:lang w:val="en-US"/>
        </w:rPr>
        <w:t>1</w:t>
      </w:r>
      <w:r w:rsidR="00A55F2A">
        <w:rPr>
          <w:b/>
          <w:lang w:val="en-US"/>
        </w:rPr>
        <w:t xml:space="preserve"> Table.</w:t>
      </w:r>
      <w:r w:rsidR="005534ED" w:rsidRPr="005534ED">
        <w:rPr>
          <w:b/>
          <w:lang w:val="en-US"/>
        </w:rPr>
        <w:t xml:space="preserve"> References used for the </w:t>
      </w:r>
      <w:r w:rsidR="005534ED">
        <w:rPr>
          <w:b/>
          <w:lang w:val="en-US"/>
        </w:rPr>
        <w:t>description</w:t>
      </w:r>
      <w:r w:rsidR="005534ED" w:rsidRPr="005534ED">
        <w:rPr>
          <w:b/>
          <w:lang w:val="en-US"/>
        </w:rPr>
        <w:t xml:space="preserve"> of PES </w:t>
      </w:r>
      <w:r w:rsidR="005534ED">
        <w:rPr>
          <w:b/>
          <w:lang w:val="en-US"/>
        </w:rPr>
        <w:t>selected schemes</w:t>
      </w:r>
      <w:r w:rsidR="005534ED" w:rsidRPr="005534ED">
        <w:rPr>
          <w:b/>
          <w:lang w:val="en-US"/>
        </w:rPr>
        <w:t>.</w:t>
      </w:r>
    </w:p>
    <w:tbl>
      <w:tblPr>
        <w:tblStyle w:val="TableGrid"/>
        <w:tblW w:w="14481" w:type="dxa"/>
        <w:tblLook w:val="04A0" w:firstRow="1" w:lastRow="0" w:firstColumn="1" w:lastColumn="0" w:noHBand="0" w:noVBand="1"/>
      </w:tblPr>
      <w:tblGrid>
        <w:gridCol w:w="819"/>
        <w:gridCol w:w="1064"/>
        <w:gridCol w:w="1678"/>
        <w:gridCol w:w="10920"/>
      </w:tblGrid>
      <w:tr w:rsidR="005E0C75" w:rsidRPr="00596009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</w:pPr>
            <w:proofErr w:type="spellStart"/>
            <w:r w:rsidRPr="00596009">
              <w:t>Id_PES</w:t>
            </w:r>
            <w:proofErr w:type="spellEnd"/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</w:pPr>
            <w:proofErr w:type="spellStart"/>
            <w:r w:rsidRPr="00596009">
              <w:t>Id_Label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</w:pPr>
            <w:proofErr w:type="spellStart"/>
            <w:r w:rsidRPr="00596009">
              <w:t>PES_description</w:t>
            </w:r>
            <w:proofErr w:type="spellEnd"/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jc w:val="center"/>
            </w:pPr>
            <w:proofErr w:type="spellStart"/>
            <w:r w:rsidRPr="00596009">
              <w:t>Supporting</w:t>
            </w:r>
            <w:proofErr w:type="spellEnd"/>
            <w:r w:rsidRPr="00596009">
              <w:t xml:space="preserve"> </w:t>
            </w:r>
            <w:proofErr w:type="spellStart"/>
            <w:r w:rsidRPr="00596009">
              <w:t>references</w:t>
            </w:r>
            <w:proofErr w:type="spellEnd"/>
          </w:p>
        </w:tc>
      </w:tr>
      <w:tr w:rsidR="005E0C75" w:rsidRPr="00B16C9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NegB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r w:rsidRPr="00596009">
              <w:rPr>
                <w:rFonts w:ascii="Calibri" w:hAnsi="Calibri" w:cs="Calibri"/>
                <w:color w:val="000000"/>
              </w:rPr>
              <w:t>Los Negros, Bolivia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Asquith NM, Vargas MT, </w:t>
            </w:r>
            <w:proofErr w:type="spellStart"/>
            <w:r w:rsidRPr="00596009">
              <w:rPr>
                <w:lang w:val="en-US"/>
              </w:rPr>
              <w:t>Wunder</w:t>
            </w:r>
            <w:proofErr w:type="spellEnd"/>
            <w:r w:rsidRPr="00596009">
              <w:rPr>
                <w:lang w:val="en-US"/>
              </w:rPr>
              <w:t xml:space="preserve"> S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Selling two environmental services: In-kind payments for bird habitat and watershed protection in Los Negros, Bolivia.  Ecological Economics 65:675–684.</w:t>
            </w:r>
          </w:p>
          <w:p w:rsidR="00DD1851" w:rsidRPr="00596009" w:rsidRDefault="00DD1851" w:rsidP="00596009">
            <w:pPr>
              <w:rPr>
                <w:lang w:val="en-US"/>
              </w:rPr>
            </w:pPr>
          </w:p>
          <w:p w:rsidR="00DD1851" w:rsidRPr="00596009" w:rsidRDefault="00DD1851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Robertson, N., and S. </w:t>
            </w:r>
            <w:proofErr w:type="spellStart"/>
            <w:r w:rsidRPr="00596009">
              <w:rPr>
                <w:lang w:val="en-US"/>
              </w:rPr>
              <w:t>Wunder</w:t>
            </w:r>
            <w:proofErr w:type="spellEnd"/>
            <w:r w:rsidRPr="00596009">
              <w:rPr>
                <w:lang w:val="en-US"/>
              </w:rPr>
              <w:t xml:space="preserve">. </w:t>
            </w:r>
            <w:r w:rsidR="00E9358B">
              <w:rPr>
                <w:lang w:val="en-US"/>
              </w:rPr>
              <w:t>(</w:t>
            </w:r>
            <w:r w:rsidRPr="00596009">
              <w:rPr>
                <w:lang w:val="en-US"/>
              </w:rPr>
              <w:t>2005</w:t>
            </w:r>
            <w:r w:rsidR="00E9358B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</w:t>
            </w:r>
            <w:r w:rsidRPr="00596009">
              <w:rPr>
                <w:iCs/>
                <w:lang w:val="en-US"/>
              </w:rPr>
              <w:t>Fresh tracks in the forest: Assessing incipient payments for environmental services initiatives in Bolivia</w:t>
            </w:r>
            <w:r w:rsidRPr="00596009">
              <w:rPr>
                <w:lang w:val="en-US"/>
              </w:rPr>
              <w:t>. Bogor: CIFOR.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2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PimE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Pimampiro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, Ecuador</w:t>
            </w:r>
          </w:p>
        </w:tc>
        <w:tc>
          <w:tcPr>
            <w:tcW w:w="10920" w:type="dxa"/>
          </w:tcPr>
          <w:p w:rsidR="005E0C75" w:rsidRPr="00E9358B" w:rsidRDefault="005E0C75" w:rsidP="00596009">
            <w:pPr>
              <w:rPr>
                <w:lang w:val="en-US"/>
              </w:rPr>
            </w:pPr>
            <w:proofErr w:type="spellStart"/>
            <w:r w:rsidRPr="00E9358B">
              <w:rPr>
                <w:lang w:val="en-US"/>
              </w:rPr>
              <w:t>Wunder</w:t>
            </w:r>
            <w:proofErr w:type="spellEnd"/>
            <w:r w:rsidRPr="00E9358B">
              <w:rPr>
                <w:lang w:val="en-US"/>
              </w:rPr>
              <w:t xml:space="preserve"> S, </w:t>
            </w:r>
            <w:proofErr w:type="spellStart"/>
            <w:r w:rsidRPr="00E9358B">
              <w:rPr>
                <w:lang w:val="en-US"/>
              </w:rPr>
              <w:t>Alb</w:t>
            </w:r>
            <w:r w:rsidRPr="00E9358B">
              <w:rPr>
                <w:rFonts w:ascii="Calibri" w:hAnsi="Calibri" w:cs="Calibri"/>
                <w:lang w:val="en-US"/>
              </w:rPr>
              <w:t>á</w:t>
            </w:r>
            <w:r w:rsidRPr="00E9358B">
              <w:rPr>
                <w:lang w:val="en-US"/>
              </w:rPr>
              <w:t>n</w:t>
            </w:r>
            <w:proofErr w:type="spellEnd"/>
            <w:r w:rsidRPr="00E9358B">
              <w:rPr>
                <w:lang w:val="en-US"/>
              </w:rPr>
              <w:t xml:space="preserve"> M</w:t>
            </w:r>
            <w:r w:rsidR="00E9358B" w:rsidRPr="00E9358B">
              <w:rPr>
                <w:lang w:val="en-US"/>
              </w:rPr>
              <w:t>.</w:t>
            </w:r>
            <w:r w:rsidRPr="00E9358B">
              <w:rPr>
                <w:lang w:val="en-US"/>
              </w:rPr>
              <w:t xml:space="preserve"> (2008)</w:t>
            </w:r>
            <w:r w:rsidR="00E9358B" w:rsidRPr="00E9358B">
              <w:rPr>
                <w:lang w:val="en-US"/>
              </w:rPr>
              <w:t>.</w:t>
            </w:r>
            <w:r w:rsidRPr="00E9358B">
              <w:rPr>
                <w:lang w:val="en-US"/>
              </w:rPr>
              <w:t xml:space="preserve"> Decentralized payments for environmental services:</w:t>
            </w:r>
          </w:p>
          <w:p w:rsidR="005E0C75" w:rsidRPr="002403E8" w:rsidRDefault="005E0C75" w:rsidP="00596009">
            <w:pPr>
              <w:rPr>
                <w:lang w:val="pt-BR"/>
              </w:rPr>
            </w:pPr>
            <w:r w:rsidRPr="00E9358B">
              <w:rPr>
                <w:lang w:val="en-US"/>
              </w:rPr>
              <w:t xml:space="preserve">The cases of </w:t>
            </w:r>
            <w:proofErr w:type="spellStart"/>
            <w:r w:rsidRPr="00E9358B">
              <w:rPr>
                <w:lang w:val="en-US"/>
              </w:rPr>
              <w:t>Pimampiro</w:t>
            </w:r>
            <w:proofErr w:type="spellEnd"/>
            <w:r w:rsidRPr="00E9358B">
              <w:rPr>
                <w:lang w:val="en-US"/>
              </w:rPr>
              <w:t xml:space="preserve"> and </w:t>
            </w:r>
            <w:proofErr w:type="spellStart"/>
            <w:r w:rsidRPr="00E9358B">
              <w:rPr>
                <w:lang w:val="en-US"/>
              </w:rPr>
              <w:t>PROFAFOR</w:t>
            </w:r>
            <w:proofErr w:type="spellEnd"/>
            <w:r w:rsidRPr="00E9358B">
              <w:rPr>
                <w:lang w:val="en-US"/>
              </w:rPr>
              <w:t xml:space="preserve"> in Ecuador. </w:t>
            </w:r>
            <w:r w:rsidRPr="002403E8">
              <w:rPr>
                <w:lang w:val="pt-BR"/>
              </w:rPr>
              <w:t>Ecological Economics 65: 685-698.</w:t>
            </w:r>
          </w:p>
          <w:p w:rsidR="005E0C75" w:rsidRPr="002403E8" w:rsidRDefault="005E0C75" w:rsidP="00596009">
            <w:pPr>
              <w:rPr>
                <w:lang w:val="pt-BR"/>
              </w:rPr>
            </w:pPr>
          </w:p>
          <w:p w:rsidR="005E0C75" w:rsidRPr="00596009" w:rsidRDefault="005E0C75" w:rsidP="00596009">
            <w:pPr>
              <w:rPr>
                <w:lang w:val="es-ES"/>
              </w:rPr>
            </w:pPr>
            <w:r w:rsidRPr="002403E8">
              <w:rPr>
                <w:lang w:val="pt-BR"/>
              </w:rPr>
              <w:t>Cordero-Camacho D</w:t>
            </w:r>
            <w:r w:rsidR="00E9358B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(2008)</w:t>
            </w:r>
            <w:r w:rsidR="00E9358B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</w:t>
            </w:r>
            <w:r w:rsidRPr="002403E8">
              <w:rPr>
                <w:lang w:val="es-ES"/>
              </w:rPr>
              <w:t xml:space="preserve">Esquemas de pagos por servicios ambientales para la conservación de cuencas hidrográficas en </w:t>
            </w:r>
            <w:r w:rsidRPr="00596009">
              <w:rPr>
                <w:lang w:val="es-ES"/>
              </w:rPr>
              <w:t>el Ecuador. Investigación Agraria: Sistemas y Recursos Forestales 17(1) 54-66.</w:t>
            </w:r>
          </w:p>
        </w:tc>
      </w:tr>
      <w:tr w:rsidR="005E0C75" w:rsidRPr="00596009" w:rsidTr="00DF6EBC">
        <w:tc>
          <w:tcPr>
            <w:tcW w:w="819" w:type="dxa"/>
            <w:vAlign w:val="center"/>
          </w:tcPr>
          <w:p w:rsidR="005E0C75" w:rsidRPr="00E9358B" w:rsidRDefault="005E0C75" w:rsidP="00596009">
            <w:pPr>
              <w:jc w:val="center"/>
              <w:rPr>
                <w:lang w:val="es-ES"/>
              </w:rPr>
            </w:pPr>
            <w:r w:rsidRPr="00E9358B">
              <w:rPr>
                <w:lang w:val="es-ES"/>
              </w:rPr>
              <w:t>3</w:t>
            </w:r>
          </w:p>
        </w:tc>
        <w:tc>
          <w:tcPr>
            <w:tcW w:w="1064" w:type="dxa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s-ES"/>
              </w:rPr>
              <w:t>ProE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E9358B">
              <w:rPr>
                <w:rFonts w:ascii="Calibri" w:hAnsi="Calibri" w:cs="Calibri"/>
                <w:color w:val="000000"/>
                <w:lang w:val="es-ES"/>
              </w:rPr>
              <w:t>PROFAFOR, Ecuador</w:t>
            </w:r>
          </w:p>
        </w:tc>
        <w:tc>
          <w:tcPr>
            <w:tcW w:w="10920" w:type="dxa"/>
          </w:tcPr>
          <w:p w:rsidR="005E0C75" w:rsidRPr="002403E8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t>Wunder</w:t>
            </w:r>
            <w:proofErr w:type="spellEnd"/>
            <w:r w:rsidRPr="002403E8">
              <w:rPr>
                <w:lang w:val="en-US"/>
              </w:rPr>
              <w:t xml:space="preserve"> S, </w:t>
            </w:r>
            <w:proofErr w:type="spellStart"/>
            <w:r w:rsidRPr="002403E8">
              <w:rPr>
                <w:lang w:val="en-US"/>
              </w:rPr>
              <w:t>Alb</w:t>
            </w:r>
            <w:r w:rsidRPr="002403E8">
              <w:rPr>
                <w:rFonts w:ascii="Calibri" w:hAnsi="Calibri" w:cs="Calibri"/>
                <w:lang w:val="en-US"/>
              </w:rPr>
              <w:t>á</w:t>
            </w:r>
            <w:r w:rsidRPr="002403E8">
              <w:rPr>
                <w:lang w:val="en-US"/>
              </w:rPr>
              <w:t>n</w:t>
            </w:r>
            <w:proofErr w:type="spellEnd"/>
            <w:r w:rsidRPr="002403E8">
              <w:rPr>
                <w:lang w:val="en-US"/>
              </w:rPr>
              <w:t xml:space="preserve"> M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(2008)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Decentralized payments for environmental services:</w:t>
            </w:r>
          </w:p>
          <w:p w:rsidR="005E0C75" w:rsidRPr="00596009" w:rsidRDefault="005E0C75" w:rsidP="00596009">
            <w:pPr>
              <w:rPr>
                <w:lang w:val="es-ES"/>
              </w:rPr>
            </w:pPr>
            <w:r w:rsidRPr="002403E8">
              <w:rPr>
                <w:lang w:val="en-US"/>
              </w:rPr>
              <w:t xml:space="preserve">The cases of </w:t>
            </w:r>
            <w:proofErr w:type="spellStart"/>
            <w:r w:rsidRPr="002403E8">
              <w:rPr>
                <w:lang w:val="en-US"/>
              </w:rPr>
              <w:t>Pimampiro</w:t>
            </w:r>
            <w:proofErr w:type="spellEnd"/>
            <w:r w:rsidRPr="002403E8">
              <w:rPr>
                <w:lang w:val="en-US"/>
              </w:rPr>
              <w:t xml:space="preserve"> and </w:t>
            </w:r>
            <w:proofErr w:type="spellStart"/>
            <w:r w:rsidRPr="002403E8">
              <w:rPr>
                <w:lang w:val="en-US"/>
              </w:rPr>
              <w:t>PROFAFOR</w:t>
            </w:r>
            <w:proofErr w:type="spellEnd"/>
            <w:r w:rsidRPr="002403E8">
              <w:rPr>
                <w:lang w:val="en-US"/>
              </w:rPr>
              <w:t xml:space="preserve"> in Ecuador. </w:t>
            </w:r>
            <w:r w:rsidRPr="00596009">
              <w:rPr>
                <w:lang w:val="es-ES"/>
              </w:rPr>
              <w:t>Ecological Economics 65: 685-698.</w:t>
            </w:r>
          </w:p>
          <w:p w:rsidR="005E0C75" w:rsidRPr="00596009" w:rsidRDefault="005E0C75" w:rsidP="00596009">
            <w:pPr>
              <w:rPr>
                <w:lang w:val="es-E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s-ES"/>
              </w:rPr>
              <w:t>Albán M, Argüello M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(2004). Un análisis de los impactos sociales y económicos de los proyectos de fijación de </w:t>
            </w:r>
            <w:proofErr w:type="spellStart"/>
            <w:r w:rsidRPr="00596009">
              <w:rPr>
                <w:lang w:val="es-ES"/>
              </w:rPr>
              <w:t>carbonoen</w:t>
            </w:r>
            <w:proofErr w:type="spellEnd"/>
            <w:r w:rsidRPr="00596009">
              <w:rPr>
                <w:lang w:val="es-ES"/>
              </w:rPr>
              <w:t xml:space="preserve"> el Ecuador: el caso de </w:t>
            </w:r>
            <w:proofErr w:type="spellStart"/>
            <w:r w:rsidRPr="00596009">
              <w:rPr>
                <w:lang w:val="es-ES"/>
              </w:rPr>
              <w:t>Profafor-Face</w:t>
            </w:r>
            <w:proofErr w:type="spellEnd"/>
            <w:r w:rsidRPr="00596009">
              <w:rPr>
                <w:lang w:val="es-ES"/>
              </w:rPr>
              <w:t xml:space="preserve">. </w:t>
            </w:r>
            <w:r w:rsidRPr="00E9358B">
              <w:rPr>
                <w:lang w:val="es-ES"/>
              </w:rPr>
              <w:t xml:space="preserve">Mercados </w:t>
            </w:r>
            <w:proofErr w:type="spellStart"/>
            <w:r w:rsidRPr="00E9358B">
              <w:rPr>
                <w:lang w:val="es-ES"/>
              </w:rPr>
              <w:t>pa</w:t>
            </w:r>
            <w:r w:rsidRPr="00596009">
              <w:rPr>
                <w:lang w:val="en-US"/>
              </w:rPr>
              <w:t>ra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servicios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rFonts w:cstheme="minorHAnsi"/>
                <w:lang w:val="en-US"/>
              </w:rPr>
              <w:t>ambientales</w:t>
            </w:r>
            <w:proofErr w:type="spellEnd"/>
            <w:r w:rsidRPr="00596009">
              <w:rPr>
                <w:rFonts w:cstheme="minorHAnsi"/>
                <w:lang w:val="en-US"/>
              </w:rPr>
              <w:t xml:space="preserve">. </w:t>
            </w:r>
            <w:r w:rsidRPr="00596009">
              <w:rPr>
                <w:rFonts w:cstheme="minorHAnsi"/>
                <w:sz w:val="21"/>
                <w:szCs w:val="21"/>
                <w:lang w:val="en-US"/>
              </w:rPr>
              <w:t>International Institute for Environment and Development, London, UK.</w:t>
            </w:r>
          </w:p>
        </w:tc>
      </w:tr>
      <w:tr w:rsidR="005E0C75" w:rsidRPr="00CF2813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VitF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Vittel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(Nestlé Waters), France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Perrot-Maître D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(2006). The </w:t>
            </w:r>
            <w:proofErr w:type="spellStart"/>
            <w:r w:rsidRPr="00596009">
              <w:rPr>
                <w:lang w:val="en-US"/>
              </w:rPr>
              <w:t>Vittel</w:t>
            </w:r>
            <w:proofErr w:type="spellEnd"/>
            <w:r w:rsidRPr="00596009">
              <w:rPr>
                <w:lang w:val="en-US"/>
              </w:rPr>
              <w:t xml:space="preserve"> payments for ecosystem services: a “perfect” PES case? International Institute for Environment and Development, London, UK.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Perrot-Maître D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(2005). Investing in protection of ecosystem services: a business opportunity for </w:t>
            </w:r>
            <w:proofErr w:type="spellStart"/>
            <w:r w:rsidRPr="00596009">
              <w:rPr>
                <w:lang w:val="en-US"/>
              </w:rPr>
              <w:t>Vittel</w:t>
            </w:r>
            <w:proofErr w:type="spellEnd"/>
            <w:r w:rsidRPr="00596009">
              <w:rPr>
                <w:lang w:val="en-US"/>
              </w:rPr>
              <w:t xml:space="preserve"> (Nestlé Waters), France. Paper presented at the ZEF–CIFOR workshop on payments for environmental services in developed and developing countries, </w:t>
            </w:r>
            <w:proofErr w:type="spellStart"/>
            <w:r w:rsidRPr="00596009">
              <w:rPr>
                <w:lang w:val="en-US"/>
              </w:rPr>
              <w:t>Titisee</w:t>
            </w:r>
            <w:proofErr w:type="spellEnd"/>
            <w:r w:rsidRPr="00596009">
              <w:rPr>
                <w:lang w:val="en-US"/>
              </w:rPr>
              <w:t xml:space="preserve">, Germany, </w:t>
            </w:r>
            <w:proofErr w:type="gramStart"/>
            <w:r w:rsidRPr="00596009">
              <w:rPr>
                <w:lang w:val="en-US"/>
              </w:rPr>
              <w:t>15</w:t>
            </w:r>
            <w:proofErr w:type="gramEnd"/>
            <w:r w:rsidRPr="00596009">
              <w:rPr>
                <w:lang w:val="en-US"/>
              </w:rPr>
              <w:t>–18 June 2005.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5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SloCh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Sloping Land Conversion, China</w:t>
            </w:r>
          </w:p>
        </w:tc>
        <w:tc>
          <w:tcPr>
            <w:tcW w:w="10920" w:type="dxa"/>
          </w:tcPr>
          <w:p w:rsidR="005E0C75" w:rsidRPr="002403E8" w:rsidRDefault="005E0C75" w:rsidP="00596009">
            <w:pPr>
              <w:rPr>
                <w:lang w:val="pt-BR"/>
              </w:rPr>
            </w:pPr>
            <w:r w:rsidRPr="00596009">
              <w:rPr>
                <w:lang w:val="en-US"/>
              </w:rPr>
              <w:t>Bennett MT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China's sloping land conversion program: Institutional innovation or business as usual? </w:t>
            </w:r>
            <w:r w:rsidRPr="002403E8">
              <w:rPr>
                <w:lang w:val="pt-BR"/>
              </w:rPr>
              <w:t>Ecological Economics 65:699-711.</w:t>
            </w:r>
          </w:p>
          <w:p w:rsidR="005E0C75" w:rsidRPr="002403E8" w:rsidRDefault="005E0C75" w:rsidP="00596009">
            <w:pPr>
              <w:rPr>
                <w:lang w:val="pt-BR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pt-BR"/>
              </w:rPr>
              <w:t>Xu J, Tao R, Xu Z, Bennett MT</w:t>
            </w:r>
            <w:r w:rsidR="00E9358B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</w:t>
            </w:r>
            <w:r w:rsidRPr="00596009">
              <w:rPr>
                <w:lang w:val="en-US"/>
              </w:rPr>
              <w:t>(2010)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China’s Sloping Land Conversion Program: Does Expansion Equal Success? Land Economics 86(2):219–244.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6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HydroMX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Payments for Hydrological Environmental </w:t>
            </w:r>
            <w:r w:rsidRPr="00596009">
              <w:rPr>
                <w:rFonts w:ascii="Calibri" w:hAnsi="Calibri" w:cs="Calibri"/>
                <w:color w:val="000000"/>
                <w:lang w:val="en-US"/>
              </w:rPr>
              <w:lastRenderedPageBreak/>
              <w:t>Services (PSAH), Mexico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 xml:space="preserve">Muñoz-Piña C, Guevara A, Torres JM, </w:t>
            </w:r>
            <w:proofErr w:type="spellStart"/>
            <w:r w:rsidRPr="00596009">
              <w:rPr>
                <w:lang w:val="en-US"/>
              </w:rPr>
              <w:t>Braña</w:t>
            </w:r>
            <w:proofErr w:type="spellEnd"/>
            <w:r w:rsidRPr="00596009">
              <w:rPr>
                <w:lang w:val="en-US"/>
              </w:rPr>
              <w:t xml:space="preserve">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Paying for the hydrological services of Mexico's forests: Analysis, negotiations and results. Ecological Economics 65:725-736.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E9358B">
              <w:rPr>
                <w:lang w:val="en-US"/>
              </w:rPr>
              <w:lastRenderedPageBreak/>
              <w:t>Alix-Garcia JM, Shapiro EN, Sims K</w:t>
            </w:r>
            <w:r w:rsidR="00E9358B" w:rsidRPr="00E9358B">
              <w:rPr>
                <w:lang w:val="en-US"/>
              </w:rPr>
              <w:t>.</w:t>
            </w:r>
            <w:r w:rsidRPr="00E9358B">
              <w:rPr>
                <w:lang w:val="en-US"/>
              </w:rPr>
              <w:t xml:space="preserve"> (2012)</w:t>
            </w:r>
            <w:r w:rsidR="00E9358B" w:rsidRPr="00E9358B">
              <w:rPr>
                <w:lang w:val="en-US"/>
              </w:rPr>
              <w:t>.</w:t>
            </w:r>
            <w:r w:rsidRPr="00E9358B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Forest Conservation and Slippage: Evidence from Mexico’s National Payments for Ecosystem Services Program. Land Economics 88 (4): 613–638.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7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ConsUS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9358B">
              <w:rPr>
                <w:rFonts w:ascii="Calibri" w:hAnsi="Calibri" w:cs="Calibri"/>
                <w:color w:val="000000"/>
                <w:lang w:val="en-US"/>
              </w:rPr>
              <w:t>Conservation Reserve Program (CRP), USA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Claassen R, </w:t>
            </w:r>
            <w:proofErr w:type="spellStart"/>
            <w:r w:rsidRPr="00596009">
              <w:rPr>
                <w:lang w:val="en-US"/>
              </w:rPr>
              <w:t>Cattaneo</w:t>
            </w:r>
            <w:proofErr w:type="spellEnd"/>
            <w:r w:rsidRPr="00596009">
              <w:rPr>
                <w:lang w:val="en-US"/>
              </w:rPr>
              <w:t xml:space="preserve"> A, Johansson R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Cost-effective design of </w:t>
            </w:r>
            <w:proofErr w:type="spellStart"/>
            <w:r w:rsidRPr="00596009">
              <w:rPr>
                <w:lang w:val="en-US"/>
              </w:rPr>
              <w:t>agri</w:t>
            </w:r>
            <w:proofErr w:type="spellEnd"/>
            <w:r w:rsidRPr="00596009">
              <w:rPr>
                <w:lang w:val="en-US"/>
              </w:rPr>
              <w:t>-environmental payment programs: U.S. experience in theory and practice. Ecological Economics 65:737-752.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Leathers N, Harrington L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Effectiveness of conservation reserve programs and land ‘slippage’ in southwestern Kansas. Professional Geographer 52:83–93.</w:t>
            </w:r>
          </w:p>
        </w:tc>
      </w:tr>
      <w:tr w:rsidR="005E0C75" w:rsidRPr="00A55F2A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8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EnvUS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Environmental Quality Incentives Program (EQIP), USA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Claassen R, </w:t>
            </w:r>
            <w:proofErr w:type="spellStart"/>
            <w:r w:rsidRPr="00596009">
              <w:rPr>
                <w:lang w:val="en-US"/>
              </w:rPr>
              <w:t>Cattaneo</w:t>
            </w:r>
            <w:proofErr w:type="spellEnd"/>
            <w:r w:rsidRPr="00596009">
              <w:rPr>
                <w:lang w:val="en-US"/>
              </w:rPr>
              <w:t xml:space="preserve"> A, Johansson R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Cost-effective design of </w:t>
            </w:r>
            <w:proofErr w:type="spellStart"/>
            <w:r w:rsidRPr="00596009">
              <w:rPr>
                <w:lang w:val="en-US"/>
              </w:rPr>
              <w:t>agri</w:t>
            </w:r>
            <w:proofErr w:type="spellEnd"/>
            <w:r w:rsidRPr="00596009">
              <w:rPr>
                <w:lang w:val="en-US"/>
              </w:rPr>
              <w:t>-environmental payment programs: U.S. experience in theory and practice. Ecological Economics 65:737-752.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Cattaneo</w:t>
            </w:r>
            <w:proofErr w:type="spellEnd"/>
            <w:r w:rsidRPr="00596009">
              <w:rPr>
                <w:lang w:val="en-US"/>
              </w:rPr>
              <w:t xml:space="preserve"> A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(2003)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The pursuit of efficiency and its unintended consequences: contract, withdrawals in the environmental quality incentives program. Review of Agricultural Economics 25:449–469.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DF6EBC">
            <w:pPr>
              <w:rPr>
                <w:lang w:val="en-US"/>
              </w:rPr>
            </w:pPr>
            <w:r w:rsidRPr="00596009">
              <w:rPr>
                <w:lang w:val="en-US"/>
              </w:rPr>
              <w:t>U.S. Department of Agriculture, Econ</w:t>
            </w:r>
            <w:r w:rsidR="00E9358B">
              <w:rPr>
                <w:lang w:val="en-US"/>
              </w:rPr>
              <w:t>omic Research Service (USDAERS). (</w:t>
            </w:r>
            <w:r w:rsidRPr="00596009">
              <w:rPr>
                <w:lang w:val="en-US"/>
              </w:rPr>
              <w:t>2014</w:t>
            </w:r>
            <w:r w:rsidR="00E9358B">
              <w:rPr>
                <w:lang w:val="en-US"/>
              </w:rPr>
              <w:t>)</w:t>
            </w:r>
            <w:r w:rsidRPr="00596009">
              <w:rPr>
                <w:lang w:val="en-US"/>
              </w:rPr>
              <w:t>. Environmental Quality Incentives Program Data.</w:t>
            </w:r>
            <w:r w:rsidR="00DF6EBC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Online document http://www.ers.usda.gov/Data/eqip last</w:t>
            </w:r>
            <w:r w:rsidR="00DF6EBC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accessed February 19, 2014.</w:t>
            </w:r>
          </w:p>
        </w:tc>
      </w:tr>
      <w:tr w:rsidR="005E0C75" w:rsidRPr="00A55F2A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9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SenUK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Environmentally Sensitive Area (ESA) , United Kingdom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Dobbs TL, Pretty,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Case study of </w:t>
            </w:r>
            <w:proofErr w:type="spellStart"/>
            <w:r w:rsidRPr="00596009">
              <w:rPr>
                <w:lang w:val="en-US"/>
              </w:rPr>
              <w:t>agri</w:t>
            </w:r>
            <w:proofErr w:type="spellEnd"/>
            <w:r w:rsidRPr="00596009">
              <w:rPr>
                <w:lang w:val="en-US"/>
              </w:rPr>
              <w:t>-environmental payments: The United Kingdom. Ecological Economics 65:765-775.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Crabtree B, </w:t>
            </w:r>
            <w:proofErr w:type="spellStart"/>
            <w:r w:rsidRPr="00596009">
              <w:rPr>
                <w:lang w:val="en-US"/>
              </w:rPr>
              <w:t>Thorburn</w:t>
            </w:r>
            <w:proofErr w:type="spellEnd"/>
            <w:r w:rsidRPr="00596009">
              <w:rPr>
                <w:lang w:val="en-US"/>
              </w:rPr>
              <w:t xml:space="preserve"> A, Chalmers N, Roberts D, Wynn G, Barron N, Macmillan D, Barraclough F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Socio-economic and Agricultural Impacts of the Environmentally Sensitive Areas (ESA) Scheme in Scotland. A Report for the Scottish Executive Rural Affairs Department. Macaulay Land Use Research Institute, with Bell-Ingram Rural and University of Aberdeen, </w:t>
            </w:r>
            <w:proofErr w:type="spellStart"/>
            <w:r w:rsidRPr="00596009">
              <w:rPr>
                <w:lang w:val="en-US"/>
              </w:rPr>
              <w:t>Craigiebuckler</w:t>
            </w:r>
            <w:proofErr w:type="spellEnd"/>
            <w:r w:rsidRPr="00596009">
              <w:rPr>
                <w:lang w:val="en-US"/>
              </w:rPr>
              <w:t>, Aberdeen.</w:t>
            </w:r>
          </w:p>
        </w:tc>
      </w:tr>
      <w:tr w:rsidR="005E0C75" w:rsidRPr="00596009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10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CouUK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Countryside Stewardship Scheme (CSS), United Kingdom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Dobbs TL, Pretty,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Case study of </w:t>
            </w:r>
            <w:proofErr w:type="spellStart"/>
            <w:r w:rsidRPr="00596009">
              <w:rPr>
                <w:lang w:val="en-US"/>
              </w:rPr>
              <w:t>agri</w:t>
            </w:r>
            <w:proofErr w:type="spellEnd"/>
            <w:r w:rsidRPr="00596009">
              <w:rPr>
                <w:lang w:val="en-US"/>
              </w:rPr>
              <w:t>-environmental payments: The United Kingdom. Ecological Economics 65:765-775.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Crabb</w:t>
            </w:r>
            <w:proofErr w:type="spellEnd"/>
            <w:r w:rsidRPr="00596009">
              <w:rPr>
                <w:lang w:val="en-US"/>
              </w:rPr>
              <w:t xml:space="preserve"> J, Short C, Temple M, Winter M, Augustin B, </w:t>
            </w:r>
            <w:proofErr w:type="spellStart"/>
            <w:r w:rsidRPr="00596009">
              <w:rPr>
                <w:lang w:val="en-US"/>
              </w:rPr>
              <w:t>Dauven</w:t>
            </w:r>
            <w:proofErr w:type="spellEnd"/>
            <w:r w:rsidRPr="00596009">
              <w:rPr>
                <w:lang w:val="en-US"/>
              </w:rPr>
              <w:t xml:space="preserve"> A (2000) Economic Evaluation of the Countryside Stewardship Scheme. Prepared for Ministry of Agriculture, Fisheries and Food (MAFF), Economics (Resource Use) Division. Cheltenham and </w:t>
            </w:r>
            <w:proofErr w:type="spellStart"/>
            <w:r w:rsidRPr="00596009">
              <w:rPr>
                <w:lang w:val="en-US"/>
              </w:rPr>
              <w:t>Glouchester</w:t>
            </w:r>
            <w:proofErr w:type="spellEnd"/>
            <w:r w:rsidRPr="00596009">
              <w:rPr>
                <w:lang w:val="en-US"/>
              </w:rPr>
              <w:t xml:space="preserve"> College of Higher Education and ADAS.</w:t>
            </w:r>
          </w:p>
        </w:tc>
      </w:tr>
      <w:tr w:rsidR="005E0C75" w:rsidRPr="00A55F2A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11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NotrG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Northeim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model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project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>, Germany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Klimeka</w:t>
            </w:r>
            <w:proofErr w:type="spellEnd"/>
            <w:r w:rsidRPr="00596009">
              <w:rPr>
                <w:lang w:val="en-US"/>
              </w:rPr>
              <w:t xml:space="preserve"> S, Richter gen. </w:t>
            </w:r>
            <w:proofErr w:type="spellStart"/>
            <w:r w:rsidRPr="00596009">
              <w:rPr>
                <w:lang w:val="en-US"/>
              </w:rPr>
              <w:t>Kemmermanna</w:t>
            </w:r>
            <w:proofErr w:type="spellEnd"/>
            <w:r w:rsidRPr="00596009">
              <w:rPr>
                <w:lang w:val="en-US"/>
              </w:rPr>
              <w:t xml:space="preserve"> A, Steinmann </w:t>
            </w:r>
            <w:proofErr w:type="spellStart"/>
            <w:r w:rsidRPr="00596009">
              <w:rPr>
                <w:lang w:val="en-US"/>
              </w:rPr>
              <w:t>HH</w:t>
            </w:r>
            <w:proofErr w:type="spellEnd"/>
            <w:r w:rsidRPr="00596009">
              <w:rPr>
                <w:lang w:val="en-US"/>
              </w:rPr>
              <w:t xml:space="preserve">, </w:t>
            </w:r>
            <w:proofErr w:type="spellStart"/>
            <w:r w:rsidRPr="00596009">
              <w:rPr>
                <w:lang w:val="en-US"/>
              </w:rPr>
              <w:t>Freese</w:t>
            </w:r>
            <w:proofErr w:type="spellEnd"/>
            <w:r w:rsidRPr="00596009">
              <w:rPr>
                <w:lang w:val="en-US"/>
              </w:rPr>
              <w:t xml:space="preserve"> J, </w:t>
            </w:r>
            <w:proofErr w:type="spellStart"/>
            <w:r w:rsidRPr="00596009">
              <w:rPr>
                <w:lang w:val="en-US"/>
              </w:rPr>
              <w:t>Isselstein</w:t>
            </w:r>
            <w:proofErr w:type="spellEnd"/>
            <w:r w:rsidRPr="00596009">
              <w:rPr>
                <w:lang w:val="en-US"/>
              </w:rPr>
              <w:t xml:space="preserve">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Rewarding farmers for delivering vascular plant diversity in managed grasslands: A transdisciplinary case-study approach. Biological Conservation 141:2888–2897.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Grolleau</w:t>
            </w:r>
            <w:proofErr w:type="spellEnd"/>
            <w:r w:rsidRPr="00596009">
              <w:rPr>
                <w:lang w:val="en-US"/>
              </w:rPr>
              <w:t xml:space="preserve"> G, McCann </w:t>
            </w:r>
            <w:proofErr w:type="spellStart"/>
            <w:r w:rsidRPr="00596009">
              <w:rPr>
                <w:lang w:val="en-US"/>
              </w:rPr>
              <w:t>LMJ</w:t>
            </w:r>
            <w:proofErr w:type="spellEnd"/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Designing watershed programs to pay farmers for water quality services: Case studies </w:t>
            </w:r>
            <w:r w:rsidRPr="00596009">
              <w:rPr>
                <w:lang w:val="en-US"/>
              </w:rPr>
              <w:lastRenderedPageBreak/>
              <w:t xml:space="preserve">of Munich and New York City. Ecological Economics </w:t>
            </w:r>
            <w:proofErr w:type="gramStart"/>
            <w:r w:rsidRPr="00596009">
              <w:rPr>
                <w:lang w:val="en-US"/>
              </w:rPr>
              <w:t>76 :</w:t>
            </w:r>
            <w:proofErr w:type="gramEnd"/>
            <w:r w:rsidRPr="00596009">
              <w:rPr>
                <w:lang w:val="en-US"/>
              </w:rPr>
              <w:t>87–94.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12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CamZ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CAMPFIRE, Zimbabwe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Frost PGH, Bond I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The CAMPFIRE programme in Zimbabwe: Payments for wildlife services. Ecological Economics 65:776-787.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7A452D">
              <w:rPr>
                <w:lang w:val="en-US"/>
              </w:rPr>
              <w:t xml:space="preserve">Dunham KM, Davies </w:t>
            </w:r>
            <w:proofErr w:type="spellStart"/>
            <w:r w:rsidRPr="007A452D">
              <w:rPr>
                <w:lang w:val="en-US"/>
              </w:rPr>
              <w:t>C,Muhwandagara</w:t>
            </w:r>
            <w:proofErr w:type="spellEnd"/>
            <w:r w:rsidRPr="007A452D">
              <w:rPr>
                <w:lang w:val="en-US"/>
              </w:rPr>
              <w:t xml:space="preserve"> K</w:t>
            </w:r>
            <w:r w:rsidR="00E9358B" w:rsidRPr="007A452D">
              <w:rPr>
                <w:lang w:val="en-US"/>
              </w:rPr>
              <w:t>.</w:t>
            </w:r>
            <w:r w:rsidRPr="007A452D">
              <w:rPr>
                <w:lang w:val="en-US"/>
              </w:rPr>
              <w:t xml:space="preserve"> (2003)</w:t>
            </w:r>
            <w:r w:rsidR="00E9358B" w:rsidRPr="007A452D">
              <w:rPr>
                <w:lang w:val="en-US"/>
              </w:rPr>
              <w:t>.</w:t>
            </w:r>
            <w:r w:rsidRPr="007A452D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Area and Quality of Wildlife Habitat in Selected CAMPFIRE Districts. WWF-SARPO and the CAMPFIRE Association, Harare, Zimbabwe, (mimeo).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13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LavCo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2403E8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2403E8">
              <w:rPr>
                <w:rFonts w:ascii="Calibri" w:hAnsi="Calibri" w:cs="Calibri"/>
                <w:color w:val="000000"/>
                <w:lang w:val="es-ES"/>
              </w:rPr>
              <w:t>CIPAV-Río La Vieja, Colombia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pt-BR"/>
              </w:rPr>
              <w:t>Zapata A, Murgueitio E, Mejía C, Zuluaga AF, Ibrahim M</w:t>
            </w:r>
            <w:r w:rsidR="00E9358B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(2007)</w:t>
            </w:r>
            <w:r w:rsidR="00E9358B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</w:t>
            </w:r>
            <w:r w:rsidRPr="002403E8">
              <w:rPr>
                <w:lang w:val="es-ES"/>
              </w:rPr>
              <w:t>Efecto del pago por serv</w:t>
            </w:r>
            <w:r w:rsidRPr="00596009">
              <w:rPr>
                <w:lang w:val="es-ES"/>
              </w:rPr>
              <w:t xml:space="preserve">icios ambientales en la adopción de sistemas </w:t>
            </w:r>
            <w:proofErr w:type="spellStart"/>
            <w:r w:rsidRPr="00596009">
              <w:rPr>
                <w:lang w:val="es-ES"/>
              </w:rPr>
              <w:t>silvopastoriles</w:t>
            </w:r>
            <w:proofErr w:type="spellEnd"/>
            <w:r w:rsidRPr="00596009">
              <w:rPr>
                <w:lang w:val="es-ES"/>
              </w:rPr>
              <w:t xml:space="preserve"> en paisajes ganaderos de la cuenca media del río La Vieja, Colombia. </w:t>
            </w:r>
            <w:proofErr w:type="spellStart"/>
            <w:r w:rsidRPr="00596009">
              <w:rPr>
                <w:lang w:val="en-US"/>
              </w:rPr>
              <w:t>Agroforesteria</w:t>
            </w:r>
            <w:proofErr w:type="spellEnd"/>
            <w:r w:rsidRPr="00596009">
              <w:rPr>
                <w:lang w:val="en-US"/>
              </w:rPr>
              <w:t xml:space="preserve"> en las </w:t>
            </w:r>
            <w:proofErr w:type="spellStart"/>
            <w:r w:rsidRPr="00596009">
              <w:rPr>
                <w:lang w:val="en-US"/>
              </w:rPr>
              <w:t>Américas</w:t>
            </w:r>
            <w:proofErr w:type="spellEnd"/>
            <w:r w:rsidRPr="00596009">
              <w:rPr>
                <w:lang w:val="en-US"/>
              </w:rPr>
              <w:t xml:space="preserve"> 45:86-92.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en-US"/>
              </w:rPr>
              <w:t xml:space="preserve">Pagiola S, Rios AR, </w:t>
            </w:r>
            <w:proofErr w:type="spellStart"/>
            <w:r w:rsidRPr="002403E8">
              <w:rPr>
                <w:lang w:val="en-US"/>
              </w:rPr>
              <w:t>Arcenas</w:t>
            </w:r>
            <w:proofErr w:type="spellEnd"/>
            <w:r w:rsidRPr="002403E8">
              <w:rPr>
                <w:lang w:val="en-US"/>
              </w:rPr>
              <w:t xml:space="preserve"> A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(2010)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Poor household participation in payments for environmental services: Lessons from the Silvopastoral Project in Quindío, Colombia. Environmental and Resource Economics 47:371-394.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lang w:val="en-US"/>
              </w:rPr>
            </w:pPr>
            <w:r w:rsidRPr="00E9358B">
              <w:rPr>
                <w:lang w:val="en-US"/>
              </w:rPr>
              <w:t>14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ChaE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Chachis</w:t>
            </w:r>
            <w:proofErr w:type="spellEnd"/>
            <w:r w:rsidRPr="00E9358B">
              <w:rPr>
                <w:rFonts w:ascii="Calibri" w:hAnsi="Calibri" w:cs="Calibri"/>
                <w:color w:val="000000"/>
                <w:lang w:val="en-US"/>
              </w:rPr>
              <w:t>, Ecuador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2403E8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s-ES"/>
              </w:rPr>
              <w:t>Wendland</w:t>
            </w:r>
            <w:proofErr w:type="spellEnd"/>
            <w:r w:rsidRPr="002403E8">
              <w:rPr>
                <w:lang w:val="es-ES"/>
              </w:rPr>
              <w:t xml:space="preserve"> K, Suárez L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(2009)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Incentivos a cambio de servicios ambientales y colectividad de la tenen</w:t>
            </w:r>
            <w:r w:rsidRPr="00596009">
              <w:rPr>
                <w:lang w:val="es-ES"/>
              </w:rPr>
              <w:t xml:space="preserve">cia de la tierra: Lecciones de Ecuador e Indonesia.  </w:t>
            </w:r>
            <w:r w:rsidRPr="002403E8">
              <w:rPr>
                <w:lang w:val="en-US"/>
              </w:rPr>
              <w:t>USAID Land Tenure Center, Tenure Brief no. 9.</w:t>
            </w:r>
          </w:p>
          <w:p w:rsidR="005E0C75" w:rsidRPr="002403E8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A55F2A">
              <w:rPr>
                <w:lang w:val="en-US"/>
              </w:rPr>
              <w:t>Speiser</w:t>
            </w:r>
            <w:proofErr w:type="spellEnd"/>
            <w:r w:rsidRPr="00A55F2A">
              <w:rPr>
                <w:lang w:val="en-US"/>
              </w:rPr>
              <w:t xml:space="preserve"> S, Bauer K, </w:t>
            </w:r>
            <w:proofErr w:type="spellStart"/>
            <w:r w:rsidRPr="00A55F2A">
              <w:rPr>
                <w:lang w:val="en-US"/>
              </w:rPr>
              <w:t>Villacreset</w:t>
            </w:r>
            <w:proofErr w:type="spellEnd"/>
            <w:r w:rsidRPr="00A55F2A">
              <w:rPr>
                <w:lang w:val="en-US"/>
              </w:rPr>
              <w:t xml:space="preserve"> D</w:t>
            </w:r>
            <w:r w:rsidR="00E9358B" w:rsidRPr="00A55F2A">
              <w:rPr>
                <w:lang w:val="en-US"/>
              </w:rPr>
              <w:t>.</w:t>
            </w:r>
            <w:r w:rsidRPr="00A55F2A">
              <w:rPr>
                <w:lang w:val="en-US"/>
              </w:rPr>
              <w:t xml:space="preserve"> (2009)</w:t>
            </w:r>
            <w:r w:rsidR="00E9358B" w:rsidRPr="00A55F2A">
              <w:rPr>
                <w:lang w:val="en-US"/>
              </w:rPr>
              <w:t>.</w:t>
            </w:r>
            <w:r w:rsidRPr="00A55F2A">
              <w:rPr>
                <w:lang w:val="en-US"/>
              </w:rPr>
              <w:t xml:space="preserve"> </w:t>
            </w:r>
            <w:r w:rsidRPr="00596009">
              <w:rPr>
                <w:lang w:val="es-ES"/>
              </w:rPr>
              <w:t xml:space="preserve">Buenas Prácticas Conservación y Desarrollo: una experiencia de los Chachi en el Noroccidente Ecuatoriano. </w:t>
            </w:r>
            <w:r w:rsidRPr="002403E8">
              <w:rPr>
                <w:lang w:val="en-US"/>
              </w:rPr>
              <w:t xml:space="preserve">GTZ. Available at </w:t>
            </w:r>
            <w:hyperlink r:id="rId7" w:history="1">
              <w:r w:rsidRPr="00596009">
                <w:rPr>
                  <w:rStyle w:val="Hyperlink"/>
                  <w:lang w:val="en-US"/>
                </w:rPr>
                <w:t>http://www.unl.edu.ec/agropecuaria/wp-content/uploads/2012/03/sp-buenas_practicas-areas-protegidas-Chachi-ecuador1.pdf</w:t>
              </w:r>
            </w:hyperlink>
            <w:r w:rsidRPr="00596009">
              <w:rPr>
                <w:lang w:val="en-US"/>
              </w:rPr>
              <w:t xml:space="preserve">. </w:t>
            </w:r>
          </w:p>
        </w:tc>
      </w:tr>
      <w:tr w:rsidR="005E0C75" w:rsidRPr="00B16C9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ChaCo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r w:rsidRPr="00596009">
              <w:rPr>
                <w:rFonts w:ascii="Calibri" w:hAnsi="Calibri" w:cs="Calibri"/>
                <w:color w:val="000000"/>
              </w:rPr>
              <w:t xml:space="preserve">Chaina,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Colombia</w:t>
            </w:r>
            <w:proofErr w:type="spellEnd"/>
          </w:p>
        </w:tc>
        <w:tc>
          <w:tcPr>
            <w:tcW w:w="10920" w:type="dxa"/>
            <w:shd w:val="clear" w:color="auto" w:fill="auto"/>
          </w:tcPr>
          <w:p w:rsidR="005E0C75" w:rsidRPr="002403E8" w:rsidRDefault="005E0C75" w:rsidP="00C6224F">
            <w:pPr>
              <w:pStyle w:val="NoSpacing"/>
              <w:rPr>
                <w:lang w:val="en-US"/>
              </w:rPr>
            </w:pPr>
            <w:r w:rsidRPr="00E9358B">
              <w:rPr>
                <w:lang w:val="es-ES"/>
              </w:rPr>
              <w:t xml:space="preserve">Borda-Almanza CA,  Moreno </w:t>
            </w:r>
            <w:proofErr w:type="spellStart"/>
            <w:r w:rsidRPr="00E9358B">
              <w:rPr>
                <w:lang w:val="es-ES"/>
              </w:rPr>
              <w:t>RP</w:t>
            </w:r>
            <w:proofErr w:type="spellEnd"/>
            <w:r w:rsidRPr="00E9358B">
              <w:rPr>
                <w:lang w:val="es-ES"/>
              </w:rPr>
              <w:t xml:space="preserve">,  </w:t>
            </w:r>
            <w:proofErr w:type="spellStart"/>
            <w:r w:rsidRPr="00E9358B">
              <w:rPr>
                <w:lang w:val="es-ES"/>
              </w:rPr>
              <w:t>Wunder</w:t>
            </w:r>
            <w:proofErr w:type="spellEnd"/>
            <w:r w:rsidRPr="00E9358B">
              <w:rPr>
                <w:lang w:val="es-ES"/>
              </w:rPr>
              <w:t xml:space="preserve"> S</w:t>
            </w:r>
            <w:r w:rsidR="00E9358B" w:rsidRPr="00E9358B">
              <w:rPr>
                <w:lang w:val="es-ES"/>
              </w:rPr>
              <w:t>.</w:t>
            </w:r>
            <w:r w:rsidRPr="00E9358B">
              <w:rPr>
                <w:lang w:val="es-ES"/>
              </w:rPr>
              <w:t xml:space="preserve"> (2009)</w:t>
            </w:r>
            <w:r w:rsidR="00E9358B" w:rsidRPr="00E9358B">
              <w:rPr>
                <w:lang w:val="es-ES"/>
              </w:rPr>
              <w:t>.</w:t>
            </w:r>
            <w:r w:rsidRPr="00E9358B">
              <w:rPr>
                <w:lang w:val="es-ES"/>
              </w:rPr>
              <w:t xml:space="preserve"> Pagos por Servicios Ambientales en Marcha: La Experiencia en la Microcuenca de Chaina, Departamento de Boyacá, Colombia. </w:t>
            </w:r>
            <w:r w:rsidRPr="002403E8">
              <w:rPr>
                <w:lang w:val="en-US"/>
              </w:rPr>
              <w:t>CIFOR unpublished report 54p.</w:t>
            </w:r>
          </w:p>
          <w:p w:rsidR="00DD1851" w:rsidRPr="002403E8" w:rsidRDefault="00DD1851" w:rsidP="00C6224F">
            <w:pPr>
              <w:pStyle w:val="NoSpacing"/>
              <w:rPr>
                <w:lang w:val="en-US"/>
              </w:rPr>
            </w:pPr>
          </w:p>
          <w:p w:rsidR="00DD1851" w:rsidRPr="00596009" w:rsidRDefault="00DD1851" w:rsidP="00C6224F">
            <w:pPr>
              <w:pStyle w:val="NoSpacing"/>
              <w:rPr>
                <w:lang w:val="en-US"/>
              </w:rPr>
            </w:pPr>
            <w:r w:rsidRPr="002403E8">
              <w:rPr>
                <w:lang w:val="en-US"/>
              </w:rPr>
              <w:t xml:space="preserve">Moreno-Sanchez, Rocio, Jorge </w:t>
            </w:r>
            <w:proofErr w:type="spellStart"/>
            <w:r w:rsidRPr="002403E8">
              <w:rPr>
                <w:lang w:val="en-US"/>
              </w:rPr>
              <w:t>Higinio</w:t>
            </w:r>
            <w:proofErr w:type="spellEnd"/>
            <w:r w:rsidRPr="002403E8">
              <w:rPr>
                <w:lang w:val="en-US"/>
              </w:rPr>
              <w:t xml:space="preserve"> Maldonado, Sven </w:t>
            </w:r>
            <w:proofErr w:type="spellStart"/>
            <w:r w:rsidRPr="002403E8">
              <w:rPr>
                <w:lang w:val="en-US"/>
              </w:rPr>
              <w:t>Wunder</w:t>
            </w:r>
            <w:proofErr w:type="spellEnd"/>
            <w:r w:rsidRPr="002403E8">
              <w:rPr>
                <w:lang w:val="en-US"/>
              </w:rPr>
              <w:t xml:space="preserve">, and Carlos Borda-Almanza. </w:t>
            </w:r>
            <w:r w:rsidR="00E9358B" w:rsidRPr="002403E8">
              <w:rPr>
                <w:lang w:val="en-US"/>
              </w:rPr>
              <w:t>(</w:t>
            </w:r>
            <w:r w:rsidRPr="002403E8">
              <w:rPr>
                <w:lang w:val="en-US"/>
              </w:rPr>
              <w:t>2012</w:t>
            </w:r>
            <w:r w:rsidR="00E9358B" w:rsidRPr="002403E8">
              <w:rPr>
                <w:lang w:val="en-US"/>
              </w:rPr>
              <w:t>)</w:t>
            </w:r>
            <w:r w:rsidRPr="002403E8">
              <w:rPr>
                <w:lang w:val="en-US"/>
              </w:rPr>
              <w:t xml:space="preserve">. Heterogeneous users and willingness to pay in an ongoing payment for watershed protection initiative in the Colombian Andes. </w:t>
            </w:r>
            <w:r w:rsidRPr="00E9358B">
              <w:rPr>
                <w:iCs/>
              </w:rPr>
              <w:t>Eco</w:t>
            </w:r>
            <w:r w:rsidRPr="00596009">
              <w:rPr>
                <w:iCs/>
                <w:lang w:val="en-US"/>
              </w:rPr>
              <w:t>logical Economics</w:t>
            </w:r>
            <w:r w:rsidRPr="00596009">
              <w:rPr>
                <w:lang w:val="en-US"/>
              </w:rPr>
              <w:t xml:space="preserve"> 75:126-134.</w:t>
            </w:r>
          </w:p>
        </w:tc>
      </w:tr>
      <w:tr w:rsidR="005E0C75" w:rsidRPr="00E9358B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16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ProcCo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Procuenca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Colombia</w:t>
            </w:r>
            <w:proofErr w:type="spellEnd"/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s-ES"/>
              </w:rPr>
              <w:t>Cardona-Calle DA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(2008)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Implementación de mecanismos de compensación por servicios ambientales: incentivos y captura de carbono: Estudio de caso </w:t>
            </w:r>
            <w:proofErr w:type="spellStart"/>
            <w:r w:rsidRPr="00596009">
              <w:rPr>
                <w:lang w:val="es-ES"/>
              </w:rPr>
              <w:t>Procuenca</w:t>
            </w:r>
            <w:proofErr w:type="spellEnd"/>
            <w:r w:rsidRPr="00596009">
              <w:rPr>
                <w:lang w:val="es-ES"/>
              </w:rPr>
              <w:t xml:space="preserve">, Colombia. </w:t>
            </w:r>
            <w:r w:rsidRPr="002403E8">
              <w:rPr>
                <w:lang w:val="en-US"/>
              </w:rPr>
              <w:t xml:space="preserve">Available at </w:t>
            </w:r>
            <w:hyperlink r:id="rId8" w:history="1">
              <w:r w:rsidRPr="002403E8">
                <w:rPr>
                  <w:rStyle w:val="Hyperlink"/>
                  <w:lang w:val="en-US"/>
                </w:rPr>
                <w:t>h</w:t>
              </w:r>
              <w:r w:rsidRPr="00596009">
                <w:rPr>
                  <w:rStyle w:val="Hyperlink"/>
                  <w:lang w:val="en-US"/>
                </w:rPr>
                <w:t>ttp://globalforestcoalition.org/wp-content/uploads/2010/11/Estudiodecaso-Procuenca-Colombia1.pdf</w:t>
              </w:r>
            </w:hyperlink>
            <w:r w:rsidRPr="00596009">
              <w:rPr>
                <w:lang w:val="en-US"/>
              </w:rPr>
              <w:t xml:space="preserve">. 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>Erazo J, Benjumea F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(2004)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Análisis de la aplicación de la exoneración del impuesto predial como incentivo para la conservación en Manizales. Instituto Von </w:t>
            </w:r>
            <w:proofErr w:type="spellStart"/>
            <w:r w:rsidRPr="00596009">
              <w:rPr>
                <w:lang w:val="es-ES"/>
              </w:rPr>
              <w:t>Humbodt</w:t>
            </w:r>
            <w:proofErr w:type="spellEnd"/>
            <w:r w:rsidRPr="00596009">
              <w:rPr>
                <w:lang w:val="es-ES"/>
              </w:rPr>
              <w:t xml:space="preserve">, </w:t>
            </w:r>
            <w:proofErr w:type="spellStart"/>
            <w:r w:rsidRPr="00596009">
              <w:rPr>
                <w:lang w:val="es-ES"/>
              </w:rPr>
              <w:t>Bogota</w:t>
            </w:r>
            <w:proofErr w:type="spellEnd"/>
            <w:r w:rsidRPr="00596009">
              <w:rPr>
                <w:lang w:val="es-ES"/>
              </w:rPr>
              <w:t>, Colombia. 38p.</w:t>
            </w:r>
          </w:p>
        </w:tc>
      </w:tr>
      <w:tr w:rsidR="005E0C75" w:rsidRPr="00A55F2A" w:rsidTr="00DF6EBC">
        <w:tc>
          <w:tcPr>
            <w:tcW w:w="819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lang w:val="es-ES"/>
              </w:rPr>
            </w:pPr>
            <w:r w:rsidRPr="00E9358B">
              <w:rPr>
                <w:lang w:val="es-ES"/>
              </w:rPr>
              <w:t>17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s-ES"/>
              </w:rPr>
              <w:t>CelE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s-ES"/>
              </w:rPr>
              <w:t>Celica</w:t>
            </w:r>
            <w:proofErr w:type="spellEnd"/>
            <w:r w:rsidRPr="00E9358B">
              <w:rPr>
                <w:rFonts w:ascii="Calibri" w:hAnsi="Calibri" w:cs="Calibri"/>
                <w:color w:val="000000"/>
                <w:lang w:val="es-ES"/>
              </w:rPr>
              <w:t>, Ecuador</w:t>
            </w:r>
          </w:p>
        </w:tc>
        <w:tc>
          <w:tcPr>
            <w:tcW w:w="10920" w:type="dxa"/>
            <w:shd w:val="clear" w:color="auto" w:fill="auto"/>
          </w:tcPr>
          <w:p w:rsidR="005E0C75" w:rsidRPr="002403E8" w:rsidRDefault="005E0C75" w:rsidP="00596009">
            <w:pPr>
              <w:rPr>
                <w:lang w:val="en-US"/>
              </w:rPr>
            </w:pPr>
            <w:proofErr w:type="spellStart"/>
            <w:r w:rsidRPr="00E9358B">
              <w:rPr>
                <w:lang w:val="es-ES"/>
              </w:rPr>
              <w:t>Yaguache</w:t>
            </w:r>
            <w:proofErr w:type="spellEnd"/>
            <w:r w:rsidRPr="00E9358B">
              <w:rPr>
                <w:lang w:val="es-ES"/>
              </w:rPr>
              <w:t>-Ordóñez R</w:t>
            </w:r>
            <w:r w:rsidR="00E9358B" w:rsidRPr="00E9358B">
              <w:rPr>
                <w:lang w:val="es-ES"/>
              </w:rPr>
              <w:t>.</w:t>
            </w:r>
            <w:r w:rsidRPr="00E9358B">
              <w:rPr>
                <w:lang w:val="es-ES"/>
              </w:rPr>
              <w:t xml:space="preserve"> (2013)</w:t>
            </w:r>
            <w:r w:rsidR="00E9358B" w:rsidRPr="00E9358B">
              <w:rPr>
                <w:lang w:val="es-ES"/>
              </w:rPr>
              <w:t>.</w:t>
            </w:r>
            <w:r w:rsidRPr="00E9358B">
              <w:rPr>
                <w:lang w:val="es-ES"/>
              </w:rPr>
              <w:t xml:space="preserve"> Los acuerdos voluntarios para la conservación y restauración de bosques. </w:t>
            </w:r>
            <w:r w:rsidRPr="002403E8">
              <w:rPr>
                <w:lang w:val="en-US"/>
              </w:rPr>
              <w:t>Presentation at Sustainable Forest Production international congress, Quito, Ecuador, 12–13 June 2013.</w:t>
            </w:r>
          </w:p>
          <w:p w:rsidR="005E0C75" w:rsidRPr="002403E8" w:rsidRDefault="005E0C75" w:rsidP="00596009">
            <w:pPr>
              <w:rPr>
                <w:lang w:val="en-US"/>
              </w:rPr>
            </w:pPr>
          </w:p>
          <w:p w:rsidR="005E0C75" w:rsidRPr="00596009" w:rsidRDefault="00DD1851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lastRenderedPageBreak/>
              <w:t>Raes</w:t>
            </w:r>
            <w:proofErr w:type="spellEnd"/>
            <w:r w:rsidRPr="002403E8">
              <w:rPr>
                <w:lang w:val="en-US"/>
              </w:rPr>
              <w:t xml:space="preserve">, Leander, Eduardo </w:t>
            </w:r>
            <w:proofErr w:type="spellStart"/>
            <w:r w:rsidRPr="002403E8">
              <w:rPr>
                <w:lang w:val="en-US"/>
              </w:rPr>
              <w:t>Rengel</w:t>
            </w:r>
            <w:proofErr w:type="spellEnd"/>
            <w:r w:rsidRPr="002403E8">
              <w:rPr>
                <w:lang w:val="en-US"/>
              </w:rPr>
              <w:t xml:space="preserve">, and José Romero. </w:t>
            </w:r>
            <w:r w:rsidR="00E9358B" w:rsidRPr="002403E8">
              <w:rPr>
                <w:lang w:val="en-US"/>
              </w:rPr>
              <w:t>(</w:t>
            </w:r>
            <w:r w:rsidRPr="002403E8">
              <w:rPr>
                <w:lang w:val="en-US"/>
              </w:rPr>
              <w:t>2012</w:t>
            </w:r>
            <w:r w:rsidR="00E9358B" w:rsidRPr="002403E8">
              <w:rPr>
                <w:lang w:val="en-US"/>
              </w:rPr>
              <w:t>)</w:t>
            </w:r>
            <w:r w:rsidRPr="002403E8">
              <w:rPr>
                <w:lang w:val="en-US"/>
              </w:rPr>
              <w:t xml:space="preserve">. Inter-municipal cooperation in watershed conservation through the establishment of a regional </w:t>
            </w:r>
            <w:r w:rsidRPr="00596009">
              <w:rPr>
                <w:lang w:val="en-US"/>
              </w:rPr>
              <w:t>water fund–FORAGUA–in Southern Ecuador.</w:t>
            </w:r>
          </w:p>
        </w:tc>
      </w:tr>
      <w:tr w:rsidR="005E0C75" w:rsidRPr="00E9358B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s-ES"/>
              </w:rPr>
            </w:pPr>
            <w:r w:rsidRPr="00596009">
              <w:rPr>
                <w:lang w:val="es-ES"/>
              </w:rPr>
              <w:lastRenderedPageBreak/>
              <w:t>18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s-ES"/>
              </w:rPr>
              <w:t>ChacE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596009">
              <w:rPr>
                <w:rFonts w:ascii="Calibri" w:hAnsi="Calibri" w:cs="Calibri"/>
                <w:color w:val="000000"/>
                <w:lang w:val="es-ES"/>
              </w:rPr>
              <w:t>Chaco, Ecuador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596009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>Cordero-Camacho D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(2008)</w:t>
            </w:r>
            <w:r w:rsidR="00E9358B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Esquemas de pagos por servicios ambientales para la conservación de cuencas hidrográficas en el Ecuador. Investigación Agraria: Sistemas y Recursos Forestales 17(1) 54-66.</w:t>
            </w:r>
          </w:p>
        </w:tc>
      </w:tr>
      <w:tr w:rsidR="005E0C75" w:rsidRPr="00A55F2A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s-ES"/>
              </w:rPr>
            </w:pPr>
            <w:r w:rsidRPr="00596009">
              <w:rPr>
                <w:lang w:val="es-ES"/>
              </w:rPr>
              <w:t>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s-ES"/>
              </w:rPr>
              <w:t>RichS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s-ES"/>
              </w:rPr>
              <w:t>Richtersveld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s-ES"/>
              </w:rPr>
              <w:t xml:space="preserve">,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s-ES"/>
              </w:rPr>
              <w:t>Sudafrica</w:t>
            </w:r>
            <w:proofErr w:type="spellEnd"/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en-US"/>
              </w:rPr>
              <w:t>Robinson R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(1998)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Community partnership in the </w:t>
            </w:r>
            <w:proofErr w:type="spellStart"/>
            <w:r w:rsidRPr="002403E8">
              <w:rPr>
                <w:lang w:val="en-US"/>
              </w:rPr>
              <w:t>Richtersveld</w:t>
            </w:r>
            <w:proofErr w:type="spellEnd"/>
            <w:r w:rsidRPr="002403E8">
              <w:rPr>
                <w:lang w:val="en-US"/>
              </w:rPr>
              <w:t xml:space="preserve"> National Park, South Africa. Pa</w:t>
            </w:r>
            <w:r w:rsidRPr="00596009">
              <w:rPr>
                <w:lang w:val="en-US"/>
              </w:rPr>
              <w:t>per presented in the Scandinavian Seminar College Workshop in Abidjan, Ivory Coast, November 9 - 11, 1998.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lang w:val="en-US"/>
              </w:rPr>
            </w:pPr>
            <w:r w:rsidRPr="00E9358B">
              <w:rPr>
                <w:lang w:val="en-US"/>
              </w:rPr>
              <w:t>20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KitK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Kitengela</w:t>
            </w:r>
            <w:proofErr w:type="spellEnd"/>
            <w:r w:rsidRPr="00E9358B">
              <w:rPr>
                <w:rFonts w:ascii="Calibri" w:hAnsi="Calibri" w:cs="Calibri"/>
                <w:color w:val="000000"/>
                <w:lang w:val="en-US"/>
              </w:rPr>
              <w:t>, Kenya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Yatich</w:t>
            </w:r>
            <w:proofErr w:type="spellEnd"/>
            <w:r w:rsidRPr="00596009">
              <w:rPr>
                <w:lang w:val="en-US"/>
              </w:rPr>
              <w:t xml:space="preserve"> T, Said M, Swallow B, </w:t>
            </w:r>
            <w:proofErr w:type="spellStart"/>
            <w:r w:rsidRPr="00596009">
              <w:rPr>
                <w:lang w:val="en-US"/>
              </w:rPr>
              <w:t>Sononka</w:t>
            </w:r>
            <w:proofErr w:type="spellEnd"/>
            <w:r w:rsidRPr="00596009">
              <w:rPr>
                <w:lang w:val="en-US"/>
              </w:rPr>
              <w:t xml:space="preserve">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Kitengela</w:t>
            </w:r>
            <w:proofErr w:type="spellEnd"/>
            <w:r w:rsidRPr="00596009">
              <w:rPr>
                <w:lang w:val="en-US"/>
              </w:rPr>
              <w:t xml:space="preserve"> Wildlife Lease Programme: Is it Realistic</w:t>
            </w:r>
            <w:proofErr w:type="gramStart"/>
            <w:r w:rsidRPr="00596009">
              <w:rPr>
                <w:lang w:val="en-US"/>
              </w:rPr>
              <w:t>,  conditional</w:t>
            </w:r>
            <w:proofErr w:type="gramEnd"/>
            <w:r w:rsidRPr="00596009">
              <w:rPr>
                <w:lang w:val="en-US"/>
              </w:rPr>
              <w:t xml:space="preserve">, pro-poor and voluntary? East and Southern Africa </w:t>
            </w:r>
            <w:proofErr w:type="spellStart"/>
            <w:r w:rsidRPr="00596009">
              <w:rPr>
                <w:lang w:val="en-US"/>
              </w:rPr>
              <w:t>Katoomba</w:t>
            </w:r>
            <w:proofErr w:type="spellEnd"/>
            <w:r w:rsidRPr="00596009">
              <w:rPr>
                <w:lang w:val="en-US"/>
              </w:rPr>
              <w:t xml:space="preserve"> Group Regional Workshop on Taking stock and char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proofErr w:type="gramStart"/>
            <w:r w:rsidRPr="00596009">
              <w:rPr>
                <w:lang w:val="en-US"/>
              </w:rPr>
              <w:t>ting</w:t>
            </w:r>
            <w:proofErr w:type="gramEnd"/>
            <w:r w:rsidRPr="00596009">
              <w:rPr>
                <w:lang w:val="en-US"/>
              </w:rPr>
              <w:t xml:space="preserve"> a way forward: Payments for Ecosystem Services in Africa, 16-17 September 2008, Dar-</w:t>
            </w:r>
            <w:proofErr w:type="spellStart"/>
            <w:r w:rsidRPr="00596009">
              <w:rPr>
                <w:lang w:val="en-US"/>
              </w:rPr>
              <w:t>es</w:t>
            </w:r>
            <w:proofErr w:type="spellEnd"/>
            <w:r w:rsidRPr="00596009">
              <w:rPr>
                <w:lang w:val="en-US"/>
              </w:rPr>
              <w:t xml:space="preserve">-salaam and </w:t>
            </w:r>
            <w:proofErr w:type="spellStart"/>
            <w:r w:rsidRPr="00596009">
              <w:rPr>
                <w:lang w:val="en-US"/>
              </w:rPr>
              <w:t>Morogoro</w:t>
            </w:r>
            <w:proofErr w:type="spellEnd"/>
            <w:r w:rsidRPr="00596009">
              <w:rPr>
                <w:lang w:val="en-US"/>
              </w:rPr>
              <w:t>, Tanzania.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Osano</w:t>
            </w:r>
            <w:proofErr w:type="spellEnd"/>
            <w:r w:rsidRPr="00596009">
              <w:rPr>
                <w:lang w:val="en-US"/>
              </w:rPr>
              <w:t xml:space="preserve"> P, de </w:t>
            </w:r>
            <w:proofErr w:type="spellStart"/>
            <w:r w:rsidRPr="00596009">
              <w:rPr>
                <w:lang w:val="en-US"/>
              </w:rPr>
              <w:t>Leeuw</w:t>
            </w:r>
            <w:proofErr w:type="spellEnd"/>
            <w:r w:rsidRPr="00596009">
              <w:rPr>
                <w:lang w:val="en-US"/>
              </w:rPr>
              <w:t>, J, Said M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Wildlife PES Schemes and Pastoral livelihoods in Arid &amp; Semi-Arid Lands (ASALs) in Kenya. Presentation at the workshop Restoring Value to Grasslands, 7-10 may 2012, Brasilia, Brazil.</w:t>
            </w:r>
          </w:p>
        </w:tc>
      </w:tr>
      <w:tr w:rsidR="005E0C75" w:rsidRPr="00E9358B" w:rsidTr="00DF6EBC">
        <w:tc>
          <w:tcPr>
            <w:tcW w:w="819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lang w:val="en-US"/>
              </w:rPr>
            </w:pPr>
            <w:r w:rsidRPr="00E9358B">
              <w:rPr>
                <w:lang w:val="en-US"/>
              </w:rPr>
              <w:t>21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MenM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Menabe</w:t>
            </w:r>
            <w:proofErr w:type="spellEnd"/>
            <w:r w:rsidRPr="00E9358B">
              <w:rPr>
                <w:rFonts w:ascii="Calibri" w:hAnsi="Calibri" w:cs="Calibri"/>
                <w:color w:val="000000"/>
                <w:lang w:val="en-US"/>
              </w:rPr>
              <w:t>, Madagascar</w:t>
            </w:r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E9358B">
            <w:pPr>
              <w:rPr>
                <w:lang w:val="en-US"/>
              </w:rPr>
            </w:pPr>
            <w:proofErr w:type="spellStart"/>
            <w:r w:rsidRPr="002403E8">
              <w:t>Sommerville</w:t>
            </w:r>
            <w:proofErr w:type="spellEnd"/>
            <w:r w:rsidRPr="002403E8">
              <w:t xml:space="preserve"> M, Jones </w:t>
            </w:r>
            <w:proofErr w:type="spellStart"/>
            <w:r w:rsidRPr="002403E8">
              <w:t>JGP</w:t>
            </w:r>
            <w:proofErr w:type="spellEnd"/>
            <w:r w:rsidRPr="002403E8">
              <w:t xml:space="preserve">, </w:t>
            </w:r>
            <w:proofErr w:type="spellStart"/>
            <w:r w:rsidRPr="002403E8">
              <w:t>Rahajaharison</w:t>
            </w:r>
            <w:proofErr w:type="spellEnd"/>
            <w:r w:rsidRPr="002403E8">
              <w:t xml:space="preserve"> M, Milner-</w:t>
            </w:r>
            <w:proofErr w:type="spellStart"/>
            <w:r w:rsidRPr="002403E8">
              <w:t>Gulland</w:t>
            </w:r>
            <w:proofErr w:type="spellEnd"/>
            <w:r w:rsidRPr="002403E8">
              <w:t xml:space="preserve"> </w:t>
            </w:r>
            <w:proofErr w:type="spellStart"/>
            <w:r w:rsidRPr="002403E8">
              <w:t>EJ</w:t>
            </w:r>
            <w:proofErr w:type="spellEnd"/>
            <w:r w:rsidR="00E9358B" w:rsidRPr="002403E8">
              <w:t>.</w:t>
            </w:r>
            <w:r w:rsidRPr="002403E8">
              <w:t xml:space="preserve"> </w:t>
            </w:r>
            <w:r w:rsidRPr="00596009">
              <w:rPr>
                <w:lang w:val="en-US"/>
              </w:rPr>
              <w:t>(2010)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The role of fairness and benefit distribution in community-based Payment for</w:t>
            </w:r>
            <w:r w:rsidR="00E9358B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 xml:space="preserve">Environmental Services interventions: A case study from </w:t>
            </w:r>
            <w:proofErr w:type="spellStart"/>
            <w:r w:rsidRPr="00596009">
              <w:rPr>
                <w:lang w:val="en-US"/>
              </w:rPr>
              <w:t>Menabe</w:t>
            </w:r>
            <w:proofErr w:type="spellEnd"/>
            <w:r w:rsidRPr="00596009">
              <w:rPr>
                <w:lang w:val="en-US"/>
              </w:rPr>
              <w:t>, Madagascar. Ecological Economics 69: 1262–1271.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E9358B" w:rsidRDefault="005E0C75" w:rsidP="00596009">
            <w:pPr>
              <w:jc w:val="center"/>
              <w:rPr>
                <w:lang w:val="en-US"/>
              </w:rPr>
            </w:pPr>
            <w:r w:rsidRPr="00E9358B">
              <w:rPr>
                <w:lang w:val="en-US"/>
              </w:rPr>
              <w:t>22</w:t>
            </w:r>
          </w:p>
        </w:tc>
        <w:tc>
          <w:tcPr>
            <w:tcW w:w="1064" w:type="dxa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TurtT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9358B">
              <w:rPr>
                <w:rFonts w:ascii="Calibri" w:hAnsi="Calibri" w:cs="Calibri"/>
                <w:color w:val="000000"/>
                <w:lang w:val="en-US"/>
              </w:rPr>
              <w:t>Sea turtle nest, Tanzania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Ferraro PJ</w:t>
            </w:r>
            <w:r w:rsidR="00596009" w:rsidRPr="00596009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(2007)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Performance Payments for Sea Turtle Nest Protection in Low income Nations: a case study from Tanzania. Southwest Fisheries Science Center,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National Marine Fisheries Service National Oceanic and Atmospheric Administration. Available at </w:t>
            </w:r>
            <w:hyperlink r:id="rId9" w:history="1">
              <w:r w:rsidRPr="00596009">
                <w:rPr>
                  <w:rStyle w:val="Hyperlink"/>
                  <w:lang w:val="en-US"/>
                </w:rPr>
                <w:t>http://www2.gsu.edu/~wwwcec/docs/doc%20updates/NOAA%20Paper%20TZ%20Final%20Draft%20June%202007.pdf</w:t>
              </w:r>
            </w:hyperlink>
            <w:r w:rsidRPr="00596009">
              <w:rPr>
                <w:lang w:val="en-US"/>
              </w:rPr>
              <w:t>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Ferraro </w:t>
            </w:r>
            <w:proofErr w:type="spellStart"/>
            <w:r w:rsidRPr="00596009">
              <w:rPr>
                <w:lang w:val="en-US"/>
              </w:rPr>
              <w:t>PJ</w:t>
            </w:r>
            <w:proofErr w:type="spellEnd"/>
            <w:r w:rsidRPr="00596009">
              <w:rPr>
                <w:lang w:val="en-US"/>
              </w:rPr>
              <w:t xml:space="preserve">, </w:t>
            </w:r>
            <w:proofErr w:type="spellStart"/>
            <w:r w:rsidRPr="00596009">
              <w:rPr>
                <w:lang w:val="en-US"/>
              </w:rPr>
              <w:t>Gjertsen</w:t>
            </w:r>
            <w:proofErr w:type="spellEnd"/>
            <w:r w:rsidRPr="00596009">
              <w:rPr>
                <w:lang w:val="en-US"/>
              </w:rPr>
              <w:t xml:space="preserve"> H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(2009)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A Global Review of Incentive Payments for Sea Turtle Conservation. Chelonian Conservation and Biology 8(1):48-56.</w:t>
            </w:r>
          </w:p>
        </w:tc>
      </w:tr>
      <w:tr w:rsidR="005E0C75" w:rsidRPr="00E9358B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23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BirwCa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Bird watch &amp; ecotourism, Cambodia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Clements T, </w:t>
            </w:r>
            <w:r w:rsidR="002403E8" w:rsidRPr="00596009">
              <w:rPr>
                <w:lang w:val="en-US"/>
              </w:rPr>
              <w:t>Ashish J</w:t>
            </w:r>
            <w:r w:rsidRPr="00596009">
              <w:rPr>
                <w:lang w:val="en-US"/>
              </w:rPr>
              <w:t xml:space="preserve">, Nielsen K, </w:t>
            </w:r>
            <w:proofErr w:type="gramStart"/>
            <w:r w:rsidRPr="00596009">
              <w:rPr>
                <w:lang w:val="en-US"/>
              </w:rPr>
              <w:t>An</w:t>
            </w:r>
            <w:proofErr w:type="gramEnd"/>
            <w:r w:rsidRPr="00596009">
              <w:rPr>
                <w:lang w:val="en-US"/>
              </w:rPr>
              <w:t xml:space="preserve"> D, Tan S, Milner-Gulland EJ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Payments for biodiversity conservation in the context of weak institutions: Comparison of three programs from Cambodia. Ecological Economics 69: 1283–1291.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Clements T, John A, Nielsen K, </w:t>
            </w:r>
            <w:proofErr w:type="spellStart"/>
            <w:r w:rsidRPr="00596009">
              <w:rPr>
                <w:lang w:val="en-US"/>
              </w:rPr>
              <w:t>Vicheka</w:t>
            </w:r>
            <w:proofErr w:type="spellEnd"/>
            <w:r w:rsidRPr="00596009">
              <w:rPr>
                <w:lang w:val="en-US"/>
              </w:rPr>
              <w:t xml:space="preserve"> C, </w:t>
            </w:r>
            <w:proofErr w:type="spellStart"/>
            <w:r w:rsidRPr="00596009">
              <w:rPr>
                <w:lang w:val="en-US"/>
              </w:rPr>
              <w:t>Sokha</w:t>
            </w:r>
            <w:proofErr w:type="spellEnd"/>
            <w:r w:rsidRPr="00596009">
              <w:rPr>
                <w:lang w:val="en-US"/>
              </w:rPr>
              <w:t xml:space="preserve"> E, </w:t>
            </w:r>
            <w:proofErr w:type="spellStart"/>
            <w:r w:rsidRPr="00596009">
              <w:rPr>
                <w:lang w:val="en-US"/>
              </w:rPr>
              <w:t>Piseth</w:t>
            </w:r>
            <w:proofErr w:type="spellEnd"/>
            <w:r w:rsidRPr="00596009">
              <w:rPr>
                <w:lang w:val="en-US"/>
              </w:rPr>
              <w:t xml:space="preserve"> M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Tmatboey</w:t>
            </w:r>
            <w:proofErr w:type="spellEnd"/>
            <w:r w:rsidRPr="00596009">
              <w:rPr>
                <w:lang w:val="en-US"/>
              </w:rPr>
              <w:t xml:space="preserve"> Community-based Ecotourism Project, Cambodia. USAID, </w:t>
            </w:r>
            <w:proofErr w:type="spellStart"/>
            <w:r w:rsidRPr="00596009">
              <w:rPr>
                <w:lang w:val="en-US"/>
              </w:rPr>
              <w:t>TransLinks</w:t>
            </w:r>
            <w:proofErr w:type="spellEnd"/>
            <w:r w:rsidRPr="00596009">
              <w:rPr>
                <w:lang w:val="en-US"/>
              </w:rPr>
              <w:t>. 56p.</w:t>
            </w:r>
          </w:p>
        </w:tc>
      </w:tr>
      <w:tr w:rsidR="005E0C75" w:rsidRPr="00E9358B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24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BirnCa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Bird nest protection, Cambodia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Clements T, Ashish J, Nielsen K, </w:t>
            </w:r>
            <w:proofErr w:type="gramStart"/>
            <w:r w:rsidRPr="00596009">
              <w:rPr>
                <w:lang w:val="en-US"/>
              </w:rPr>
              <w:t>An</w:t>
            </w:r>
            <w:proofErr w:type="gramEnd"/>
            <w:r w:rsidRPr="00596009">
              <w:rPr>
                <w:lang w:val="en-US"/>
              </w:rPr>
              <w:t xml:space="preserve"> D, Tan S, Milner-Gulland EJ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(2010)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Payments for biodiversity conservation in the context of weak institutions: Comparison of three programs from Cambodia. Ecological Economics 69: 1283–1291.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Clements T, Rainey H, An D, </w:t>
            </w:r>
            <w:proofErr w:type="spellStart"/>
            <w:r w:rsidRPr="00596009">
              <w:rPr>
                <w:lang w:val="en-US"/>
              </w:rPr>
              <w:t>Rours</w:t>
            </w:r>
            <w:proofErr w:type="spellEnd"/>
            <w:r w:rsidRPr="00596009">
              <w:rPr>
                <w:lang w:val="en-US"/>
              </w:rPr>
              <w:t xml:space="preserve"> V, Tan S, Thong S, Sutherland WJ, Milner-Gulland EJ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(2013)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An evaluation of the effectiveness of a direct payment for biodiversity conservation: The Bird Nest Protection Program in the Northern </w:t>
            </w:r>
            <w:r w:rsidRPr="00596009">
              <w:rPr>
                <w:lang w:val="en-US"/>
              </w:rPr>
              <w:lastRenderedPageBreak/>
              <w:t>Plains of Cambodia. Biological Conservation 157:50–59.</w:t>
            </w:r>
          </w:p>
        </w:tc>
      </w:tr>
      <w:tr w:rsidR="005E0C75" w:rsidRPr="00B16C9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25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SocE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SocioBosque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, Ecuador</w:t>
            </w:r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596009">
            <w:pPr>
              <w:pStyle w:val="NoSpacing"/>
              <w:rPr>
                <w:lang w:val="en-US"/>
              </w:rPr>
            </w:pPr>
            <w:r w:rsidRPr="00596009">
              <w:rPr>
                <w:lang w:val="en-US"/>
              </w:rPr>
              <w:t xml:space="preserve">de </w:t>
            </w:r>
            <w:proofErr w:type="spellStart"/>
            <w:r w:rsidRPr="00596009">
              <w:rPr>
                <w:lang w:val="en-US"/>
              </w:rPr>
              <w:t>Koning</w:t>
            </w:r>
            <w:proofErr w:type="spellEnd"/>
            <w:r w:rsidRPr="00596009">
              <w:rPr>
                <w:lang w:val="en-US"/>
              </w:rPr>
              <w:t xml:space="preserve"> F, </w:t>
            </w:r>
            <w:proofErr w:type="spellStart"/>
            <w:r w:rsidRPr="00596009">
              <w:rPr>
                <w:lang w:val="en-US"/>
              </w:rPr>
              <w:t>Aguiñaga</w:t>
            </w:r>
            <w:proofErr w:type="spellEnd"/>
            <w:r w:rsidRPr="00596009">
              <w:rPr>
                <w:lang w:val="en-US"/>
              </w:rPr>
              <w:t xml:space="preserve"> M, Bravo M, Chiu M, </w:t>
            </w:r>
            <w:proofErr w:type="spellStart"/>
            <w:r w:rsidRPr="00596009">
              <w:rPr>
                <w:lang w:val="en-US"/>
              </w:rPr>
              <w:t>Lascano</w:t>
            </w:r>
            <w:proofErr w:type="spellEnd"/>
            <w:r w:rsidRPr="00596009">
              <w:rPr>
                <w:lang w:val="en-US"/>
              </w:rPr>
              <w:t xml:space="preserve"> M, </w:t>
            </w:r>
            <w:proofErr w:type="spellStart"/>
            <w:r w:rsidRPr="00596009">
              <w:rPr>
                <w:lang w:val="en-US"/>
              </w:rPr>
              <w:t>Lozada</w:t>
            </w:r>
            <w:proofErr w:type="spellEnd"/>
            <w:r w:rsidRPr="00596009">
              <w:rPr>
                <w:lang w:val="en-US"/>
              </w:rPr>
              <w:t xml:space="preserve"> T, Suarez L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(2011) Bridging the gap between forest conservation and poverty alleviation: the Ecuadorian Socio Bosque program. Environmental Science &amp; Policy 14:531–542.</w:t>
            </w:r>
          </w:p>
          <w:p w:rsidR="00596009" w:rsidRPr="00596009" w:rsidRDefault="00596009" w:rsidP="00596009">
            <w:pPr>
              <w:pStyle w:val="NoSpacing"/>
              <w:rPr>
                <w:lang w:val="en-US"/>
              </w:rPr>
            </w:pPr>
          </w:p>
          <w:p w:rsidR="005E0C75" w:rsidRPr="00596009" w:rsidRDefault="00DD1851" w:rsidP="00596009">
            <w:pPr>
              <w:pStyle w:val="NoSpacing"/>
              <w:rPr>
                <w:lang w:val="en-US"/>
              </w:rPr>
            </w:pPr>
            <w:r w:rsidRPr="00596009">
              <w:rPr>
                <w:lang w:val="en-US"/>
              </w:rPr>
              <w:t xml:space="preserve">Krause, </w:t>
            </w:r>
            <w:proofErr w:type="spellStart"/>
            <w:r w:rsidRPr="00596009">
              <w:rPr>
                <w:lang w:val="en-US"/>
              </w:rPr>
              <w:t>Torsten</w:t>
            </w:r>
            <w:proofErr w:type="spellEnd"/>
            <w:r w:rsidRPr="00596009">
              <w:rPr>
                <w:lang w:val="en-US"/>
              </w:rPr>
              <w:t xml:space="preserve">, Wain Collen, and Kimberly A Nicholas. </w:t>
            </w:r>
            <w:r w:rsidR="00E9358B">
              <w:rPr>
                <w:lang w:val="en-US"/>
              </w:rPr>
              <w:t>(</w:t>
            </w:r>
            <w:r w:rsidRPr="00596009">
              <w:rPr>
                <w:lang w:val="en-US"/>
              </w:rPr>
              <w:t>2013</w:t>
            </w:r>
            <w:r w:rsidR="00E9358B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Evaluating Safeguards in a Conservation Incentive Program: Participation, Consent, and Benefit Sharing in Indigenous Communities of the Ecuadorian Amazon. </w:t>
            </w:r>
            <w:r w:rsidRPr="00596009">
              <w:rPr>
                <w:iCs/>
                <w:lang w:val="en-US"/>
              </w:rPr>
              <w:t>Ecology and Society</w:t>
            </w:r>
            <w:r w:rsidRPr="00596009">
              <w:rPr>
                <w:lang w:val="en-US"/>
              </w:rPr>
              <w:t xml:space="preserve"> 18 (4):1.</w:t>
            </w:r>
          </w:p>
        </w:tc>
      </w:tr>
      <w:tr w:rsidR="005E0C75" w:rsidRPr="00596009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26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Je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sH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Jesús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596009"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Otoro</w:t>
            </w:r>
            <w:proofErr w:type="spellEnd"/>
            <w:proofErr w:type="gramEnd"/>
            <w:r w:rsidRPr="00596009">
              <w:rPr>
                <w:rFonts w:ascii="Calibri" w:hAnsi="Calibri" w:cs="Calibri"/>
                <w:color w:val="000000"/>
              </w:rPr>
              <w:t>, Honduras</w:t>
            </w:r>
          </w:p>
        </w:tc>
        <w:tc>
          <w:tcPr>
            <w:tcW w:w="10920" w:type="dxa"/>
          </w:tcPr>
          <w:p w:rsidR="005E0C75" w:rsidRPr="002403E8" w:rsidRDefault="005E0C75" w:rsidP="00596009">
            <w:pPr>
              <w:rPr>
                <w:lang w:val="es-ES"/>
              </w:rPr>
            </w:pPr>
            <w:proofErr w:type="spellStart"/>
            <w:r w:rsidRPr="002403E8">
              <w:rPr>
                <w:lang w:val="en-US"/>
              </w:rPr>
              <w:t>Kosoy</w:t>
            </w:r>
            <w:proofErr w:type="spellEnd"/>
            <w:r w:rsidRPr="002403E8">
              <w:rPr>
                <w:lang w:val="en-US"/>
              </w:rPr>
              <w:t xml:space="preserve"> N, Martinez-Tuna M, </w:t>
            </w:r>
            <w:proofErr w:type="spellStart"/>
            <w:r w:rsidRPr="002403E8">
              <w:rPr>
                <w:lang w:val="en-US"/>
              </w:rPr>
              <w:t>Muradian</w:t>
            </w:r>
            <w:proofErr w:type="spellEnd"/>
            <w:r w:rsidRPr="002403E8">
              <w:rPr>
                <w:lang w:val="en-US"/>
              </w:rPr>
              <w:t xml:space="preserve"> R, Martinez-</w:t>
            </w:r>
            <w:proofErr w:type="spellStart"/>
            <w:r w:rsidRPr="002403E8">
              <w:rPr>
                <w:lang w:val="en-US"/>
              </w:rPr>
              <w:t>Alier</w:t>
            </w:r>
            <w:proofErr w:type="spellEnd"/>
            <w:r w:rsidRPr="002403E8">
              <w:rPr>
                <w:lang w:val="en-US"/>
              </w:rPr>
              <w:t xml:space="preserve"> J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(2007)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Payments for environmental services in watersheds: Insights from a comparative study of three cases in Central </w:t>
            </w:r>
            <w:proofErr w:type="gramStart"/>
            <w:r w:rsidRPr="002403E8">
              <w:rPr>
                <w:lang w:val="en-US"/>
              </w:rPr>
              <w:t>America .</w:t>
            </w:r>
            <w:proofErr w:type="gram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s-ES"/>
              </w:rPr>
              <w:t>Ecol</w:t>
            </w:r>
            <w:proofErr w:type="spellEnd"/>
            <w:r w:rsidRPr="002403E8">
              <w:rPr>
                <w:lang w:val="es-ES"/>
              </w:rPr>
              <w:t xml:space="preserve"> </w:t>
            </w:r>
            <w:proofErr w:type="spellStart"/>
            <w:r w:rsidRPr="002403E8">
              <w:rPr>
                <w:lang w:val="es-ES"/>
              </w:rPr>
              <w:t>Econ</w:t>
            </w:r>
            <w:proofErr w:type="spellEnd"/>
            <w:r w:rsidRPr="002403E8">
              <w:rPr>
                <w:lang w:val="es-ES"/>
              </w:rPr>
              <w:t xml:space="preserve"> </w:t>
            </w:r>
            <w:proofErr w:type="gramStart"/>
            <w:r w:rsidRPr="002403E8">
              <w:rPr>
                <w:lang w:val="es-ES"/>
              </w:rPr>
              <w:t>61 :</w:t>
            </w:r>
            <w:proofErr w:type="gramEnd"/>
            <w:r w:rsidRPr="002403E8">
              <w:rPr>
                <w:lang w:val="es-ES"/>
              </w:rPr>
              <w:t>446-455.</w:t>
            </w:r>
          </w:p>
          <w:p w:rsidR="005E0C75" w:rsidRPr="002403E8" w:rsidRDefault="005E0C75" w:rsidP="00596009">
            <w:pPr>
              <w:rPr>
                <w:lang w:val="es-ES"/>
              </w:rPr>
            </w:pPr>
          </w:p>
          <w:p w:rsidR="005E0C75" w:rsidRPr="00596009" w:rsidRDefault="005E0C75" w:rsidP="00596009">
            <w:pPr>
              <w:rPr>
                <w:lang w:val="es-ES"/>
              </w:rPr>
            </w:pPr>
            <w:proofErr w:type="spellStart"/>
            <w:r w:rsidRPr="002403E8">
              <w:rPr>
                <w:lang w:val="es-ES"/>
              </w:rPr>
              <w:t>Ardón</w:t>
            </w:r>
            <w:proofErr w:type="spellEnd"/>
            <w:r w:rsidRPr="002403E8">
              <w:rPr>
                <w:lang w:val="es-ES"/>
              </w:rPr>
              <w:t>-Mejía M, Martínez MA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(2006)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Evolución de las Experiencias de Servicios Ambientales Hídricos en Hondur</w:t>
            </w:r>
            <w:r w:rsidRPr="00596009">
              <w:rPr>
                <w:lang w:val="es-ES"/>
              </w:rPr>
              <w:t xml:space="preserve">as. Los casos de los municipios de Jesús de </w:t>
            </w:r>
            <w:proofErr w:type="spellStart"/>
            <w:r w:rsidRPr="00596009">
              <w:rPr>
                <w:lang w:val="es-ES"/>
              </w:rPr>
              <w:t>Otoro</w:t>
            </w:r>
            <w:proofErr w:type="spellEnd"/>
            <w:r w:rsidRPr="00596009">
              <w:rPr>
                <w:lang w:val="es-ES"/>
              </w:rPr>
              <w:t xml:space="preserve"> (Intibucá) y Campamento (Olancho). Programa para la Agricultura Sostenible en Laderas de América Central PASOLAC. </w:t>
            </w:r>
            <w:proofErr w:type="spellStart"/>
            <w:r w:rsidRPr="00596009">
              <w:rPr>
                <w:lang w:val="es-ES"/>
              </w:rPr>
              <w:t>Technical</w:t>
            </w:r>
            <w:proofErr w:type="spellEnd"/>
            <w:r w:rsidRPr="00596009">
              <w:rPr>
                <w:lang w:val="es-ES"/>
              </w:rPr>
              <w:t xml:space="preserve"> series no. 495.</w:t>
            </w:r>
          </w:p>
        </w:tc>
      </w:tr>
      <w:tr w:rsidR="005E0C75" w:rsidRPr="002403E8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27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HerCR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r w:rsidRPr="00596009">
              <w:rPr>
                <w:rFonts w:ascii="Calibri" w:hAnsi="Calibri" w:cs="Calibri"/>
                <w:color w:val="000000"/>
              </w:rPr>
              <w:t>Heredia, Costa Rica</w:t>
            </w:r>
          </w:p>
        </w:tc>
        <w:tc>
          <w:tcPr>
            <w:tcW w:w="10920" w:type="dxa"/>
          </w:tcPr>
          <w:p w:rsidR="005E0C75" w:rsidRPr="002403E8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t>Kosoy</w:t>
            </w:r>
            <w:proofErr w:type="spellEnd"/>
            <w:r w:rsidRPr="002403E8">
              <w:rPr>
                <w:lang w:val="en-US"/>
              </w:rPr>
              <w:t xml:space="preserve"> N, Martinez-Tuna M, </w:t>
            </w:r>
            <w:proofErr w:type="spellStart"/>
            <w:r w:rsidRPr="002403E8">
              <w:rPr>
                <w:lang w:val="en-US"/>
              </w:rPr>
              <w:t>Muradian</w:t>
            </w:r>
            <w:proofErr w:type="spellEnd"/>
            <w:r w:rsidRPr="002403E8">
              <w:rPr>
                <w:lang w:val="en-US"/>
              </w:rPr>
              <w:t xml:space="preserve"> R, Martinez-</w:t>
            </w:r>
            <w:proofErr w:type="spellStart"/>
            <w:r w:rsidRPr="002403E8">
              <w:rPr>
                <w:lang w:val="en-US"/>
              </w:rPr>
              <w:t>Alier</w:t>
            </w:r>
            <w:proofErr w:type="spellEnd"/>
            <w:r w:rsidRPr="002403E8">
              <w:rPr>
                <w:lang w:val="en-US"/>
              </w:rPr>
              <w:t xml:space="preserve"> J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(2007)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Payments for environmental services in watersheds: Insights from a comparative study of three cases in Central </w:t>
            </w:r>
            <w:proofErr w:type="gramStart"/>
            <w:r w:rsidRPr="002403E8">
              <w:rPr>
                <w:lang w:val="en-US"/>
              </w:rPr>
              <w:t>America .</w:t>
            </w:r>
            <w:proofErr w:type="gram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Ecol</w:t>
            </w:r>
            <w:proofErr w:type="spellEnd"/>
            <w:r w:rsidRPr="002403E8">
              <w:rPr>
                <w:lang w:val="en-US"/>
              </w:rPr>
              <w:t xml:space="preserve"> Econ </w:t>
            </w:r>
            <w:proofErr w:type="gramStart"/>
            <w:r w:rsidRPr="002403E8">
              <w:rPr>
                <w:lang w:val="en-US"/>
              </w:rPr>
              <w:t>61 :</w:t>
            </w:r>
            <w:proofErr w:type="gramEnd"/>
            <w:r w:rsidRPr="002403E8">
              <w:rPr>
                <w:lang w:val="en-US"/>
              </w:rPr>
              <w:t>446-455.</w:t>
            </w:r>
          </w:p>
          <w:p w:rsidR="005E0C75" w:rsidRPr="002403E8" w:rsidRDefault="005E0C75" w:rsidP="00596009">
            <w:pPr>
              <w:rPr>
                <w:lang w:val="en-US"/>
              </w:rPr>
            </w:pPr>
          </w:p>
          <w:p w:rsidR="005E0C75" w:rsidRPr="002403E8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t>Barrantes</w:t>
            </w:r>
            <w:proofErr w:type="spellEnd"/>
            <w:r w:rsidRPr="002403E8">
              <w:rPr>
                <w:lang w:val="en-US"/>
              </w:rPr>
              <w:t xml:space="preserve"> G, </w:t>
            </w:r>
            <w:proofErr w:type="spellStart"/>
            <w:r w:rsidRPr="002403E8">
              <w:rPr>
                <w:lang w:val="en-US"/>
              </w:rPr>
              <w:t>Gamez</w:t>
            </w:r>
            <w:proofErr w:type="spellEnd"/>
            <w:r w:rsidRPr="002403E8">
              <w:rPr>
                <w:lang w:val="en-US"/>
              </w:rPr>
              <w:t xml:space="preserve"> L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(2007)</w:t>
            </w:r>
            <w:r w:rsidR="00E9358B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Programa</w:t>
            </w:r>
            <w:proofErr w:type="spellEnd"/>
            <w:r w:rsidRPr="002403E8">
              <w:rPr>
                <w:lang w:val="en-US"/>
              </w:rPr>
              <w:t xml:space="preserve"> de Pago </w:t>
            </w:r>
            <w:proofErr w:type="spellStart"/>
            <w:r w:rsidRPr="002403E8">
              <w:rPr>
                <w:lang w:val="en-US"/>
              </w:rPr>
              <w:t>por</w:t>
            </w:r>
            <w:proofErr w:type="spell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Servicio</w:t>
            </w:r>
            <w:proofErr w:type="spell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Ambiental</w:t>
            </w:r>
            <w:proofErr w:type="spell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Hídrico</w:t>
            </w:r>
            <w:proofErr w:type="spellEnd"/>
            <w:r w:rsidRPr="002403E8">
              <w:rPr>
                <w:lang w:val="en-US"/>
              </w:rPr>
              <w:t xml:space="preserve"> de la </w:t>
            </w:r>
            <w:proofErr w:type="spellStart"/>
            <w:r w:rsidRPr="002403E8">
              <w:rPr>
                <w:lang w:val="en-US"/>
              </w:rPr>
              <w:t>Empresa</w:t>
            </w:r>
            <w:proofErr w:type="spellEnd"/>
            <w:r w:rsidRPr="002403E8">
              <w:rPr>
                <w:lang w:val="en-US"/>
              </w:rPr>
              <w:t xml:space="preserve"> de </w:t>
            </w:r>
            <w:proofErr w:type="spellStart"/>
            <w:r w:rsidRPr="002403E8">
              <w:rPr>
                <w:lang w:val="en-US"/>
              </w:rPr>
              <w:t>Servicios</w:t>
            </w:r>
            <w:proofErr w:type="spellEnd"/>
            <w:r w:rsidRPr="002403E8">
              <w:rPr>
                <w:lang w:val="en-US"/>
              </w:rPr>
              <w:t xml:space="preserve"> </w:t>
            </w:r>
            <w:proofErr w:type="spellStart"/>
            <w:r w:rsidRPr="002403E8">
              <w:rPr>
                <w:lang w:val="en-US"/>
              </w:rPr>
              <w:t>Públicos</w:t>
            </w:r>
            <w:proofErr w:type="spellEnd"/>
            <w:r w:rsidRPr="002403E8">
              <w:rPr>
                <w:lang w:val="en-US"/>
              </w:rPr>
              <w:t xml:space="preserve"> de Heredia. World Bank unpublished report, Washington D.C., USA. 20p.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</w:pPr>
            <w:r w:rsidRPr="00E9358B">
              <w:t>28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</w:rPr>
              <w:t>SanNC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r w:rsidRPr="00E9358B">
              <w:rPr>
                <w:rFonts w:ascii="Calibri" w:hAnsi="Calibri" w:cs="Calibri"/>
                <w:color w:val="000000"/>
              </w:rPr>
              <w:t>San Pedro del Norte, Nicaragua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t>Kosoy</w:t>
            </w:r>
            <w:proofErr w:type="spellEnd"/>
            <w:r w:rsidRPr="002403E8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 xml:space="preserve">N, Martinez-Tuna M, </w:t>
            </w:r>
            <w:proofErr w:type="spellStart"/>
            <w:r w:rsidRPr="00596009">
              <w:rPr>
                <w:lang w:val="en-US"/>
              </w:rPr>
              <w:t>Muradian</w:t>
            </w:r>
            <w:proofErr w:type="spellEnd"/>
            <w:r w:rsidRPr="00596009">
              <w:rPr>
                <w:lang w:val="en-US"/>
              </w:rPr>
              <w:t xml:space="preserve"> R, Martinez-</w:t>
            </w:r>
            <w:proofErr w:type="spellStart"/>
            <w:r w:rsidRPr="00596009">
              <w:rPr>
                <w:lang w:val="en-US"/>
              </w:rPr>
              <w:t>Alier</w:t>
            </w:r>
            <w:proofErr w:type="spellEnd"/>
            <w:r w:rsidRPr="00596009">
              <w:rPr>
                <w:lang w:val="en-US"/>
              </w:rPr>
              <w:t xml:space="preserve"> J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(2007)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Payments for environmental services in watersheds: Insights from a comparative study of three cases in Central America . </w:t>
            </w:r>
            <w:proofErr w:type="spellStart"/>
            <w:r w:rsidRPr="00596009">
              <w:rPr>
                <w:lang w:val="en-US"/>
              </w:rPr>
              <w:t>Ecol</w:t>
            </w:r>
            <w:proofErr w:type="spellEnd"/>
            <w:r w:rsidRPr="00596009">
              <w:rPr>
                <w:lang w:val="en-US"/>
              </w:rPr>
              <w:t xml:space="preserve"> Econ </w:t>
            </w:r>
            <w:proofErr w:type="gramStart"/>
            <w:r w:rsidRPr="00596009">
              <w:rPr>
                <w:lang w:val="en-US"/>
              </w:rPr>
              <w:t>61 :</w:t>
            </w:r>
            <w:proofErr w:type="gramEnd"/>
            <w:r w:rsidRPr="00596009">
              <w:rPr>
                <w:lang w:val="en-US"/>
              </w:rPr>
              <w:t>446-455.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Pagiola S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Can the poor participate in payments for environmental services? Lessons from the </w:t>
            </w:r>
            <w:proofErr w:type="gramStart"/>
            <w:r w:rsidRPr="00596009">
              <w:rPr>
                <w:lang w:val="en-US"/>
              </w:rPr>
              <w:t>Silvopastoral  Project</w:t>
            </w:r>
            <w:proofErr w:type="gramEnd"/>
            <w:r w:rsidRPr="00596009">
              <w:rPr>
                <w:lang w:val="en-US"/>
              </w:rPr>
              <w:t xml:space="preserve"> in Nicaragua. Environment and Development Economics 13:299–325.</w:t>
            </w:r>
          </w:p>
        </w:tc>
      </w:tr>
      <w:tr w:rsidR="005E0C75" w:rsidRPr="00A55F2A" w:rsidTr="00DF6EBC">
        <w:tc>
          <w:tcPr>
            <w:tcW w:w="819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lang w:val="en-US"/>
              </w:rPr>
            </w:pPr>
            <w:r w:rsidRPr="00E9358B">
              <w:rPr>
                <w:lang w:val="en-US"/>
              </w:rPr>
              <w:t>29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KulN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E9358B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358B">
              <w:rPr>
                <w:rFonts w:ascii="Calibri" w:hAnsi="Calibri" w:cs="Calibri"/>
                <w:color w:val="000000"/>
                <w:lang w:val="en-US"/>
              </w:rPr>
              <w:t>Kulekhani</w:t>
            </w:r>
            <w:proofErr w:type="spellEnd"/>
            <w:r w:rsidRPr="00E9358B">
              <w:rPr>
                <w:rFonts w:ascii="Calibri" w:hAnsi="Calibri" w:cs="Calibri"/>
                <w:color w:val="000000"/>
                <w:lang w:val="en-US"/>
              </w:rPr>
              <w:t>, Nepal</w:t>
            </w:r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Khatri DB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(2009)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Compromising the environment in Payments for Environmental Services? An institutional analysis of mechanisms for sharing hydroelectricity revenue in </w:t>
            </w:r>
            <w:proofErr w:type="spellStart"/>
            <w:r w:rsidRPr="00596009">
              <w:rPr>
                <w:lang w:val="en-US"/>
              </w:rPr>
              <w:t>Kulekhani</w:t>
            </w:r>
            <w:proofErr w:type="spellEnd"/>
            <w:r w:rsidRPr="00596009">
              <w:rPr>
                <w:lang w:val="en-US"/>
              </w:rPr>
              <w:t xml:space="preserve"> watershed, Nepal. Master thesis, </w:t>
            </w:r>
            <w:proofErr w:type="spellStart"/>
            <w:r w:rsidRPr="00596009">
              <w:rPr>
                <w:lang w:val="en-US"/>
              </w:rPr>
              <w:t>Insternational</w:t>
            </w:r>
            <w:proofErr w:type="spellEnd"/>
            <w:r w:rsidRPr="00596009">
              <w:rPr>
                <w:lang w:val="en-US"/>
              </w:rPr>
              <w:t xml:space="preserve"> Institute of Social Studies, The Hague, Netherlands. 51p.</w:t>
            </w:r>
          </w:p>
          <w:p w:rsidR="00596009" w:rsidRPr="00596009" w:rsidRDefault="00596009" w:rsidP="00596009">
            <w:pPr>
              <w:rPr>
                <w:lang w:val="en-US"/>
              </w:rPr>
            </w:pPr>
          </w:p>
          <w:p w:rsidR="00DD1851" w:rsidRPr="00596009" w:rsidRDefault="006159F0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Joshi, </w:t>
            </w:r>
            <w:proofErr w:type="spellStart"/>
            <w:r w:rsidRPr="00596009">
              <w:rPr>
                <w:lang w:val="en-US"/>
              </w:rPr>
              <w:t>Laxman</w:t>
            </w:r>
            <w:proofErr w:type="spellEnd"/>
            <w:r w:rsidRPr="00596009">
              <w:rPr>
                <w:lang w:val="en-US"/>
              </w:rPr>
              <w:t xml:space="preserve">. </w:t>
            </w:r>
            <w:r w:rsidR="00E9358B">
              <w:rPr>
                <w:lang w:val="en-US"/>
              </w:rPr>
              <w:t>(</w:t>
            </w:r>
            <w:r w:rsidRPr="00596009">
              <w:rPr>
                <w:lang w:val="en-US"/>
              </w:rPr>
              <w:t>201</w:t>
            </w:r>
            <w:r w:rsidR="00596009" w:rsidRPr="00596009">
              <w:rPr>
                <w:lang w:val="en-US"/>
              </w:rPr>
              <w:t>1</w:t>
            </w:r>
            <w:r w:rsidR="00E9358B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A community-based PES scheme for forest preservation and sediment control in </w:t>
            </w:r>
            <w:proofErr w:type="spellStart"/>
            <w:r w:rsidRPr="00596009">
              <w:rPr>
                <w:lang w:val="en-US"/>
              </w:rPr>
              <w:t>Kulekhani</w:t>
            </w:r>
            <w:proofErr w:type="spellEnd"/>
            <w:r w:rsidRPr="00596009">
              <w:rPr>
                <w:lang w:val="en-US"/>
              </w:rPr>
              <w:t xml:space="preserve">, Nepal. </w:t>
            </w:r>
            <w:r w:rsidR="00596009" w:rsidRPr="00596009">
              <w:rPr>
                <w:lang w:val="en-US"/>
              </w:rPr>
              <w:t>In FAO “</w:t>
            </w:r>
            <w:r w:rsidRPr="00596009">
              <w:rPr>
                <w:iCs/>
                <w:lang w:val="en-US"/>
              </w:rPr>
              <w:t>Payments for Ecosystem Services and Food Security</w:t>
            </w:r>
            <w:r w:rsidR="00596009" w:rsidRPr="00596009">
              <w:rPr>
                <w:iCs/>
                <w:lang w:val="en-US"/>
              </w:rPr>
              <w:t>”, 198-203</w:t>
            </w:r>
            <w:r w:rsidR="00596009" w:rsidRPr="00596009">
              <w:rPr>
                <w:lang w:val="en-US"/>
              </w:rPr>
              <w:t>. FAO, Rome, Italy.</w:t>
            </w:r>
          </w:p>
        </w:tc>
      </w:tr>
      <w:tr w:rsidR="005E0C75" w:rsidRPr="00A55F2A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30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DonV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Da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Nhim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PWS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, Dong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Nai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watershed, </w:t>
            </w:r>
            <w:r w:rsidRPr="00596009">
              <w:rPr>
                <w:rFonts w:ascii="Calibri" w:hAnsi="Calibri" w:cs="Calibri"/>
                <w:color w:val="000000"/>
                <w:lang w:val="en-US"/>
              </w:rPr>
              <w:lastRenderedPageBreak/>
              <w:t>Vietnam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Wertz-</w:t>
            </w:r>
            <w:proofErr w:type="spellStart"/>
            <w:r w:rsidRPr="00596009">
              <w:rPr>
                <w:lang w:val="en-US"/>
              </w:rPr>
              <w:t>Kanounnikoff</w:t>
            </w:r>
            <w:proofErr w:type="spellEnd"/>
            <w:r w:rsidRPr="00596009">
              <w:rPr>
                <w:lang w:val="en-US"/>
              </w:rPr>
              <w:t xml:space="preserve"> S, Rankine H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How can governments promote strategic approaches to payments for environmental services (PES)? An exploratory analysis for the case of Vietnam. Natural Resources no. 3, IDDRI, Paris, France.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Bich</w:t>
            </w:r>
            <w:proofErr w:type="spellEnd"/>
            <w:r w:rsidRPr="00596009">
              <w:rPr>
                <w:lang w:val="en-US"/>
              </w:rPr>
              <w:t xml:space="preserve">-Thuy NT, Thanh NC, Phuong-Thao N, Nam PT, </w:t>
            </w:r>
            <w:proofErr w:type="spellStart"/>
            <w:r w:rsidRPr="00596009">
              <w:rPr>
                <w:lang w:val="en-US"/>
              </w:rPr>
              <w:t>Bonnardeaux</w:t>
            </w:r>
            <w:proofErr w:type="spellEnd"/>
            <w:r w:rsidRPr="00596009">
              <w:rPr>
                <w:lang w:val="en-US"/>
              </w:rPr>
              <w:t xml:space="preserve"> D, </w:t>
            </w:r>
            <w:proofErr w:type="spellStart"/>
            <w:r w:rsidRPr="00596009">
              <w:rPr>
                <w:lang w:val="en-US"/>
              </w:rPr>
              <w:t>Cottrill</w:t>
            </w:r>
            <w:proofErr w:type="spellEnd"/>
            <w:r w:rsidRPr="00596009">
              <w:rPr>
                <w:lang w:val="en-US"/>
              </w:rPr>
              <w:t>-Riedel D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(2011)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Lam Dong Province PES Technical Working Group Payment for Forest Environmental Services: A Case Study on Pilot Implementation in Lam Dong Province, Vietnam 2006-2010. </w:t>
            </w:r>
            <w:proofErr w:type="spellStart"/>
            <w:r w:rsidRPr="00596009">
              <w:rPr>
                <w:lang w:val="en-US"/>
              </w:rPr>
              <w:t>Winrock</w:t>
            </w:r>
            <w:proofErr w:type="spellEnd"/>
            <w:r w:rsidRPr="00596009">
              <w:rPr>
                <w:lang w:val="en-US"/>
              </w:rPr>
              <w:t xml:space="preserve"> International. Available at </w:t>
            </w:r>
            <w:hyperlink r:id="rId10" w:history="1">
              <w:r w:rsidRPr="00596009">
                <w:rPr>
                  <w:rStyle w:val="Hyperlink"/>
                  <w:lang w:val="en-US"/>
                </w:rPr>
                <w:t>http://jeevika.org/bamboo/1k-payment-for-forest-environmental-services.pdf</w:t>
              </w:r>
            </w:hyperlink>
            <w:r w:rsidRPr="00596009">
              <w:rPr>
                <w:lang w:val="en-US"/>
              </w:rPr>
              <w:t xml:space="preserve">. 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31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SonV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Son La PWS, Vietnam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Bich</w:t>
            </w:r>
            <w:proofErr w:type="spellEnd"/>
            <w:r w:rsidRPr="00596009">
              <w:rPr>
                <w:lang w:val="en-US"/>
              </w:rPr>
              <w:t xml:space="preserve">-Thuy NT, Thanh NC, Phuong-Thao N, Nam PT, </w:t>
            </w:r>
            <w:proofErr w:type="spellStart"/>
            <w:r w:rsidRPr="00596009">
              <w:rPr>
                <w:lang w:val="en-US"/>
              </w:rPr>
              <w:t>Bonnardeaux</w:t>
            </w:r>
            <w:proofErr w:type="spellEnd"/>
            <w:r w:rsidRPr="00596009">
              <w:rPr>
                <w:lang w:val="en-US"/>
              </w:rPr>
              <w:t xml:space="preserve"> D, </w:t>
            </w:r>
            <w:proofErr w:type="spellStart"/>
            <w:r w:rsidRPr="00596009">
              <w:rPr>
                <w:lang w:val="en-US"/>
              </w:rPr>
              <w:t>Cottrill</w:t>
            </w:r>
            <w:proofErr w:type="spellEnd"/>
            <w:r w:rsidRPr="00596009">
              <w:rPr>
                <w:lang w:val="en-US"/>
              </w:rPr>
              <w:t>-Riedel D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(2011)</w:t>
            </w:r>
            <w:r w:rsidR="00E9358B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Lam Dong Province PES Technical Working Group Payment for Forest Environmental Services: A Case Study on Pilot Implementation in Lam Dong Province, Vietnam 2006-2010. </w:t>
            </w:r>
            <w:proofErr w:type="spellStart"/>
            <w:r w:rsidRPr="00596009">
              <w:rPr>
                <w:lang w:val="en-US"/>
              </w:rPr>
              <w:t>Winrock</w:t>
            </w:r>
            <w:proofErr w:type="spellEnd"/>
            <w:r w:rsidRPr="00596009">
              <w:rPr>
                <w:lang w:val="en-US"/>
              </w:rPr>
              <w:t xml:space="preserve"> International. Available at </w:t>
            </w:r>
            <w:hyperlink r:id="rId11" w:history="1">
              <w:r w:rsidRPr="00596009">
                <w:rPr>
                  <w:rStyle w:val="Hyperlink"/>
                  <w:lang w:val="en-US"/>
                </w:rPr>
                <w:t>http://jeevika.org/bamboo/1k-payment-for-forest-environmental-services.pdf</w:t>
              </w:r>
            </w:hyperlink>
            <w:r w:rsidRPr="00596009">
              <w:rPr>
                <w:lang w:val="en-US"/>
              </w:rPr>
              <w:t>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es-ES"/>
              </w:rPr>
              <w:t>Minh Ha H, Van-</w:t>
            </w:r>
            <w:proofErr w:type="spellStart"/>
            <w:r w:rsidRPr="002403E8">
              <w:rPr>
                <w:lang w:val="es-ES"/>
              </w:rPr>
              <w:t>Noordwijk</w:t>
            </w:r>
            <w:proofErr w:type="spellEnd"/>
            <w:r w:rsidRPr="002403E8">
              <w:rPr>
                <w:lang w:val="es-ES"/>
              </w:rPr>
              <w:t xml:space="preserve"> </w:t>
            </w:r>
            <w:proofErr w:type="gramStart"/>
            <w:r w:rsidRPr="002403E8">
              <w:rPr>
                <w:lang w:val="es-ES"/>
              </w:rPr>
              <w:t>M ,</w:t>
            </w:r>
            <w:proofErr w:type="gramEnd"/>
            <w:r w:rsidRPr="002403E8">
              <w:rPr>
                <w:lang w:val="es-ES"/>
              </w:rPr>
              <w:t xml:space="preserve"> </w:t>
            </w:r>
            <w:proofErr w:type="spellStart"/>
            <w:r w:rsidRPr="002403E8">
              <w:rPr>
                <w:lang w:val="es-ES"/>
              </w:rPr>
              <w:t>Thu-Thuy</w:t>
            </w:r>
            <w:proofErr w:type="spellEnd"/>
            <w:r w:rsidRPr="002403E8">
              <w:rPr>
                <w:lang w:val="es-ES"/>
              </w:rPr>
              <w:t xml:space="preserve"> P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(2008)</w:t>
            </w:r>
            <w:r w:rsidR="00E9358B" w:rsidRPr="002403E8">
              <w:rPr>
                <w:lang w:val="es-ES"/>
              </w:rPr>
              <w:t>.</w:t>
            </w:r>
            <w:r w:rsidRPr="002403E8">
              <w:rPr>
                <w:lang w:val="es-ES"/>
              </w:rPr>
              <w:t xml:space="preserve"> </w:t>
            </w:r>
            <w:r w:rsidRPr="00596009">
              <w:rPr>
                <w:lang w:val="en-US"/>
              </w:rPr>
              <w:t>Payment for environmental services: Experiences and lessons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proofErr w:type="gramStart"/>
            <w:r w:rsidRPr="00596009">
              <w:rPr>
                <w:lang w:val="en-US"/>
              </w:rPr>
              <w:t>in</w:t>
            </w:r>
            <w:proofErr w:type="gramEnd"/>
            <w:r w:rsidRPr="00596009">
              <w:rPr>
                <w:lang w:val="en-US"/>
              </w:rPr>
              <w:t xml:space="preserve"> Vietnam. Hanoi, Vietnam. World Agroforestry Centre (ICRAF). 33 p.</w:t>
            </w:r>
          </w:p>
        </w:tc>
      </w:tr>
      <w:tr w:rsidR="005E0C75" w:rsidRPr="00596009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32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OacI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Oach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Kalan -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Kuhan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mini micro watershed, India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984989" w:rsidRPr="00596009" w:rsidRDefault="00E069D4" w:rsidP="00596009">
            <w:pPr>
              <w:rPr>
                <w:lang w:val="en-US"/>
              </w:rPr>
            </w:pPr>
            <w:r w:rsidRPr="00E069D4">
              <w:rPr>
                <w:lang w:val="en-US"/>
              </w:rPr>
              <w:t xml:space="preserve">Agarwal, C, Tiwari, S, </w:t>
            </w:r>
            <w:proofErr w:type="spellStart"/>
            <w:r w:rsidRPr="00E069D4">
              <w:rPr>
                <w:lang w:val="en-US"/>
              </w:rPr>
              <w:t>Borgoyary</w:t>
            </w:r>
            <w:proofErr w:type="spellEnd"/>
            <w:r w:rsidRPr="00E069D4">
              <w:rPr>
                <w:lang w:val="en-US"/>
              </w:rPr>
              <w:t xml:space="preserve">, M, Acharya, A, Morrison, E. </w:t>
            </w:r>
            <w:r w:rsidR="00285897">
              <w:rPr>
                <w:lang w:val="en-US"/>
              </w:rPr>
              <w:t>(</w:t>
            </w:r>
            <w:r w:rsidRPr="00E069D4">
              <w:rPr>
                <w:lang w:val="en-US"/>
              </w:rPr>
              <w:t>2007</w:t>
            </w:r>
            <w:r w:rsidR="00285897">
              <w:rPr>
                <w:lang w:val="en-US"/>
              </w:rPr>
              <w:t>)</w:t>
            </w:r>
            <w:r w:rsidRPr="00E069D4">
              <w:rPr>
                <w:lang w:val="en-US"/>
              </w:rPr>
              <w:t>. Fair deals for watershed services in India. Natural Resource Issues no. 10. International Institute for Environment and Development. London, UK.</w:t>
            </w:r>
          </w:p>
        </w:tc>
      </w:tr>
      <w:tr w:rsidR="005E0C75" w:rsidRPr="00285897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33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ZapMX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Saltillo,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Zapaliname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, Mexico</w:t>
            </w:r>
          </w:p>
        </w:tc>
        <w:tc>
          <w:tcPr>
            <w:tcW w:w="10920" w:type="dxa"/>
            <w:shd w:val="clear" w:color="auto" w:fill="auto"/>
          </w:tcPr>
          <w:p w:rsidR="00984989" w:rsidRPr="00285897" w:rsidRDefault="005E0C75" w:rsidP="00596009">
            <w:pPr>
              <w:rPr>
                <w:lang w:val="en-US"/>
              </w:rPr>
            </w:pPr>
            <w:proofErr w:type="spellStart"/>
            <w:r w:rsidRPr="002403E8">
              <w:t>Laurans</w:t>
            </w:r>
            <w:proofErr w:type="spellEnd"/>
            <w:r w:rsidRPr="002403E8">
              <w:t xml:space="preserve"> Y, </w:t>
            </w:r>
            <w:proofErr w:type="spellStart"/>
            <w:r w:rsidRPr="002403E8">
              <w:t>Leménager</w:t>
            </w:r>
            <w:proofErr w:type="spellEnd"/>
            <w:r w:rsidRPr="002403E8">
              <w:t xml:space="preserve"> T, </w:t>
            </w:r>
            <w:proofErr w:type="spellStart"/>
            <w:r w:rsidRPr="002403E8">
              <w:t>Aoubid</w:t>
            </w:r>
            <w:proofErr w:type="spellEnd"/>
            <w:r w:rsidRPr="002403E8">
              <w:t xml:space="preserve"> S</w:t>
            </w:r>
            <w:r w:rsidR="00285897" w:rsidRPr="002403E8">
              <w:t>.</w:t>
            </w:r>
            <w:r w:rsidRPr="002403E8">
              <w:t xml:space="preserve"> (2011)</w:t>
            </w:r>
            <w:r w:rsidR="00285897" w:rsidRPr="002403E8">
              <w:t>.</w:t>
            </w:r>
            <w:r w:rsidRPr="002403E8">
              <w:t xml:space="preserve"> Agence Française pour le Développement. </w:t>
            </w:r>
            <w:r w:rsidRPr="00285897">
              <w:rPr>
                <w:lang w:val="en-US"/>
              </w:rPr>
              <w:t>Paris, France.</w:t>
            </w:r>
          </w:p>
        </w:tc>
      </w:tr>
      <w:tr w:rsidR="005E0C75" w:rsidRPr="00596009" w:rsidTr="00DF6EBC">
        <w:tc>
          <w:tcPr>
            <w:tcW w:w="819" w:type="dxa"/>
            <w:vAlign w:val="center"/>
          </w:tcPr>
          <w:p w:rsidR="005E0C75" w:rsidRPr="00285897" w:rsidRDefault="005E0C75" w:rsidP="00596009">
            <w:pPr>
              <w:jc w:val="center"/>
              <w:rPr>
                <w:lang w:val="en-US"/>
              </w:rPr>
            </w:pPr>
            <w:r w:rsidRPr="00285897">
              <w:rPr>
                <w:lang w:val="en-US"/>
              </w:rPr>
              <w:t>34</w:t>
            </w:r>
          </w:p>
        </w:tc>
        <w:tc>
          <w:tcPr>
            <w:tcW w:w="1064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n-US"/>
              </w:rPr>
              <w:t>SimT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n-US"/>
              </w:rPr>
              <w:t>Simanjiro</w:t>
            </w:r>
            <w:proofErr w:type="spellEnd"/>
            <w:r w:rsidRPr="00285897">
              <w:rPr>
                <w:rFonts w:ascii="Calibri" w:hAnsi="Calibri" w:cs="Calibri"/>
                <w:color w:val="000000"/>
                <w:lang w:val="en-US"/>
              </w:rPr>
              <w:t xml:space="preserve"> valley, Tanzania</w:t>
            </w:r>
          </w:p>
        </w:tc>
        <w:tc>
          <w:tcPr>
            <w:tcW w:w="10920" w:type="dxa"/>
          </w:tcPr>
          <w:p w:rsidR="005E0C75" w:rsidRPr="00596009" w:rsidRDefault="005E0C75" w:rsidP="00596009">
            <w:r w:rsidRPr="00285897">
              <w:rPr>
                <w:lang w:val="en-US"/>
              </w:rPr>
              <w:t>Nelson F</w:t>
            </w:r>
            <w:r w:rsidR="00285897" w:rsidRPr="00285897">
              <w:rPr>
                <w:lang w:val="en-US"/>
              </w:rPr>
              <w:t>.</w:t>
            </w:r>
            <w:r w:rsidRPr="00285897">
              <w:rPr>
                <w:lang w:val="en-US"/>
              </w:rPr>
              <w:t xml:space="preserve"> (2008)</w:t>
            </w:r>
            <w:r w:rsidR="00285897" w:rsidRPr="00285897">
              <w:rPr>
                <w:lang w:val="en-US"/>
              </w:rPr>
              <w:t>.</w:t>
            </w:r>
            <w:r w:rsidRPr="00285897">
              <w:rPr>
                <w:lang w:val="en-US"/>
              </w:rPr>
              <w:t xml:space="preserve"> Developing Alternative Frameworks for Community-based Conservation: Pilot</w:t>
            </w:r>
            <w:r w:rsidRPr="002403E8">
              <w:rPr>
                <w:lang w:val="en-US"/>
              </w:rPr>
              <w:t xml:space="preserve">ing Payments for Environmental Services (PES) in Tanzania’s </w:t>
            </w:r>
            <w:proofErr w:type="spellStart"/>
            <w:r w:rsidRPr="002403E8">
              <w:rPr>
                <w:lang w:val="en-US"/>
              </w:rPr>
              <w:t>Simanjiro</w:t>
            </w:r>
            <w:proofErr w:type="spellEnd"/>
            <w:r w:rsidRPr="002403E8">
              <w:rPr>
                <w:lang w:val="en-US"/>
              </w:rPr>
              <w:t xml:space="preserve"> Plains. </w:t>
            </w:r>
            <w:proofErr w:type="spellStart"/>
            <w:r w:rsidRPr="00596009">
              <w:t>USAID</w:t>
            </w:r>
            <w:proofErr w:type="spellEnd"/>
            <w:r w:rsidRPr="00596009">
              <w:t xml:space="preserve"> </w:t>
            </w:r>
            <w:proofErr w:type="spellStart"/>
            <w:r w:rsidRPr="00596009">
              <w:t>TransLinks</w:t>
            </w:r>
            <w:proofErr w:type="spellEnd"/>
            <w:r w:rsidRPr="00596009">
              <w:t>. 38p.</w:t>
            </w:r>
          </w:p>
          <w:p w:rsidR="005E0C75" w:rsidRPr="00596009" w:rsidRDefault="005E0C75" w:rsidP="00596009"/>
          <w:p w:rsidR="005E0C75" w:rsidRPr="00285897" w:rsidRDefault="005E0C75" w:rsidP="00596009">
            <w:proofErr w:type="spellStart"/>
            <w:r w:rsidRPr="00596009">
              <w:t>Laurans</w:t>
            </w:r>
            <w:proofErr w:type="spellEnd"/>
            <w:r w:rsidRPr="00596009">
              <w:t xml:space="preserve"> Y, </w:t>
            </w:r>
            <w:proofErr w:type="spellStart"/>
            <w:r w:rsidRPr="00596009">
              <w:t>Leménager</w:t>
            </w:r>
            <w:proofErr w:type="spellEnd"/>
            <w:r w:rsidRPr="00596009">
              <w:t xml:space="preserve"> T, </w:t>
            </w:r>
            <w:proofErr w:type="spellStart"/>
            <w:r w:rsidRPr="00596009">
              <w:t>Aoubid</w:t>
            </w:r>
            <w:proofErr w:type="spellEnd"/>
            <w:r w:rsidRPr="00596009">
              <w:t xml:space="preserve"> S</w:t>
            </w:r>
            <w:r w:rsidR="00285897">
              <w:t>.</w:t>
            </w:r>
            <w:r w:rsidRPr="00596009">
              <w:t xml:space="preserve"> (2011)</w:t>
            </w:r>
            <w:r w:rsidR="00285897">
              <w:t>.</w:t>
            </w:r>
            <w:r w:rsidRPr="00596009">
              <w:t xml:space="preserve"> Agence Française pour le Développement. Paris, France.</w:t>
            </w:r>
          </w:p>
        </w:tc>
      </w:tr>
      <w:tr w:rsidR="005E0C75" w:rsidRPr="00285897" w:rsidTr="00DF6EBC">
        <w:tc>
          <w:tcPr>
            <w:tcW w:w="819" w:type="dxa"/>
            <w:vAlign w:val="center"/>
          </w:tcPr>
          <w:p w:rsidR="005E0C75" w:rsidRPr="00285897" w:rsidRDefault="005E0C75" w:rsidP="00596009">
            <w:pPr>
              <w:jc w:val="center"/>
            </w:pPr>
            <w:r w:rsidRPr="00285897">
              <w:t>35</w:t>
            </w:r>
          </w:p>
        </w:tc>
        <w:tc>
          <w:tcPr>
            <w:tcW w:w="1064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</w:rPr>
              <w:t>BioN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</w:rPr>
              <w:t>NRCB</w:t>
            </w:r>
            <w:proofErr w:type="spellEnd"/>
            <w:r w:rsidRPr="00285897">
              <w:rPr>
                <w:rFonts w:ascii="Calibri" w:hAnsi="Calibri" w:cs="Calibri"/>
                <w:color w:val="000000"/>
              </w:rPr>
              <w:t xml:space="preserve"> management, </w:t>
            </w:r>
            <w:proofErr w:type="spellStart"/>
            <w:r w:rsidRPr="00285897">
              <w:rPr>
                <w:rFonts w:ascii="Calibri" w:hAnsi="Calibri" w:cs="Calibri"/>
                <w:color w:val="000000"/>
              </w:rPr>
              <w:t>Namibia</w:t>
            </w:r>
            <w:proofErr w:type="spellEnd"/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en-US"/>
              </w:rPr>
              <w:t>Weaver C, Peterse</w:t>
            </w:r>
            <w:r w:rsidR="00AC7D1F" w:rsidRPr="002403E8">
              <w:rPr>
                <w:lang w:val="en-US"/>
              </w:rPr>
              <w:t>n</w:t>
            </w:r>
            <w:r w:rsidRPr="002403E8">
              <w:rPr>
                <w:lang w:val="en-US"/>
              </w:rPr>
              <w:t xml:space="preserve"> T</w:t>
            </w:r>
            <w:r w:rsidR="00285897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(2008)</w:t>
            </w:r>
            <w:r w:rsidR="00285897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Namibia communal area conservancies. Best Practices in Sustaina</w:t>
            </w:r>
            <w:r w:rsidRPr="00596009">
              <w:rPr>
                <w:lang w:val="en-US"/>
              </w:rPr>
              <w:t>ble Hunting pp. 48–52.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Weaver LC, Petersen T, Diggle R, </w:t>
            </w:r>
            <w:proofErr w:type="spellStart"/>
            <w:r w:rsidRPr="00596009">
              <w:rPr>
                <w:lang w:val="en-US"/>
              </w:rPr>
              <w:t>Matongo</w:t>
            </w:r>
            <w:proofErr w:type="spellEnd"/>
            <w:r w:rsidRPr="00596009">
              <w:rPr>
                <w:lang w:val="en-US"/>
              </w:rPr>
              <w:t xml:space="preserve"> G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(2009)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Achievements and Practical Lessons Learned From A Decade of Wildlife Utilization In Namibia’s Communal Area Conservancies. WWF. </w:t>
            </w:r>
          </w:p>
        </w:tc>
      </w:tr>
      <w:tr w:rsidR="005E0C75" w:rsidRPr="007A452D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36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CatUS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Catskills, NYC, USA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A55F2A" w:rsidRDefault="005E0C75" w:rsidP="00596009">
            <w:proofErr w:type="spellStart"/>
            <w:r w:rsidRPr="00596009">
              <w:rPr>
                <w:lang w:val="en-US"/>
              </w:rPr>
              <w:t>Grolleau</w:t>
            </w:r>
            <w:proofErr w:type="spellEnd"/>
            <w:r w:rsidRPr="00596009">
              <w:rPr>
                <w:lang w:val="en-US"/>
              </w:rPr>
              <w:t xml:space="preserve"> G, McCann </w:t>
            </w:r>
            <w:proofErr w:type="spellStart"/>
            <w:r w:rsidRPr="00596009">
              <w:rPr>
                <w:lang w:val="en-US"/>
              </w:rPr>
              <w:t>LMJ</w:t>
            </w:r>
            <w:proofErr w:type="spellEnd"/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Designing watershed programs to pay farmers for water quality services: Case studies of Munich and New York City. </w:t>
            </w:r>
            <w:r w:rsidRPr="00A55F2A">
              <w:t>Ecological Economics 76:87–94.</w:t>
            </w:r>
          </w:p>
          <w:p w:rsidR="005E0C75" w:rsidRPr="00A55F2A" w:rsidRDefault="005E0C75" w:rsidP="00596009"/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A55F2A">
              <w:t>Laurans</w:t>
            </w:r>
            <w:proofErr w:type="spellEnd"/>
            <w:r w:rsidRPr="00A55F2A">
              <w:t xml:space="preserve"> Y, </w:t>
            </w:r>
            <w:proofErr w:type="spellStart"/>
            <w:r w:rsidRPr="00A55F2A">
              <w:t>Leménager</w:t>
            </w:r>
            <w:proofErr w:type="spellEnd"/>
            <w:r w:rsidRPr="00A55F2A">
              <w:t xml:space="preserve"> T, </w:t>
            </w:r>
            <w:proofErr w:type="spellStart"/>
            <w:r w:rsidRPr="00A55F2A">
              <w:t>Aoubid</w:t>
            </w:r>
            <w:proofErr w:type="spellEnd"/>
            <w:r w:rsidRPr="00A55F2A">
              <w:t xml:space="preserve"> S</w:t>
            </w:r>
            <w:r w:rsidR="007A452D" w:rsidRPr="00A55F2A">
              <w:t>.</w:t>
            </w:r>
            <w:r w:rsidRPr="00A55F2A">
              <w:t xml:space="preserve"> (2011)</w:t>
            </w:r>
            <w:r w:rsidR="007A452D" w:rsidRPr="00A55F2A">
              <w:t>.</w:t>
            </w:r>
            <w:r w:rsidRPr="00A55F2A">
              <w:t xml:space="preserve"> Agence Française pour le Développement. </w:t>
            </w:r>
            <w:r w:rsidRPr="00285897">
              <w:rPr>
                <w:lang w:val="en-US"/>
              </w:rPr>
              <w:t>Paris, France.</w:t>
            </w:r>
          </w:p>
        </w:tc>
      </w:tr>
      <w:tr w:rsidR="005E0C75" w:rsidRPr="00B16C9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37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UlgT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Tanzania, PWS</w:t>
            </w:r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Lopa</w:t>
            </w:r>
            <w:proofErr w:type="spellEnd"/>
            <w:r w:rsidRPr="00596009">
              <w:rPr>
                <w:lang w:val="en-US"/>
              </w:rPr>
              <w:t xml:space="preserve"> D, </w:t>
            </w:r>
            <w:proofErr w:type="spellStart"/>
            <w:r w:rsidRPr="00596009">
              <w:rPr>
                <w:lang w:val="en-US"/>
              </w:rPr>
              <w:t>Mwanyoka</w:t>
            </w:r>
            <w:proofErr w:type="spellEnd"/>
            <w:r w:rsidRPr="00596009">
              <w:rPr>
                <w:lang w:val="en-US"/>
              </w:rPr>
              <w:t xml:space="preserve"> I, </w:t>
            </w:r>
            <w:proofErr w:type="spellStart"/>
            <w:r w:rsidRPr="00596009">
              <w:rPr>
                <w:lang w:val="en-US"/>
              </w:rPr>
              <w:t>Jambiya</w:t>
            </w:r>
            <w:proofErr w:type="spellEnd"/>
            <w:r w:rsidRPr="00596009">
              <w:rPr>
                <w:lang w:val="en-US"/>
              </w:rPr>
              <w:t xml:space="preserve"> G, </w:t>
            </w:r>
            <w:proofErr w:type="spellStart"/>
            <w:r w:rsidRPr="00596009">
              <w:rPr>
                <w:lang w:val="en-US"/>
              </w:rPr>
              <w:t>Massoud</w:t>
            </w:r>
            <w:proofErr w:type="spellEnd"/>
            <w:r w:rsidRPr="00596009">
              <w:rPr>
                <w:lang w:val="en-US"/>
              </w:rPr>
              <w:t xml:space="preserve"> T, Harrison P, Ellis-Jones M, </w:t>
            </w:r>
            <w:proofErr w:type="spellStart"/>
            <w:r w:rsidRPr="00596009">
              <w:rPr>
                <w:lang w:val="en-US"/>
              </w:rPr>
              <w:t>Blomley</w:t>
            </w:r>
            <w:proofErr w:type="spellEnd"/>
            <w:r w:rsidRPr="00596009">
              <w:rPr>
                <w:lang w:val="en-US"/>
              </w:rPr>
              <w:t xml:space="preserve"> T, </w:t>
            </w:r>
            <w:proofErr w:type="spellStart"/>
            <w:r w:rsidRPr="00596009">
              <w:rPr>
                <w:lang w:val="en-US"/>
              </w:rPr>
              <w:t>Leimona</w:t>
            </w:r>
            <w:proofErr w:type="spellEnd"/>
            <w:r w:rsidRPr="00596009">
              <w:rPr>
                <w:lang w:val="en-US"/>
              </w:rPr>
              <w:t xml:space="preserve"> B, van-Noordwijk M, 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Burgess ND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Towards operational payments for water ecosystem services in Tanzania: a case study from the </w:t>
            </w:r>
            <w:proofErr w:type="spellStart"/>
            <w:r w:rsidRPr="00596009">
              <w:rPr>
                <w:lang w:val="en-US"/>
              </w:rPr>
              <w:t>Uluguru</w:t>
            </w:r>
            <w:proofErr w:type="spellEnd"/>
            <w:r w:rsidRPr="00596009">
              <w:rPr>
                <w:lang w:val="en-US"/>
              </w:rPr>
              <w:t xml:space="preserve"> Mountains. Oryx 46(1):34-44.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984989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Branca</w:t>
            </w:r>
            <w:proofErr w:type="spellEnd"/>
            <w:r w:rsidRPr="00596009">
              <w:rPr>
                <w:lang w:val="en-US"/>
              </w:rPr>
              <w:t xml:space="preserve">, Giacomo, Leslie Lipper, </w:t>
            </w:r>
            <w:proofErr w:type="spellStart"/>
            <w:r w:rsidRPr="00596009">
              <w:rPr>
                <w:lang w:val="en-US"/>
              </w:rPr>
              <w:t>Bernardete</w:t>
            </w:r>
            <w:proofErr w:type="spellEnd"/>
            <w:r w:rsidRPr="00596009">
              <w:rPr>
                <w:lang w:val="en-US"/>
              </w:rPr>
              <w:t xml:space="preserve"> Neves, </w:t>
            </w:r>
            <w:proofErr w:type="spellStart"/>
            <w:r w:rsidRPr="00596009">
              <w:rPr>
                <w:lang w:val="en-US"/>
              </w:rPr>
              <w:t>Dosteus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Lopa</w:t>
            </w:r>
            <w:proofErr w:type="spellEnd"/>
            <w:r w:rsidRPr="00596009">
              <w:rPr>
                <w:lang w:val="en-US"/>
              </w:rPr>
              <w:t xml:space="preserve">, and </w:t>
            </w:r>
            <w:proofErr w:type="spellStart"/>
            <w:r w:rsidRPr="00596009">
              <w:rPr>
                <w:lang w:val="en-US"/>
              </w:rPr>
              <w:t>Iddi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Mwanyoka</w:t>
            </w:r>
            <w:proofErr w:type="spellEnd"/>
            <w:r w:rsidRPr="00596009">
              <w:rPr>
                <w:lang w:val="en-US"/>
              </w:rPr>
              <w:t xml:space="preserve">. </w:t>
            </w:r>
            <w:r w:rsidR="00285897">
              <w:rPr>
                <w:lang w:val="en-US"/>
              </w:rPr>
              <w:t>(</w:t>
            </w:r>
            <w:r w:rsidRPr="00596009">
              <w:rPr>
                <w:lang w:val="en-US"/>
              </w:rPr>
              <w:t>2011</w:t>
            </w:r>
            <w:r w:rsidR="00285897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Payments for watershed services supporting sustainable agricultural development in Tanzania. </w:t>
            </w:r>
            <w:r w:rsidRPr="00596009">
              <w:rPr>
                <w:iCs/>
                <w:lang w:val="en-US"/>
              </w:rPr>
              <w:t>The Journal of Environment &amp; Development</w:t>
            </w:r>
            <w:r w:rsidRPr="00596009">
              <w:rPr>
                <w:lang w:val="en-US"/>
              </w:rPr>
              <w:t xml:space="preserve"> 20 (3):278-302.</w:t>
            </w:r>
          </w:p>
        </w:tc>
      </w:tr>
      <w:tr w:rsidR="005E0C75" w:rsidRPr="00285897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38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SilNC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Silvopastoril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, Nicaragua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 xml:space="preserve">Marín Y, Ibrahim M, Villanueva C, Ramírez E, </w:t>
            </w:r>
            <w:proofErr w:type="spellStart"/>
            <w:r w:rsidRPr="00596009">
              <w:rPr>
                <w:lang w:val="es-ES"/>
              </w:rPr>
              <w:t>Sepulveda</w:t>
            </w:r>
            <w:proofErr w:type="spellEnd"/>
            <w:r w:rsidRPr="00596009">
              <w:rPr>
                <w:lang w:val="es-ES"/>
              </w:rPr>
              <w:t xml:space="preserve"> C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(2006)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Los impactos de un proyecto </w:t>
            </w:r>
            <w:proofErr w:type="spellStart"/>
            <w:r w:rsidRPr="00596009">
              <w:rPr>
                <w:lang w:val="es-ES"/>
              </w:rPr>
              <w:t>silvopastoril</w:t>
            </w:r>
            <w:proofErr w:type="spellEnd"/>
            <w:r w:rsidRPr="00596009">
              <w:rPr>
                <w:lang w:val="es-ES"/>
              </w:rPr>
              <w:t xml:space="preserve"> en el cambio de uso de la tierra y alivio de la pobreza en el paisaje ganadero de </w:t>
            </w:r>
            <w:proofErr w:type="spellStart"/>
            <w:r w:rsidRPr="00596009">
              <w:rPr>
                <w:lang w:val="es-ES"/>
              </w:rPr>
              <w:t>Matiguás</w:t>
            </w:r>
            <w:proofErr w:type="spellEnd"/>
            <w:r w:rsidRPr="00596009">
              <w:rPr>
                <w:lang w:val="es-ES"/>
              </w:rPr>
              <w:t xml:space="preserve">, Nicaragua. </w:t>
            </w:r>
            <w:proofErr w:type="spellStart"/>
            <w:r w:rsidRPr="00596009">
              <w:rPr>
                <w:lang w:val="es-ES"/>
              </w:rPr>
              <w:t>Agroforesteria</w:t>
            </w:r>
            <w:proofErr w:type="spellEnd"/>
            <w:r w:rsidRPr="00596009">
              <w:rPr>
                <w:lang w:val="es-ES"/>
              </w:rPr>
              <w:t xml:space="preserve"> en las Américas no. 45:109-116.</w:t>
            </w:r>
          </w:p>
          <w:p w:rsidR="005E0C75" w:rsidRPr="00596009" w:rsidRDefault="005E0C75" w:rsidP="00596009">
            <w:pPr>
              <w:rPr>
                <w:lang w:val="es-ES"/>
              </w:rPr>
            </w:pPr>
          </w:p>
          <w:p w:rsidR="005E0C75" w:rsidRPr="00596009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>Ibrahim M, Villanueva CP, Casasola F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(2007)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Sistemas </w:t>
            </w:r>
            <w:proofErr w:type="spellStart"/>
            <w:r w:rsidRPr="00596009">
              <w:rPr>
                <w:lang w:val="es-ES"/>
              </w:rPr>
              <w:t>silvopastoriles</w:t>
            </w:r>
            <w:proofErr w:type="spellEnd"/>
            <w:r w:rsidRPr="00596009">
              <w:rPr>
                <w:lang w:val="es-ES"/>
              </w:rPr>
              <w:t xml:space="preserve"> como una herramienta para el mejoramiento de la productividad y rehabilitación ecológica de paisajes ganaderos en centro américa. </w:t>
            </w:r>
            <w:proofErr w:type="spellStart"/>
            <w:r w:rsidRPr="00596009">
              <w:rPr>
                <w:lang w:val="es-ES"/>
              </w:rPr>
              <w:t>Arch</w:t>
            </w:r>
            <w:proofErr w:type="spellEnd"/>
            <w:r w:rsidRPr="00596009">
              <w:rPr>
                <w:lang w:val="es-ES"/>
              </w:rPr>
              <w:t xml:space="preserve">. </w:t>
            </w:r>
            <w:proofErr w:type="spellStart"/>
            <w:r w:rsidRPr="00596009">
              <w:rPr>
                <w:lang w:val="es-ES"/>
              </w:rPr>
              <w:t>Latinoam</w:t>
            </w:r>
            <w:proofErr w:type="spellEnd"/>
            <w:r w:rsidRPr="00596009">
              <w:rPr>
                <w:lang w:val="es-ES"/>
              </w:rPr>
              <w:t xml:space="preserve">. </w:t>
            </w:r>
            <w:proofErr w:type="spellStart"/>
            <w:r w:rsidRPr="00596009">
              <w:rPr>
                <w:lang w:val="es-ES"/>
              </w:rPr>
              <w:t>Prod</w:t>
            </w:r>
            <w:proofErr w:type="spellEnd"/>
            <w:r w:rsidRPr="00596009">
              <w:rPr>
                <w:lang w:val="es-ES"/>
              </w:rPr>
              <w:t xml:space="preserve">. </w:t>
            </w:r>
            <w:proofErr w:type="spellStart"/>
            <w:r w:rsidRPr="00596009">
              <w:rPr>
                <w:lang w:val="es-ES"/>
              </w:rPr>
              <w:t>Anim</w:t>
            </w:r>
            <w:proofErr w:type="spellEnd"/>
            <w:r w:rsidRPr="00596009">
              <w:rPr>
                <w:lang w:val="es-ES"/>
              </w:rPr>
              <w:t>. Vol. 15:73-87.</w:t>
            </w:r>
          </w:p>
        </w:tc>
      </w:tr>
      <w:tr w:rsidR="005E0C75" w:rsidRPr="00285897" w:rsidTr="00DF6EBC">
        <w:tc>
          <w:tcPr>
            <w:tcW w:w="819" w:type="dxa"/>
            <w:vAlign w:val="center"/>
          </w:tcPr>
          <w:p w:rsidR="005E0C75" w:rsidRPr="00285897" w:rsidRDefault="005E0C75" w:rsidP="00596009">
            <w:pPr>
              <w:jc w:val="center"/>
              <w:rPr>
                <w:lang w:val="es-ES"/>
              </w:rPr>
            </w:pPr>
            <w:r w:rsidRPr="00285897">
              <w:rPr>
                <w:lang w:val="es-ES"/>
              </w:rPr>
              <w:t>39</w:t>
            </w:r>
          </w:p>
        </w:tc>
        <w:tc>
          <w:tcPr>
            <w:tcW w:w="1064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s-ES"/>
              </w:rPr>
              <w:t>SilCR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s-ES"/>
              </w:rPr>
              <w:t>Silvopastroril</w:t>
            </w:r>
            <w:proofErr w:type="spellEnd"/>
            <w:r w:rsidRPr="00285897">
              <w:rPr>
                <w:rFonts w:ascii="Calibri" w:hAnsi="Calibri" w:cs="Calibri"/>
                <w:color w:val="000000"/>
                <w:lang w:val="es-ES"/>
              </w:rPr>
              <w:t>, Costa Rica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>Pagiola S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(2010)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Desafíos y Oportunidades para el desarrollo de Pagos por Servicios Ambientales en el Sector Ganadero. VI </w:t>
            </w:r>
            <w:proofErr w:type="spellStart"/>
            <w:r w:rsidRPr="00596009">
              <w:rPr>
                <w:lang w:val="es-ES"/>
              </w:rPr>
              <w:t>Agroforestry</w:t>
            </w:r>
            <w:proofErr w:type="spellEnd"/>
            <w:r w:rsidRPr="00596009">
              <w:rPr>
                <w:lang w:val="es-ES"/>
              </w:rPr>
              <w:t xml:space="preserve"> </w:t>
            </w:r>
            <w:proofErr w:type="spellStart"/>
            <w:r w:rsidRPr="00596009">
              <w:rPr>
                <w:lang w:val="es-ES"/>
              </w:rPr>
              <w:t>Congress</w:t>
            </w:r>
            <w:proofErr w:type="spellEnd"/>
            <w:r w:rsidRPr="00596009">
              <w:rPr>
                <w:lang w:val="es-ES"/>
              </w:rPr>
              <w:t xml:space="preserve"> </w:t>
            </w:r>
            <w:proofErr w:type="spellStart"/>
            <w:r w:rsidRPr="00596009">
              <w:rPr>
                <w:lang w:val="es-ES"/>
              </w:rPr>
              <w:t>on</w:t>
            </w:r>
            <w:proofErr w:type="spellEnd"/>
            <w:r w:rsidRPr="00596009">
              <w:rPr>
                <w:lang w:val="es-ES"/>
              </w:rPr>
              <w:t xml:space="preserve"> </w:t>
            </w:r>
            <w:proofErr w:type="spellStart"/>
            <w:r w:rsidRPr="00596009">
              <w:rPr>
                <w:lang w:val="es-ES"/>
              </w:rPr>
              <w:t>Cattle</w:t>
            </w:r>
            <w:proofErr w:type="spellEnd"/>
            <w:r w:rsidRPr="00596009">
              <w:rPr>
                <w:lang w:val="es-ES"/>
              </w:rPr>
              <w:t xml:space="preserve"> </w:t>
            </w:r>
            <w:proofErr w:type="spellStart"/>
            <w:r w:rsidRPr="00596009">
              <w:rPr>
                <w:lang w:val="es-ES"/>
              </w:rPr>
              <w:t>Sustainable</w:t>
            </w:r>
            <w:proofErr w:type="spellEnd"/>
            <w:r w:rsidRPr="00596009">
              <w:rPr>
                <w:lang w:val="es-ES"/>
              </w:rPr>
              <w:t xml:space="preserve"> </w:t>
            </w:r>
            <w:proofErr w:type="spellStart"/>
            <w:r w:rsidRPr="00596009">
              <w:rPr>
                <w:lang w:val="es-ES"/>
              </w:rPr>
              <w:t>Production</w:t>
            </w:r>
            <w:proofErr w:type="spellEnd"/>
            <w:r w:rsidRPr="00596009">
              <w:rPr>
                <w:lang w:val="es-ES"/>
              </w:rPr>
              <w:t xml:space="preserve">, Ciudad de </w:t>
            </w:r>
            <w:proofErr w:type="spellStart"/>
            <w:r w:rsidRPr="00596009">
              <w:rPr>
                <w:lang w:val="es-ES"/>
              </w:rPr>
              <w:t>Panama</w:t>
            </w:r>
            <w:proofErr w:type="spellEnd"/>
            <w:r w:rsidRPr="00596009">
              <w:rPr>
                <w:lang w:val="es-ES"/>
              </w:rPr>
              <w:t xml:space="preserve">, Panamá, 28-30 </w:t>
            </w:r>
            <w:proofErr w:type="spellStart"/>
            <w:r w:rsidRPr="00596009">
              <w:rPr>
                <w:lang w:val="es-ES"/>
              </w:rPr>
              <w:t>September</w:t>
            </w:r>
            <w:proofErr w:type="spellEnd"/>
            <w:r w:rsidRPr="00596009">
              <w:rPr>
                <w:lang w:val="es-ES"/>
              </w:rPr>
              <w:t>, 2010.</w:t>
            </w:r>
          </w:p>
          <w:p w:rsidR="005E0C75" w:rsidRPr="00596009" w:rsidRDefault="005E0C75" w:rsidP="00596009">
            <w:pPr>
              <w:rPr>
                <w:lang w:val="es-ES"/>
              </w:rPr>
            </w:pPr>
          </w:p>
          <w:p w:rsidR="005E0C75" w:rsidRPr="00285897" w:rsidRDefault="005E0C75" w:rsidP="00596009">
            <w:pPr>
              <w:rPr>
                <w:lang w:val="es-ES"/>
              </w:rPr>
            </w:pPr>
            <w:r w:rsidRPr="00596009">
              <w:rPr>
                <w:lang w:val="es-ES"/>
              </w:rPr>
              <w:t xml:space="preserve">Ibrahim M, </w:t>
            </w:r>
            <w:proofErr w:type="spellStart"/>
            <w:r w:rsidRPr="00596009">
              <w:rPr>
                <w:lang w:val="es-ES"/>
              </w:rPr>
              <w:t>Gobbi</w:t>
            </w:r>
            <w:proofErr w:type="spellEnd"/>
            <w:r w:rsidRPr="00596009">
              <w:rPr>
                <w:lang w:val="es-ES"/>
              </w:rPr>
              <w:t xml:space="preserve"> J, Casasola F, Chacón M, Ríos N, Tobar D, Villanueva C, Sepúlveda C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(2007)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Enfoques alternativos de pagos por servicios ambientales: Experiencia del proyecto </w:t>
            </w:r>
            <w:proofErr w:type="spellStart"/>
            <w:r w:rsidRPr="00596009">
              <w:rPr>
                <w:lang w:val="es-ES"/>
              </w:rPr>
              <w:t>Silvopastoril</w:t>
            </w:r>
            <w:proofErr w:type="spellEnd"/>
            <w:r w:rsidRPr="00596009">
              <w:rPr>
                <w:lang w:val="es-ES"/>
              </w:rPr>
              <w:t xml:space="preserve">. </w:t>
            </w:r>
            <w:proofErr w:type="spellStart"/>
            <w:r w:rsidRPr="00285897">
              <w:rPr>
                <w:lang w:val="es-ES"/>
              </w:rPr>
              <w:t>World</w:t>
            </w:r>
            <w:proofErr w:type="spellEnd"/>
            <w:r w:rsidRPr="00285897">
              <w:rPr>
                <w:lang w:val="es-ES"/>
              </w:rPr>
              <w:t xml:space="preserve"> Bank, Washington D.C., USA. </w:t>
            </w:r>
          </w:p>
          <w:p w:rsidR="005E0C75" w:rsidRPr="00285897" w:rsidRDefault="005E0C75" w:rsidP="00596009">
            <w:pPr>
              <w:rPr>
                <w:lang w:val="es-ES"/>
              </w:rPr>
            </w:pPr>
          </w:p>
        </w:tc>
      </w:tr>
      <w:tr w:rsidR="005E0C75" w:rsidRPr="00A55F2A" w:rsidTr="00DF6EBC">
        <w:tc>
          <w:tcPr>
            <w:tcW w:w="819" w:type="dxa"/>
            <w:vAlign w:val="center"/>
          </w:tcPr>
          <w:p w:rsidR="005E0C75" w:rsidRPr="00285897" w:rsidRDefault="005E0C75" w:rsidP="00596009">
            <w:pPr>
              <w:jc w:val="center"/>
              <w:rPr>
                <w:lang w:val="es-ES"/>
              </w:rPr>
            </w:pPr>
            <w:r w:rsidRPr="00285897">
              <w:rPr>
                <w:lang w:val="es-ES"/>
              </w:rPr>
              <w:t>40</w:t>
            </w:r>
          </w:p>
        </w:tc>
        <w:tc>
          <w:tcPr>
            <w:tcW w:w="1064" w:type="dxa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s-ES"/>
              </w:rPr>
              <w:t>CidIS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2403E8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2403E8">
              <w:rPr>
                <w:rFonts w:ascii="Calibri" w:hAnsi="Calibri" w:cs="Calibri"/>
                <w:color w:val="000000"/>
                <w:lang w:val="en-US"/>
              </w:rPr>
              <w:t>Cidanau</w:t>
            </w:r>
            <w:proofErr w:type="spellEnd"/>
            <w:r w:rsidRPr="002403E8">
              <w:rPr>
                <w:rFonts w:ascii="Calibri" w:hAnsi="Calibri" w:cs="Calibri"/>
                <w:color w:val="000000"/>
                <w:lang w:val="en-US"/>
              </w:rPr>
              <w:t xml:space="preserve"> watershed PES scheme, Indonesia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pt-BR"/>
              </w:rPr>
              <w:t>Leimona B, Pasha R, Rahadian NP</w:t>
            </w:r>
            <w:r w:rsidR="00285897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</w:t>
            </w:r>
            <w:r w:rsidRPr="002403E8">
              <w:rPr>
                <w:lang w:val="en-US"/>
              </w:rPr>
              <w:t xml:space="preserve">(2010). The livelihood impacts of incentive </w:t>
            </w:r>
            <w:r w:rsidRPr="00596009">
              <w:rPr>
                <w:lang w:val="en-US"/>
              </w:rPr>
              <w:t xml:space="preserve">payments for watershed management in </w:t>
            </w:r>
            <w:proofErr w:type="spellStart"/>
            <w:r w:rsidRPr="00596009">
              <w:rPr>
                <w:lang w:val="en-US"/>
              </w:rPr>
              <w:t>Cidanau</w:t>
            </w:r>
            <w:proofErr w:type="spellEnd"/>
            <w:r w:rsidRPr="00596009">
              <w:rPr>
                <w:lang w:val="en-US"/>
              </w:rPr>
              <w:t xml:space="preserve"> watershed, West Java, Indonesia. Payments for Environmental Services, Forest Conservation and Climate Change Livelihoods in the REDD? Eds. </w:t>
            </w:r>
            <w:proofErr w:type="spellStart"/>
            <w:r w:rsidRPr="00596009">
              <w:rPr>
                <w:lang w:val="en-US"/>
              </w:rPr>
              <w:t>Tacconi</w:t>
            </w:r>
            <w:proofErr w:type="spellEnd"/>
            <w:r w:rsidRPr="00596009">
              <w:rPr>
                <w:lang w:val="en-US"/>
              </w:rPr>
              <w:t xml:space="preserve"> L, </w:t>
            </w:r>
            <w:proofErr w:type="spellStart"/>
            <w:r w:rsidRPr="00596009">
              <w:rPr>
                <w:lang w:val="en-US"/>
              </w:rPr>
              <w:t>Mahanty</w:t>
            </w:r>
            <w:proofErr w:type="spellEnd"/>
            <w:r w:rsidRPr="00596009">
              <w:rPr>
                <w:lang w:val="en-US"/>
              </w:rPr>
              <w:t xml:space="preserve"> S and </w:t>
            </w:r>
            <w:proofErr w:type="spellStart"/>
            <w:r w:rsidRPr="00596009">
              <w:rPr>
                <w:lang w:val="en-US"/>
              </w:rPr>
              <w:t>Suich</w:t>
            </w:r>
            <w:proofErr w:type="spellEnd"/>
            <w:r w:rsidRPr="00596009">
              <w:rPr>
                <w:lang w:val="en-US"/>
              </w:rPr>
              <w:t xml:space="preserve"> H.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Suyanto</w:t>
            </w:r>
            <w:proofErr w:type="spellEnd"/>
            <w:r w:rsidRPr="00596009">
              <w:rPr>
                <w:lang w:val="en-US"/>
              </w:rPr>
              <w:t xml:space="preserve"> S, </w:t>
            </w:r>
            <w:proofErr w:type="spellStart"/>
            <w:r w:rsidRPr="00596009">
              <w:rPr>
                <w:lang w:val="en-US"/>
              </w:rPr>
              <w:t>Leimona</w:t>
            </w:r>
            <w:proofErr w:type="spellEnd"/>
            <w:r w:rsidRPr="00596009">
              <w:rPr>
                <w:lang w:val="en-US"/>
              </w:rPr>
              <w:t xml:space="preserve"> B, </w:t>
            </w:r>
            <w:proofErr w:type="spellStart"/>
            <w:r w:rsidRPr="00596009">
              <w:rPr>
                <w:lang w:val="en-US"/>
              </w:rPr>
              <w:t>Permana</w:t>
            </w:r>
            <w:proofErr w:type="spellEnd"/>
            <w:r w:rsidRPr="00596009">
              <w:rPr>
                <w:lang w:val="en-US"/>
              </w:rPr>
              <w:t xml:space="preserve"> RP, Chandler FJC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(2005)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Review of the development environmental services market in Indonesia. World Agroforestry Center. Available at </w:t>
            </w:r>
            <w:hyperlink r:id="rId12" w:history="1">
              <w:r w:rsidRPr="00596009">
                <w:rPr>
                  <w:rStyle w:val="Hyperlink"/>
                  <w:lang w:val="en-US"/>
                </w:rPr>
                <w:t>http://www.worldagroforestrycentre.org/sea</w:t>
              </w:r>
            </w:hyperlink>
            <w:r w:rsidRPr="00596009">
              <w:rPr>
                <w:lang w:val="en-US"/>
              </w:rPr>
              <w:t>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TreU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Uganda, Trees for Global Benefits Programme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German LA, </w:t>
            </w:r>
            <w:proofErr w:type="spellStart"/>
            <w:r w:rsidRPr="00596009">
              <w:rPr>
                <w:lang w:val="en-US"/>
              </w:rPr>
              <w:t>Ruhweza</w:t>
            </w:r>
            <w:proofErr w:type="spellEnd"/>
            <w:r w:rsidRPr="00596009">
              <w:rPr>
                <w:lang w:val="en-US"/>
              </w:rPr>
              <w:t xml:space="preserve"> A, </w:t>
            </w:r>
            <w:proofErr w:type="spellStart"/>
            <w:r w:rsidRPr="00596009">
              <w:rPr>
                <w:lang w:val="en-US"/>
              </w:rPr>
              <w:t>Mwesigwa</w:t>
            </w:r>
            <w:proofErr w:type="spellEnd"/>
            <w:r w:rsidRPr="00596009">
              <w:rPr>
                <w:lang w:val="en-US"/>
              </w:rPr>
              <w:t xml:space="preserve"> R, </w:t>
            </w:r>
            <w:proofErr w:type="spellStart"/>
            <w:r w:rsidRPr="00596009">
              <w:rPr>
                <w:lang w:val="en-US"/>
              </w:rPr>
              <w:t>Kalanzi</w:t>
            </w:r>
            <w:proofErr w:type="spellEnd"/>
            <w:r w:rsidRPr="00596009">
              <w:rPr>
                <w:lang w:val="en-US"/>
              </w:rPr>
              <w:t xml:space="preserve"> C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(2010). Social and environmental footprints of carbon payments: a case study from Uganda. Payments for Environmental Services, Forest Conservation and Climate Change Livelihoods in the REDD? Eds. </w:t>
            </w:r>
            <w:proofErr w:type="spellStart"/>
            <w:r w:rsidRPr="00596009">
              <w:rPr>
                <w:lang w:val="en-US"/>
              </w:rPr>
              <w:t>Tacconi</w:t>
            </w:r>
            <w:proofErr w:type="spellEnd"/>
            <w:r w:rsidRPr="00596009">
              <w:rPr>
                <w:lang w:val="en-US"/>
              </w:rPr>
              <w:t xml:space="preserve"> L, </w:t>
            </w:r>
            <w:proofErr w:type="spellStart"/>
            <w:r w:rsidRPr="00596009">
              <w:rPr>
                <w:lang w:val="en-US"/>
              </w:rPr>
              <w:t>Mahanty</w:t>
            </w:r>
            <w:proofErr w:type="spellEnd"/>
            <w:r w:rsidRPr="00596009">
              <w:rPr>
                <w:lang w:val="en-US"/>
              </w:rPr>
              <w:t xml:space="preserve"> S and </w:t>
            </w:r>
            <w:proofErr w:type="spellStart"/>
            <w:r w:rsidRPr="00596009">
              <w:rPr>
                <w:lang w:val="en-US"/>
              </w:rPr>
              <w:t>Suich</w:t>
            </w:r>
            <w:proofErr w:type="spellEnd"/>
            <w:r w:rsidRPr="00596009">
              <w:rPr>
                <w:lang w:val="en-US"/>
              </w:rPr>
              <w:t xml:space="preserve"> H.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BioClimate</w:t>
            </w:r>
            <w:proofErr w:type="spellEnd"/>
            <w:r w:rsidRPr="00596009">
              <w:rPr>
                <w:lang w:val="en-US"/>
              </w:rPr>
              <w:t xml:space="preserve"> Research and Development and </w:t>
            </w:r>
            <w:proofErr w:type="spellStart"/>
            <w:r w:rsidRPr="00596009">
              <w:rPr>
                <w:lang w:val="en-US"/>
              </w:rPr>
              <w:t>EcoTrust</w:t>
            </w:r>
            <w:proofErr w:type="spellEnd"/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(2006)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Trees for Global Benefit: A Plan Vivo Project. </w:t>
            </w:r>
            <w:proofErr w:type="spellStart"/>
            <w:r w:rsidRPr="00596009">
              <w:rPr>
                <w:lang w:val="en-US"/>
              </w:rPr>
              <w:t>Bushenyi</w:t>
            </w:r>
            <w:proofErr w:type="spellEnd"/>
            <w:r w:rsidRPr="00596009">
              <w:rPr>
                <w:lang w:val="en-US"/>
              </w:rPr>
              <w:t xml:space="preserve"> Field Trip Report, Uganda, 17 to 20 July, 2006. Edinburgh and Kampala: </w:t>
            </w:r>
            <w:proofErr w:type="spellStart"/>
            <w:r w:rsidRPr="00596009">
              <w:rPr>
                <w:lang w:val="en-US"/>
              </w:rPr>
              <w:t>BR&amp;D</w:t>
            </w:r>
            <w:proofErr w:type="spellEnd"/>
            <w:r w:rsidRPr="00596009">
              <w:rPr>
                <w:lang w:val="en-US"/>
              </w:rPr>
              <w:t xml:space="preserve"> and </w:t>
            </w:r>
            <w:proofErr w:type="spellStart"/>
            <w:r w:rsidRPr="00596009">
              <w:rPr>
                <w:lang w:val="en-US"/>
              </w:rPr>
              <w:t>EcoTrust</w:t>
            </w:r>
            <w:proofErr w:type="spellEnd"/>
            <w:r w:rsidRPr="00596009">
              <w:rPr>
                <w:lang w:val="en-US"/>
              </w:rPr>
              <w:t>.</w:t>
            </w:r>
          </w:p>
        </w:tc>
      </w:tr>
      <w:tr w:rsidR="005E0C75" w:rsidRPr="0059600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FirPH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Philippines, No </w:t>
            </w:r>
            <w:r w:rsidRPr="00596009">
              <w:rPr>
                <w:rFonts w:ascii="Calibri" w:hAnsi="Calibri" w:cs="Calibri"/>
                <w:color w:val="000000"/>
                <w:lang w:val="en-US"/>
              </w:rPr>
              <w:lastRenderedPageBreak/>
              <w:t>Fire Bonus Scheme</w:t>
            </w:r>
          </w:p>
        </w:tc>
        <w:tc>
          <w:tcPr>
            <w:tcW w:w="10920" w:type="dxa"/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lastRenderedPageBreak/>
              <w:t>Soriaga</w:t>
            </w:r>
            <w:proofErr w:type="spellEnd"/>
            <w:r w:rsidRPr="00596009">
              <w:rPr>
                <w:lang w:val="en-US"/>
              </w:rPr>
              <w:t xml:space="preserve"> R, </w:t>
            </w:r>
            <w:proofErr w:type="spellStart"/>
            <w:r w:rsidRPr="00596009">
              <w:rPr>
                <w:lang w:val="en-US"/>
              </w:rPr>
              <w:t>Annawi</w:t>
            </w:r>
            <w:proofErr w:type="spellEnd"/>
            <w:r w:rsidRPr="00596009">
              <w:rPr>
                <w:lang w:val="en-US"/>
              </w:rPr>
              <w:t xml:space="preserve"> D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(2010)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The ‘No-Fire Bonus’ Scheme in Mountain Province, Cordillera Administrative Region, </w:t>
            </w:r>
            <w:r w:rsidRPr="00596009">
              <w:rPr>
                <w:lang w:val="en-US"/>
              </w:rPr>
              <w:lastRenderedPageBreak/>
              <w:t xml:space="preserve">Philippines. Payments for Environmental Services, Forest Conservation and Climate Change Livelihoods in the REDD? Eds. </w:t>
            </w:r>
            <w:proofErr w:type="spellStart"/>
            <w:r w:rsidRPr="00596009">
              <w:rPr>
                <w:lang w:val="en-US"/>
              </w:rPr>
              <w:t>Tacconi</w:t>
            </w:r>
            <w:proofErr w:type="spellEnd"/>
            <w:r w:rsidRPr="00596009">
              <w:rPr>
                <w:lang w:val="en-US"/>
              </w:rPr>
              <w:t xml:space="preserve"> L, </w:t>
            </w:r>
            <w:proofErr w:type="spellStart"/>
            <w:r w:rsidRPr="00596009">
              <w:rPr>
                <w:lang w:val="en-US"/>
              </w:rPr>
              <w:t>Mahanty</w:t>
            </w:r>
            <w:proofErr w:type="spellEnd"/>
            <w:r w:rsidRPr="00596009">
              <w:rPr>
                <w:lang w:val="en-US"/>
              </w:rPr>
              <w:t xml:space="preserve"> S and </w:t>
            </w:r>
            <w:proofErr w:type="spellStart"/>
            <w:r w:rsidRPr="00596009">
              <w:rPr>
                <w:lang w:val="en-US"/>
              </w:rPr>
              <w:t>Suich</w:t>
            </w:r>
            <w:proofErr w:type="spellEnd"/>
            <w:r w:rsidRPr="00596009">
              <w:rPr>
                <w:lang w:val="en-US"/>
              </w:rPr>
              <w:t xml:space="preserve"> H.</w:t>
            </w:r>
            <w:r w:rsidR="00984989" w:rsidRPr="00596009">
              <w:rPr>
                <w:b/>
                <w:vanish/>
                <w:lang w:val="en-US"/>
              </w:rPr>
              <w:t xml:space="preserve">rt que te mande......de </w:t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  <w:r w:rsidR="00984989" w:rsidRPr="00596009">
              <w:rPr>
                <w:b/>
                <w:vanish/>
                <w:lang w:val="en-US"/>
              </w:rPr>
              <w:pgNum/>
            </w:r>
          </w:p>
        </w:tc>
      </w:tr>
      <w:tr w:rsidR="005E0C75" w:rsidRPr="00285897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43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TreMZ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Mozambique,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carbono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Hegde</w:t>
            </w:r>
            <w:proofErr w:type="spellEnd"/>
            <w:r w:rsidRPr="00596009">
              <w:rPr>
                <w:lang w:val="en-US"/>
              </w:rPr>
              <w:t xml:space="preserve"> R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(2010)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Payments for ecosystem services and farm household </w:t>
            </w:r>
            <w:proofErr w:type="spellStart"/>
            <w:r w:rsidRPr="00596009">
              <w:rPr>
                <w:lang w:val="en-US"/>
              </w:rPr>
              <w:t>behaviour</w:t>
            </w:r>
            <w:proofErr w:type="spellEnd"/>
            <w:r w:rsidRPr="00596009">
              <w:rPr>
                <w:lang w:val="en-US"/>
              </w:rPr>
              <w:t xml:space="preserve">: The case of carbon in Mozambique’s 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Agroforests. PhD University of British Columbia.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Jindal R. </w:t>
            </w:r>
            <w:r w:rsidR="00285897">
              <w:rPr>
                <w:lang w:val="en-US"/>
              </w:rPr>
              <w:t xml:space="preserve">(2012). </w:t>
            </w:r>
            <w:r w:rsidRPr="00596009">
              <w:rPr>
                <w:lang w:val="en-US"/>
              </w:rPr>
              <w:t xml:space="preserve">Reducing Poverty Through Carbon Forestry? Impacts of the </w:t>
            </w:r>
            <w:proofErr w:type="spellStart"/>
            <w:r w:rsidRPr="00596009">
              <w:rPr>
                <w:lang w:val="en-US"/>
              </w:rPr>
              <w:t>N’hambita</w:t>
            </w:r>
            <w:proofErr w:type="spellEnd"/>
            <w:r w:rsidRPr="00596009">
              <w:rPr>
                <w:lang w:val="en-US"/>
              </w:rPr>
              <w:t xml:space="preserve"> Community Carbon Project in Mozambique. World Development 40(10):2123–2135.</w:t>
            </w:r>
          </w:p>
        </w:tc>
      </w:tr>
      <w:tr w:rsidR="005E0C75" w:rsidRPr="00285897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44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TreMX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Scolel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Té</w:t>
            </w:r>
            <w:proofErr w:type="spellEnd"/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2403E8">
              <w:rPr>
                <w:lang w:val="pt-BR"/>
              </w:rPr>
              <w:t>Quechulpa-Montalvo S, Esquivel-Bazán E, Fournier S</w:t>
            </w:r>
            <w:r w:rsidR="00285897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(2011)</w:t>
            </w:r>
            <w:r w:rsidR="00285897" w:rsidRPr="002403E8">
              <w:rPr>
                <w:lang w:val="pt-BR"/>
              </w:rPr>
              <w:t>.</w:t>
            </w:r>
            <w:r w:rsidRPr="002403E8">
              <w:rPr>
                <w:lang w:val="pt-BR"/>
              </w:rPr>
              <w:t xml:space="preserve">  </w:t>
            </w:r>
            <w:proofErr w:type="spellStart"/>
            <w:r w:rsidRPr="00285897">
              <w:rPr>
                <w:lang w:val="en-US"/>
              </w:rPr>
              <w:t>Scolel</w:t>
            </w:r>
            <w:proofErr w:type="spellEnd"/>
            <w:r w:rsidRPr="00285897">
              <w:rPr>
                <w:lang w:val="en-US"/>
              </w:rPr>
              <w:t xml:space="preserve">’ </w:t>
            </w:r>
            <w:proofErr w:type="spellStart"/>
            <w:r w:rsidRPr="00285897">
              <w:rPr>
                <w:lang w:val="en-US"/>
              </w:rPr>
              <w:t>Te</w:t>
            </w:r>
            <w:proofErr w:type="spellEnd"/>
            <w:r w:rsidRPr="00285897">
              <w:rPr>
                <w:lang w:val="en-US"/>
              </w:rPr>
              <w:t xml:space="preserve"> Program Plan Vivo Annual Report 2010. </w:t>
            </w:r>
            <w:r w:rsidRPr="00596009">
              <w:rPr>
                <w:lang w:val="en-US"/>
              </w:rPr>
              <w:t xml:space="preserve">Available at </w:t>
            </w:r>
            <w:hyperlink r:id="rId13" w:history="1">
              <w:r w:rsidRPr="00596009">
                <w:rPr>
                  <w:rStyle w:val="Hyperlink"/>
                  <w:lang w:val="en-US"/>
                </w:rPr>
                <w:t>http://www.planvivo.org/</w:t>
              </w:r>
            </w:hyperlink>
            <w:r w:rsidRPr="00596009">
              <w:rPr>
                <w:lang w:val="en-US"/>
              </w:rPr>
              <w:t xml:space="preserve">. 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AMBIO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The </w:t>
            </w:r>
            <w:proofErr w:type="spellStart"/>
            <w:r w:rsidRPr="00596009">
              <w:rPr>
                <w:lang w:val="en-US"/>
              </w:rPr>
              <w:t>Scolel’Te</w:t>
            </w:r>
            <w:proofErr w:type="spellEnd"/>
            <w:r w:rsidRPr="00596009">
              <w:rPr>
                <w:lang w:val="en-US"/>
              </w:rPr>
              <w:t xml:space="preserve"> Programme 2011 Annual Report Reporting period: March 2011 to March 2012. Available at </w:t>
            </w:r>
            <w:hyperlink r:id="rId14" w:history="1">
              <w:r w:rsidRPr="00596009">
                <w:rPr>
                  <w:rStyle w:val="Hyperlink"/>
                  <w:lang w:val="en-US"/>
                </w:rPr>
                <w:t>http://ambio.org.mx/</w:t>
              </w:r>
            </w:hyperlink>
            <w:r w:rsidRPr="00596009">
              <w:rPr>
                <w:lang w:val="en-US"/>
              </w:rPr>
              <w:t xml:space="preserve">. </w:t>
            </w:r>
          </w:p>
        </w:tc>
      </w:tr>
      <w:tr w:rsidR="005E0C75" w:rsidRPr="00596009" w:rsidTr="00DF6EBC">
        <w:tc>
          <w:tcPr>
            <w:tcW w:w="819" w:type="dxa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45</w:t>
            </w:r>
          </w:p>
        </w:tc>
        <w:tc>
          <w:tcPr>
            <w:tcW w:w="1064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MonMX</w:t>
            </w:r>
            <w:proofErr w:type="spellEnd"/>
          </w:p>
        </w:tc>
        <w:tc>
          <w:tcPr>
            <w:tcW w:w="1678" w:type="dxa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Monarch</w:t>
            </w:r>
          </w:p>
        </w:tc>
        <w:tc>
          <w:tcPr>
            <w:tcW w:w="10920" w:type="dxa"/>
          </w:tcPr>
          <w:p w:rsidR="005E0C75" w:rsidRPr="00596009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 xml:space="preserve">Honey-Rosés J, </w:t>
            </w:r>
            <w:proofErr w:type="spellStart"/>
            <w:r w:rsidRPr="00596009">
              <w:rPr>
                <w:lang w:val="en-US"/>
              </w:rPr>
              <w:t>Baylis</w:t>
            </w:r>
            <w:proofErr w:type="spellEnd"/>
            <w:r w:rsidRPr="00596009">
              <w:rPr>
                <w:lang w:val="en-US"/>
              </w:rPr>
              <w:t xml:space="preserve"> K, Ramirez I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(2011)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A Spatially Explicit Estimate of Avoided Forest Loss. Conservation Biology 25(5):1032–1043.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</w:p>
          <w:p w:rsidR="005E0C75" w:rsidRPr="00596009" w:rsidRDefault="005E0C75" w:rsidP="00596009">
            <w:pPr>
              <w:rPr>
                <w:lang w:val="en-US"/>
              </w:rPr>
            </w:pPr>
            <w:r w:rsidRPr="00285897">
              <w:rPr>
                <w:lang w:val="en-US"/>
              </w:rPr>
              <w:t>Honey-Rosés J, Lopez-Garcia J, Rendon-Salinas E, Peralta-</w:t>
            </w:r>
            <w:proofErr w:type="spellStart"/>
            <w:r w:rsidRPr="00285897">
              <w:rPr>
                <w:lang w:val="en-US"/>
              </w:rPr>
              <w:t>Higuera</w:t>
            </w:r>
            <w:proofErr w:type="spellEnd"/>
            <w:r w:rsidRPr="00285897">
              <w:rPr>
                <w:lang w:val="en-US"/>
              </w:rPr>
              <w:t xml:space="preserve"> A, Galindo-Leal C</w:t>
            </w:r>
            <w:r w:rsidR="00285897" w:rsidRPr="00285897">
              <w:rPr>
                <w:lang w:val="en-US"/>
              </w:rPr>
              <w:t>.</w:t>
            </w:r>
            <w:r w:rsidRPr="00285897">
              <w:rPr>
                <w:lang w:val="en-US"/>
              </w:rPr>
              <w:t xml:space="preserve"> (2009)</w:t>
            </w:r>
            <w:r w:rsidR="00285897" w:rsidRPr="00285897">
              <w:rPr>
                <w:lang w:val="en-US"/>
              </w:rPr>
              <w:t>.</w:t>
            </w:r>
            <w:r w:rsidRPr="00285897">
              <w:rPr>
                <w:lang w:val="en-US"/>
              </w:rPr>
              <w:t xml:space="preserve"> </w:t>
            </w:r>
            <w:r w:rsidRPr="00596009">
              <w:rPr>
                <w:lang w:val="en-US"/>
              </w:rPr>
              <w:t>To pay or not to pay? Monitoring performance and enforcing conditionality when paying for forest conservation in Mexico. Environmental Conservation 36 (2): 120–128.</w:t>
            </w:r>
          </w:p>
        </w:tc>
      </w:tr>
      <w:tr w:rsidR="005E0C75" w:rsidRPr="00285897" w:rsidTr="00DF6EBC"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46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PwsG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PWS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 xml:space="preserve"> en Munich</w:t>
            </w:r>
          </w:p>
        </w:tc>
        <w:tc>
          <w:tcPr>
            <w:tcW w:w="10920" w:type="dxa"/>
            <w:tcBorders>
              <w:bottom w:val="single" w:sz="4" w:space="0" w:color="auto"/>
            </w:tcBorders>
          </w:tcPr>
          <w:p w:rsidR="005E0C75" w:rsidRPr="002403E8" w:rsidRDefault="005E0C75" w:rsidP="00596009">
            <w:proofErr w:type="spellStart"/>
            <w:r w:rsidRPr="00596009">
              <w:rPr>
                <w:lang w:val="en-US"/>
              </w:rPr>
              <w:t>Grolleau</w:t>
            </w:r>
            <w:proofErr w:type="spellEnd"/>
            <w:r w:rsidRPr="00596009">
              <w:rPr>
                <w:lang w:val="en-US"/>
              </w:rPr>
              <w:t xml:space="preserve"> G, McCann </w:t>
            </w:r>
            <w:proofErr w:type="spellStart"/>
            <w:r w:rsidRPr="00596009">
              <w:rPr>
                <w:lang w:val="en-US"/>
              </w:rPr>
              <w:t>LMJ</w:t>
            </w:r>
            <w:proofErr w:type="spellEnd"/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 Designing watershed programs to pay farmers for water quality services: Case studies of Munich and New York City. </w:t>
            </w:r>
            <w:r w:rsidRPr="002403E8">
              <w:t>Ecological Economics 76:87–94.</w:t>
            </w:r>
          </w:p>
          <w:p w:rsidR="005E0C75" w:rsidRPr="002403E8" w:rsidRDefault="005E0C75" w:rsidP="00596009"/>
          <w:p w:rsidR="005E0C75" w:rsidRPr="00285897" w:rsidRDefault="005E0C75" w:rsidP="00596009">
            <w:pPr>
              <w:rPr>
                <w:lang w:val="en-US"/>
              </w:rPr>
            </w:pPr>
            <w:r w:rsidRPr="002403E8">
              <w:t>Simonet N</w:t>
            </w:r>
            <w:r w:rsidR="00285897" w:rsidRPr="002403E8">
              <w:t>.</w:t>
            </w:r>
            <w:r w:rsidRPr="002403E8">
              <w:t xml:space="preserve"> (2005)</w:t>
            </w:r>
            <w:r w:rsidR="00285897" w:rsidRPr="002403E8">
              <w:t>.</w:t>
            </w:r>
            <w:r w:rsidRPr="002403E8">
              <w:t xml:space="preserve"> L'agriculture biologique au service de l'eau. </w:t>
            </w:r>
            <w:r w:rsidRPr="00285897">
              <w:rPr>
                <w:lang w:val="en-US"/>
              </w:rPr>
              <w:t>Report.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85897" w:rsidRDefault="005E0C75" w:rsidP="00596009">
            <w:pPr>
              <w:jc w:val="center"/>
              <w:rPr>
                <w:lang w:val="en-US"/>
              </w:rPr>
            </w:pPr>
            <w:r w:rsidRPr="00285897">
              <w:rPr>
                <w:lang w:val="en-US"/>
              </w:rPr>
              <w:t>47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n-US"/>
              </w:rPr>
              <w:t>SumIn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n-US"/>
              </w:rPr>
              <w:t>Sumberjaya</w:t>
            </w:r>
            <w:proofErr w:type="spellEnd"/>
            <w:r w:rsidRPr="00285897">
              <w:rPr>
                <w:rFonts w:ascii="Calibri" w:hAnsi="Calibri" w:cs="Calibri"/>
                <w:color w:val="000000"/>
                <w:lang w:val="en-US"/>
              </w:rPr>
              <w:t xml:space="preserve"> AF cons</w:t>
            </w:r>
            <w:proofErr w:type="spellStart"/>
            <w:r w:rsidRPr="00285897">
              <w:rPr>
                <w:rFonts w:ascii="Calibri" w:hAnsi="Calibri" w:cs="Calibri"/>
                <w:color w:val="000000"/>
              </w:rPr>
              <w:t>ervation</w:t>
            </w:r>
            <w:proofErr w:type="spellEnd"/>
            <w:r w:rsidRPr="0028589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85897">
              <w:rPr>
                <w:rFonts w:ascii="Calibri" w:hAnsi="Calibri" w:cs="Calibri"/>
                <w:color w:val="000000"/>
              </w:rPr>
              <w:t>auction</w:t>
            </w:r>
            <w:proofErr w:type="spellEnd"/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2403E8">
              <w:rPr>
                <w:lang w:val="en-US"/>
              </w:rPr>
              <w:t>Leimona</w:t>
            </w:r>
            <w:proofErr w:type="spellEnd"/>
            <w:r w:rsidRPr="002403E8">
              <w:rPr>
                <w:lang w:val="en-US"/>
              </w:rPr>
              <w:t xml:space="preserve"> B, Kelsey-Jack B, </w:t>
            </w:r>
            <w:proofErr w:type="spellStart"/>
            <w:r w:rsidRPr="002403E8">
              <w:rPr>
                <w:lang w:val="en-US"/>
              </w:rPr>
              <w:t>Lusiana</w:t>
            </w:r>
            <w:proofErr w:type="spellEnd"/>
            <w:r w:rsidRPr="002403E8">
              <w:rPr>
                <w:lang w:val="en-US"/>
              </w:rPr>
              <w:t xml:space="preserve"> B, Pasha R</w:t>
            </w:r>
            <w:r w:rsidR="00285897" w:rsidRPr="002403E8">
              <w:rPr>
                <w:lang w:val="en-US"/>
              </w:rPr>
              <w:t>.</w:t>
            </w:r>
            <w:r w:rsidRPr="002403E8">
              <w:rPr>
                <w:lang w:val="en-US"/>
              </w:rPr>
              <w:t xml:space="preserve"> (2009) Designing A Procurement Aucti</w:t>
            </w:r>
            <w:r w:rsidRPr="00596009">
              <w:rPr>
                <w:lang w:val="en-US"/>
              </w:rPr>
              <w:t>on For Reducing Sedimentation: A Field Experim</w:t>
            </w:r>
            <w:bookmarkStart w:id="0" w:name="_GoBack"/>
            <w:bookmarkEnd w:id="0"/>
            <w:r w:rsidRPr="00596009">
              <w:rPr>
                <w:lang w:val="en-US"/>
              </w:rPr>
              <w:t>ent In Indonesia. Economy and Environment Program for Southeast Asia research report no. 10.</w:t>
            </w:r>
          </w:p>
          <w:p w:rsidR="007C7A49" w:rsidRPr="00596009" w:rsidRDefault="007C7A49" w:rsidP="00596009">
            <w:pPr>
              <w:rPr>
                <w:lang w:val="en-US"/>
              </w:rPr>
            </w:pPr>
          </w:p>
          <w:p w:rsidR="007C7A49" w:rsidRPr="00596009" w:rsidRDefault="007C7A49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Suyanto</w:t>
            </w:r>
            <w:proofErr w:type="spellEnd"/>
            <w:r w:rsidRPr="00596009">
              <w:rPr>
                <w:lang w:val="en-US"/>
              </w:rPr>
              <w:t xml:space="preserve">, S. </w:t>
            </w:r>
            <w:r w:rsidR="00285897">
              <w:rPr>
                <w:lang w:val="en-US"/>
              </w:rPr>
              <w:t>(</w:t>
            </w:r>
            <w:r w:rsidRPr="00596009">
              <w:rPr>
                <w:lang w:val="en-US"/>
              </w:rPr>
              <w:t>2007</w:t>
            </w:r>
            <w:r w:rsidR="00285897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Lessons on the conditional tenure and </w:t>
            </w:r>
            <w:proofErr w:type="spellStart"/>
            <w:r w:rsidRPr="00596009">
              <w:rPr>
                <w:lang w:val="en-US"/>
              </w:rPr>
              <w:t>RiverCare</w:t>
            </w:r>
            <w:proofErr w:type="spellEnd"/>
            <w:r w:rsidRPr="00596009">
              <w:rPr>
                <w:lang w:val="en-US"/>
              </w:rPr>
              <w:t xml:space="preserve"> schemes in </w:t>
            </w:r>
            <w:proofErr w:type="spellStart"/>
            <w:r w:rsidRPr="00596009">
              <w:rPr>
                <w:lang w:val="en-US"/>
              </w:rPr>
              <w:t>Sumberjaya</w:t>
            </w:r>
            <w:proofErr w:type="spellEnd"/>
            <w:r w:rsidRPr="00596009">
              <w:rPr>
                <w:lang w:val="en-US"/>
              </w:rPr>
              <w:t xml:space="preserve">, Indonesia: conditionality in payment for environmental services. </w:t>
            </w:r>
            <w:r w:rsidRPr="00596009">
              <w:rPr>
                <w:iCs/>
                <w:lang w:val="en-US"/>
              </w:rPr>
              <w:t xml:space="preserve">Insight: Notes from the Field. Bangkok, </w:t>
            </w:r>
            <w:proofErr w:type="spellStart"/>
            <w:r w:rsidRPr="00596009">
              <w:rPr>
                <w:iCs/>
                <w:lang w:val="en-US"/>
              </w:rPr>
              <w:t>Tailandia</w:t>
            </w:r>
            <w:proofErr w:type="spellEnd"/>
            <w:r w:rsidRPr="00596009">
              <w:rPr>
                <w:iCs/>
                <w:lang w:val="en-US"/>
              </w:rPr>
              <w:t xml:space="preserve">. RECOFTC, Centro Mundial de </w:t>
            </w:r>
            <w:proofErr w:type="spellStart"/>
            <w:r w:rsidRPr="00596009">
              <w:rPr>
                <w:iCs/>
                <w:lang w:val="en-US"/>
              </w:rPr>
              <w:t>Agrosilvicultura</w:t>
            </w:r>
            <w:proofErr w:type="spellEnd"/>
            <w:r w:rsidRPr="00596009">
              <w:rPr>
                <w:iCs/>
                <w:lang w:val="en-US"/>
              </w:rPr>
              <w:t xml:space="preserve"> (</w:t>
            </w:r>
            <w:proofErr w:type="spellStart"/>
            <w:r w:rsidRPr="00596009">
              <w:rPr>
                <w:iCs/>
                <w:lang w:val="en-US"/>
              </w:rPr>
              <w:t>ICRAF</w:t>
            </w:r>
            <w:proofErr w:type="spellEnd"/>
            <w:r w:rsidRPr="00596009">
              <w:rPr>
                <w:iCs/>
                <w:lang w:val="en-US"/>
              </w:rPr>
              <w:t xml:space="preserve">) y </w:t>
            </w:r>
            <w:proofErr w:type="spellStart"/>
            <w:r w:rsidRPr="00596009">
              <w:rPr>
                <w:iCs/>
                <w:lang w:val="en-US"/>
              </w:rPr>
              <w:t>Winrock</w:t>
            </w:r>
            <w:proofErr w:type="spellEnd"/>
            <w:r w:rsidRPr="00596009">
              <w:rPr>
                <w:iCs/>
                <w:lang w:val="en-US"/>
              </w:rPr>
              <w:t xml:space="preserve"> International India (WII)</w:t>
            </w:r>
            <w:r w:rsidRPr="00596009">
              <w:rPr>
                <w:lang w:val="en-US"/>
              </w:rPr>
              <w:t>:29-35.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48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RefK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Reforestation conservation auction in Kenya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596009" w:rsidRDefault="005E0C75" w:rsidP="00596009">
            <w:pPr>
              <w:pStyle w:val="NoSpacing"/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Wünscher</w:t>
            </w:r>
            <w:proofErr w:type="spellEnd"/>
            <w:r w:rsidRPr="00596009">
              <w:rPr>
                <w:lang w:val="en-US"/>
              </w:rPr>
              <w:t xml:space="preserve"> T, </w:t>
            </w:r>
            <w:proofErr w:type="spellStart"/>
            <w:r w:rsidRPr="00596009">
              <w:rPr>
                <w:lang w:val="en-US"/>
              </w:rPr>
              <w:t>Khalumba</w:t>
            </w:r>
            <w:proofErr w:type="spellEnd"/>
            <w:r w:rsidRPr="00596009">
              <w:rPr>
                <w:lang w:val="en-US"/>
              </w:rPr>
              <w:t xml:space="preserve"> M, Holm-Müller K, </w:t>
            </w:r>
            <w:proofErr w:type="spellStart"/>
            <w:r w:rsidRPr="00596009">
              <w:rPr>
                <w:lang w:val="en-US"/>
              </w:rPr>
              <w:t>Büdenbender</w:t>
            </w:r>
            <w:proofErr w:type="spellEnd"/>
            <w:r w:rsidRPr="00596009">
              <w:rPr>
                <w:lang w:val="en-US"/>
              </w:rPr>
              <w:t xml:space="preserve"> M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 The Cost-Effectiveness of Combining Reforestation Auctions with Performance Based Payments – A Field Trial in Rural Kenya. Paper presented at the congress of the International Society of Ecological Economics, Rio de Janeiro, </w:t>
            </w:r>
            <w:proofErr w:type="gramStart"/>
            <w:r w:rsidRPr="00596009">
              <w:rPr>
                <w:lang w:val="en-US"/>
              </w:rPr>
              <w:t>16</w:t>
            </w:r>
            <w:proofErr w:type="gramEnd"/>
            <w:r w:rsidRPr="00596009">
              <w:rPr>
                <w:lang w:val="en-US"/>
              </w:rPr>
              <w:t>-19 June 2012.</w:t>
            </w:r>
          </w:p>
          <w:p w:rsidR="007C7A49" w:rsidRPr="00596009" w:rsidRDefault="007C7A49" w:rsidP="00596009">
            <w:pPr>
              <w:pStyle w:val="NoSpacing"/>
              <w:rPr>
                <w:lang w:val="en-US"/>
              </w:rPr>
            </w:pPr>
          </w:p>
          <w:p w:rsidR="007C7A49" w:rsidRPr="00596009" w:rsidRDefault="00B16C99" w:rsidP="00252DC5">
            <w:pPr>
              <w:pStyle w:val="NoSpacing"/>
              <w:rPr>
                <w:lang w:val="en-US"/>
              </w:rPr>
            </w:pPr>
            <w:proofErr w:type="spellStart"/>
            <w:r w:rsidRPr="00252DC5">
              <w:rPr>
                <w:lang w:val="en-US"/>
              </w:rPr>
              <w:t>Khalumba</w:t>
            </w:r>
            <w:proofErr w:type="spellEnd"/>
            <w:r w:rsidR="00252DC5" w:rsidRPr="00252DC5">
              <w:rPr>
                <w:lang w:val="en-US"/>
              </w:rPr>
              <w:t xml:space="preserve"> M</w:t>
            </w:r>
            <w:r w:rsidRPr="00252DC5">
              <w:rPr>
                <w:lang w:val="en-US"/>
              </w:rPr>
              <w:t xml:space="preserve">, </w:t>
            </w:r>
            <w:proofErr w:type="spellStart"/>
            <w:r w:rsidRPr="00252DC5">
              <w:rPr>
                <w:lang w:val="en-US"/>
              </w:rPr>
              <w:t>Wünscher</w:t>
            </w:r>
            <w:proofErr w:type="spellEnd"/>
            <w:r w:rsidR="00252DC5" w:rsidRPr="00252DC5">
              <w:rPr>
                <w:lang w:val="en-US"/>
              </w:rPr>
              <w:t xml:space="preserve"> T</w:t>
            </w:r>
            <w:r w:rsidR="007C7A49" w:rsidRPr="00252DC5">
              <w:rPr>
                <w:lang w:val="en-US"/>
              </w:rPr>
              <w:t xml:space="preserve">, </w:t>
            </w:r>
            <w:proofErr w:type="spellStart"/>
            <w:r w:rsidR="007C7A49" w:rsidRPr="00252DC5">
              <w:rPr>
                <w:lang w:val="en-US"/>
              </w:rPr>
              <w:t>Wunder</w:t>
            </w:r>
            <w:proofErr w:type="spellEnd"/>
            <w:r w:rsidR="00252DC5" w:rsidRPr="00252DC5">
              <w:rPr>
                <w:lang w:val="en-US"/>
              </w:rPr>
              <w:t xml:space="preserve"> S</w:t>
            </w:r>
            <w:r w:rsidR="007C7A49" w:rsidRPr="00252DC5">
              <w:rPr>
                <w:lang w:val="en-US"/>
              </w:rPr>
              <w:t xml:space="preserve">, </w:t>
            </w:r>
            <w:proofErr w:type="spellStart"/>
            <w:r w:rsidR="007C7A49" w:rsidRPr="00252DC5">
              <w:rPr>
                <w:lang w:val="en-US"/>
              </w:rPr>
              <w:t>Büdenbender</w:t>
            </w:r>
            <w:proofErr w:type="spellEnd"/>
            <w:r w:rsidR="00252DC5" w:rsidRPr="00252DC5">
              <w:rPr>
                <w:lang w:val="en-US"/>
              </w:rPr>
              <w:t xml:space="preserve"> M</w:t>
            </w:r>
            <w:r w:rsidR="007C7A49" w:rsidRPr="00252DC5">
              <w:rPr>
                <w:lang w:val="en-US"/>
              </w:rPr>
              <w:t xml:space="preserve">, Holm-Müller </w:t>
            </w:r>
            <w:r w:rsidR="00252DC5" w:rsidRPr="00252DC5">
              <w:rPr>
                <w:lang w:val="en-US"/>
              </w:rPr>
              <w:t xml:space="preserve">K. </w:t>
            </w:r>
            <w:r w:rsidR="00285897">
              <w:rPr>
                <w:lang w:val="en-US"/>
              </w:rPr>
              <w:t xml:space="preserve">(2014). </w:t>
            </w:r>
            <w:r w:rsidR="007C7A49" w:rsidRPr="00252DC5">
              <w:rPr>
                <w:lang w:val="en-US"/>
              </w:rPr>
              <w:t>Combining Auctions and Performance-</w:t>
            </w:r>
            <w:r w:rsidR="007C7A49" w:rsidRPr="00252DC5">
              <w:rPr>
                <w:lang w:val="en-US"/>
              </w:rPr>
              <w:lastRenderedPageBreak/>
              <w:t>Based Payments in a Forest Enrichment Field Trial in Weste</w:t>
            </w:r>
            <w:r w:rsidR="00252DC5" w:rsidRPr="00252DC5">
              <w:rPr>
                <w:lang w:val="en-US"/>
              </w:rPr>
              <w:t>rn Kenya, Conservation Biology 28(3):</w:t>
            </w:r>
            <w:r w:rsidR="00252DC5">
              <w:rPr>
                <w:lang w:val="en-US"/>
              </w:rPr>
              <w:t xml:space="preserve"> </w:t>
            </w:r>
            <w:r w:rsidR="00252DC5" w:rsidRPr="00252DC5">
              <w:rPr>
                <w:lang w:val="en-US"/>
              </w:rPr>
              <w:t>861–866.</w:t>
            </w:r>
          </w:p>
        </w:tc>
      </w:tr>
      <w:tr w:rsidR="005E0C75" w:rsidRPr="00596009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lastRenderedPageBreak/>
              <w:t>49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FuqCo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Fuquene</w:t>
            </w:r>
            <w:proofErr w:type="spellEnd"/>
            <w:r w:rsidRPr="00596009">
              <w:rPr>
                <w:rFonts w:ascii="Calibri" w:hAnsi="Calibri" w:cs="Calibri"/>
                <w:color w:val="000000"/>
                <w:lang w:val="en-US"/>
              </w:rPr>
              <w:t>, Colombia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Default="005E0C75" w:rsidP="00596009">
            <w:pPr>
              <w:pStyle w:val="NoSpacing"/>
              <w:rPr>
                <w:lang w:val="es-ES"/>
              </w:rPr>
            </w:pPr>
            <w:r w:rsidRPr="00596009">
              <w:rPr>
                <w:lang w:val="es-ES"/>
              </w:rPr>
              <w:t>Quintero M, Otero W</w:t>
            </w:r>
            <w:r w:rsidR="00285897">
              <w:rPr>
                <w:lang w:val="es-ES"/>
              </w:rPr>
              <w:t>.</w:t>
            </w:r>
            <w:r w:rsidRPr="00596009">
              <w:rPr>
                <w:lang w:val="es-ES"/>
              </w:rPr>
              <w:t xml:space="preserve"> (2006) Mecanismo de financiación para promover Agricultura de Conservación con pequeños productores de la cuenca de la laguna de </w:t>
            </w:r>
            <w:proofErr w:type="spellStart"/>
            <w:r w:rsidRPr="00596009">
              <w:rPr>
                <w:lang w:val="es-ES"/>
              </w:rPr>
              <w:t>Fúquene</w:t>
            </w:r>
            <w:proofErr w:type="spellEnd"/>
            <w:r w:rsidRPr="00596009">
              <w:rPr>
                <w:lang w:val="es-ES"/>
              </w:rPr>
              <w:t xml:space="preserve">. Su diseño, aplicación y beneficios. Centro Internacional de la Papa, Lima, </w:t>
            </w:r>
            <w:proofErr w:type="spellStart"/>
            <w:r w:rsidRPr="00596009">
              <w:rPr>
                <w:lang w:val="es-ES"/>
              </w:rPr>
              <w:t>Peru</w:t>
            </w:r>
            <w:proofErr w:type="spellEnd"/>
            <w:r w:rsidRPr="00596009">
              <w:rPr>
                <w:lang w:val="es-ES"/>
              </w:rPr>
              <w:t>.</w:t>
            </w:r>
          </w:p>
          <w:p w:rsidR="00596009" w:rsidRPr="00596009" w:rsidRDefault="00596009" w:rsidP="00596009">
            <w:pPr>
              <w:pStyle w:val="NoSpacing"/>
              <w:rPr>
                <w:lang w:val="es-ES"/>
              </w:rPr>
            </w:pPr>
          </w:p>
          <w:p w:rsidR="005E0C75" w:rsidRPr="00596009" w:rsidRDefault="007C7A49" w:rsidP="00596009">
            <w:pPr>
              <w:pStyle w:val="NoSpacing"/>
              <w:rPr>
                <w:lang w:val="en-US"/>
              </w:rPr>
            </w:pPr>
            <w:r w:rsidRPr="00596009">
              <w:rPr>
                <w:lang w:val="es-ES"/>
              </w:rPr>
              <w:t xml:space="preserve">Garzón, A. </w:t>
            </w:r>
            <w:r w:rsidR="00285897">
              <w:rPr>
                <w:lang w:val="es-ES"/>
              </w:rPr>
              <w:t>(</w:t>
            </w:r>
            <w:r w:rsidRPr="00596009">
              <w:rPr>
                <w:lang w:val="es-ES"/>
              </w:rPr>
              <w:t>2009</w:t>
            </w:r>
            <w:r w:rsidR="00285897">
              <w:rPr>
                <w:lang w:val="es-ES"/>
              </w:rPr>
              <w:t>)</w:t>
            </w:r>
            <w:r w:rsidRPr="00596009">
              <w:rPr>
                <w:lang w:val="es-ES"/>
              </w:rPr>
              <w:t xml:space="preserve">. Estado de la acción sobre los mecanismos de </w:t>
            </w:r>
            <w:proofErr w:type="spellStart"/>
            <w:r w:rsidRPr="00596009">
              <w:rPr>
                <w:lang w:val="es-ES"/>
              </w:rPr>
              <w:t>financiamento</w:t>
            </w:r>
            <w:proofErr w:type="spellEnd"/>
            <w:r w:rsidRPr="00596009">
              <w:rPr>
                <w:lang w:val="es-ES"/>
              </w:rPr>
              <w:t xml:space="preserve"> de la protección o recuperación de  servicios ambientales hidrológicos generados en los Andes. </w:t>
            </w:r>
            <w:r w:rsidRPr="00596009">
              <w:rPr>
                <w:lang w:val="en-US"/>
              </w:rPr>
              <w:t xml:space="preserve">Quito: </w:t>
            </w:r>
            <w:proofErr w:type="spellStart"/>
            <w:r w:rsidRPr="00596009">
              <w:rPr>
                <w:lang w:val="en-US"/>
              </w:rPr>
              <w:t>Ecodesión</w:t>
            </w:r>
            <w:proofErr w:type="spellEnd"/>
            <w:r w:rsidRPr="00596009">
              <w:rPr>
                <w:lang w:val="en-US"/>
              </w:rPr>
              <w:t>.</w:t>
            </w:r>
          </w:p>
        </w:tc>
      </w:tr>
      <w:tr w:rsidR="005E0C75" w:rsidRPr="0059600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lang w:val="en-US"/>
              </w:rPr>
            </w:pPr>
            <w:r w:rsidRPr="00596009">
              <w:rPr>
                <w:lang w:val="en-US"/>
              </w:rPr>
              <w:t>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KmpfB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  <w:lang w:val="pt-BR"/>
              </w:rPr>
            </w:pPr>
            <w:r w:rsidRPr="00596009">
              <w:rPr>
                <w:rFonts w:ascii="Calibri" w:hAnsi="Calibri" w:cs="Calibri"/>
                <w:color w:val="000000"/>
                <w:lang w:val="pt-BR"/>
              </w:rPr>
              <w:t>Noel Kempff Mercado REDD+ project</w:t>
            </w:r>
          </w:p>
        </w:tc>
        <w:tc>
          <w:tcPr>
            <w:tcW w:w="10920" w:type="dxa"/>
            <w:shd w:val="clear" w:color="auto" w:fill="auto"/>
          </w:tcPr>
          <w:p w:rsidR="005E0C75" w:rsidRDefault="005E0C75" w:rsidP="00596009">
            <w:pPr>
              <w:rPr>
                <w:lang w:val="en-US"/>
              </w:rPr>
            </w:pPr>
            <w:r w:rsidRPr="00596009">
              <w:rPr>
                <w:lang w:val="en-US"/>
              </w:rPr>
              <w:t>Asquith NM, Vargas-R</w:t>
            </w:r>
            <w:r w:rsidRPr="00596009">
              <w:rPr>
                <w:rFonts w:ascii="Calibri" w:hAnsi="Calibri" w:cs="Calibri"/>
                <w:lang w:val="en-US"/>
              </w:rPr>
              <w:t>í</w:t>
            </w:r>
            <w:r w:rsidRPr="00596009">
              <w:rPr>
                <w:lang w:val="en-US"/>
              </w:rPr>
              <w:t>os MT, Smith J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(2002) Can forest-protection carbon projects </w:t>
            </w:r>
            <w:proofErr w:type="gramStart"/>
            <w:r w:rsidRPr="00596009">
              <w:rPr>
                <w:lang w:val="en-US"/>
              </w:rPr>
              <w:t>improve</w:t>
            </w:r>
            <w:proofErr w:type="gramEnd"/>
            <w:r w:rsidRPr="00596009">
              <w:rPr>
                <w:lang w:val="en-US"/>
              </w:rPr>
              <w:t xml:space="preserve"> rural livelihoods? Analysis of the Noel </w:t>
            </w:r>
            <w:proofErr w:type="spellStart"/>
            <w:r w:rsidRPr="00596009">
              <w:rPr>
                <w:lang w:val="en-US"/>
              </w:rPr>
              <w:t>Kempff</w:t>
            </w:r>
            <w:proofErr w:type="spellEnd"/>
            <w:r w:rsidRPr="00596009">
              <w:rPr>
                <w:lang w:val="en-US"/>
              </w:rPr>
              <w:t xml:space="preserve"> Mercado climate action project, Bolivia. Mitigation and Adaptation Strategies for Global Change 7: 323–337.</w:t>
            </w:r>
          </w:p>
          <w:p w:rsidR="007569AE" w:rsidRPr="00596009" w:rsidRDefault="007569AE" w:rsidP="00596009">
            <w:pPr>
              <w:rPr>
                <w:lang w:val="en-US"/>
              </w:rPr>
            </w:pPr>
          </w:p>
          <w:p w:rsidR="005E0C75" w:rsidRPr="00596009" w:rsidRDefault="007569AE" w:rsidP="007569AE">
            <w:pPr>
              <w:rPr>
                <w:lang w:val="en-US"/>
              </w:rPr>
            </w:pPr>
            <w:r w:rsidRPr="007569AE">
              <w:rPr>
                <w:lang w:val="en-US"/>
              </w:rPr>
              <w:t>Pereira, S. (2010). Payment for Ecosystem Services in the Amazon Forest: How Can</w:t>
            </w:r>
            <w:r>
              <w:rPr>
                <w:lang w:val="en-US"/>
              </w:rPr>
              <w:t xml:space="preserve"> </w:t>
            </w:r>
            <w:r w:rsidRPr="007569AE">
              <w:rPr>
                <w:lang w:val="en-US"/>
              </w:rPr>
              <w:t>Conservation and Development be Reconciled? The Journal of Environment &amp;</w:t>
            </w:r>
            <w:r>
              <w:rPr>
                <w:lang w:val="en-US"/>
              </w:rPr>
              <w:t xml:space="preserve"> </w:t>
            </w:r>
            <w:r w:rsidRPr="007569AE">
              <w:rPr>
                <w:lang w:val="en-US"/>
              </w:rPr>
              <w:t>Development. 19(2): 171-190.</w:t>
            </w:r>
          </w:p>
        </w:tc>
      </w:tr>
      <w:tr w:rsidR="005E0C75" w:rsidRPr="00285897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7569AE">
            <w:pPr>
              <w:pStyle w:val="NoSpacing"/>
              <w:rPr>
                <w:lang w:val="en-US"/>
              </w:rPr>
            </w:pPr>
            <w:r w:rsidRPr="00596009">
              <w:rPr>
                <w:lang w:val="en-US"/>
              </w:rPr>
              <w:t>51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7569AE">
            <w:pPr>
              <w:pStyle w:val="NoSpacing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  <w:lang w:val="en-US"/>
              </w:rPr>
              <w:t>PesCR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7569AE">
            <w:pPr>
              <w:pStyle w:val="NoSpacing"/>
              <w:rPr>
                <w:rFonts w:ascii="Calibri" w:hAnsi="Calibri" w:cs="Calibri"/>
                <w:color w:val="000000"/>
                <w:lang w:val="en-US"/>
              </w:rPr>
            </w:pPr>
            <w:r w:rsidRPr="00596009">
              <w:rPr>
                <w:rFonts w:ascii="Calibri" w:hAnsi="Calibri" w:cs="Calibri"/>
                <w:color w:val="000000"/>
                <w:lang w:val="en-US"/>
              </w:rPr>
              <w:t>Payments for Environmental Services (PSA), Costa Rica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596009" w:rsidRDefault="005E0C75" w:rsidP="007569AE">
            <w:pPr>
              <w:pStyle w:val="NoSpacing"/>
              <w:rPr>
                <w:lang w:val="en-US"/>
              </w:rPr>
            </w:pPr>
            <w:r w:rsidRPr="00596009">
              <w:rPr>
                <w:lang w:val="en-US"/>
              </w:rPr>
              <w:t>Pagiola S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(2008) Payments for environmental services in Costa Rica. Ecological Economics </w:t>
            </w:r>
            <w:proofErr w:type="gramStart"/>
            <w:r w:rsidRPr="00596009">
              <w:rPr>
                <w:lang w:val="en-US"/>
              </w:rPr>
              <w:t>65 :</w:t>
            </w:r>
            <w:proofErr w:type="gramEnd"/>
            <w:r w:rsidRPr="00596009">
              <w:rPr>
                <w:lang w:val="en-US"/>
              </w:rPr>
              <w:t>712-724.</w:t>
            </w:r>
          </w:p>
          <w:p w:rsidR="005E0C75" w:rsidRPr="00596009" w:rsidRDefault="005E0C75" w:rsidP="007569AE">
            <w:pPr>
              <w:pStyle w:val="NoSpacing"/>
              <w:rPr>
                <w:lang w:val="en-US"/>
              </w:rPr>
            </w:pPr>
          </w:p>
          <w:p w:rsidR="005E0C75" w:rsidRPr="00596009" w:rsidRDefault="005E0C75" w:rsidP="007569AE">
            <w:pPr>
              <w:pStyle w:val="NoSpacing"/>
              <w:rPr>
                <w:lang w:val="en-US"/>
              </w:rPr>
            </w:pPr>
            <w:r w:rsidRPr="00596009">
              <w:rPr>
                <w:lang w:val="en-US"/>
              </w:rPr>
              <w:t xml:space="preserve">Arriagada RA, Ferraro </w:t>
            </w:r>
            <w:proofErr w:type="spellStart"/>
            <w:r w:rsidRPr="00596009">
              <w:rPr>
                <w:lang w:val="en-US"/>
              </w:rPr>
              <w:t>PJ</w:t>
            </w:r>
            <w:proofErr w:type="spellEnd"/>
            <w:r w:rsidRPr="00596009">
              <w:rPr>
                <w:lang w:val="en-US"/>
              </w:rPr>
              <w:t xml:space="preserve">, Sills </w:t>
            </w:r>
            <w:proofErr w:type="spellStart"/>
            <w:r w:rsidRPr="00596009">
              <w:rPr>
                <w:lang w:val="en-US"/>
              </w:rPr>
              <w:t>EO</w:t>
            </w:r>
            <w:proofErr w:type="spellEnd"/>
            <w:r w:rsidRPr="00596009">
              <w:rPr>
                <w:lang w:val="en-US"/>
              </w:rPr>
              <w:t xml:space="preserve">, </w:t>
            </w:r>
            <w:proofErr w:type="spellStart"/>
            <w:r w:rsidRPr="00596009">
              <w:rPr>
                <w:lang w:val="en-US"/>
              </w:rPr>
              <w:t>Pattanayak</w:t>
            </w:r>
            <w:proofErr w:type="spellEnd"/>
            <w:r w:rsidRPr="00596009">
              <w:rPr>
                <w:lang w:val="en-US"/>
              </w:rPr>
              <w:t xml:space="preserve"> SK, Cordero-Sancho S</w:t>
            </w:r>
            <w:r w:rsidR="00285897">
              <w:rPr>
                <w:lang w:val="en-US"/>
              </w:rPr>
              <w:t>.</w:t>
            </w:r>
            <w:r w:rsidRPr="00596009">
              <w:rPr>
                <w:lang w:val="en-US"/>
              </w:rPr>
              <w:t xml:space="preserve"> (2012) Do Payments for Environmental Services Affect Forest Cover? A Farm-Level Evaluation from Costa Rica. Land Economics (88)2:382-399.</w:t>
            </w:r>
          </w:p>
        </w:tc>
      </w:tr>
      <w:tr w:rsidR="005E0C75" w:rsidRPr="00596009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85897" w:rsidRDefault="005E0C75" w:rsidP="00596009">
            <w:pPr>
              <w:jc w:val="center"/>
              <w:rPr>
                <w:lang w:val="en-US"/>
              </w:rPr>
            </w:pPr>
            <w:r w:rsidRPr="00285897">
              <w:rPr>
                <w:lang w:val="en-US"/>
              </w:rPr>
              <w:t>52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85897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285897">
              <w:rPr>
                <w:rFonts w:ascii="Calibri" w:hAnsi="Calibri" w:cs="Calibri"/>
                <w:color w:val="000000"/>
                <w:lang w:val="en-US"/>
              </w:rPr>
              <w:t>MunCo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2403E8" w:rsidRDefault="005E0C75" w:rsidP="00596009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2403E8">
              <w:rPr>
                <w:rFonts w:ascii="Calibri" w:hAnsi="Calibri" w:cs="Calibri"/>
                <w:color w:val="000000"/>
                <w:lang w:val="es-ES"/>
              </w:rPr>
              <w:t xml:space="preserve">CIPAV- La Salvajina &amp; </w:t>
            </w:r>
            <w:proofErr w:type="spellStart"/>
            <w:r w:rsidRPr="002403E8">
              <w:rPr>
                <w:rFonts w:ascii="Calibri" w:hAnsi="Calibri" w:cs="Calibri"/>
                <w:color w:val="000000"/>
                <w:lang w:val="es-ES"/>
              </w:rPr>
              <w:t>PNN</w:t>
            </w:r>
            <w:proofErr w:type="spellEnd"/>
            <w:r w:rsidRPr="002403E8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proofErr w:type="spellStart"/>
            <w:r w:rsidRPr="002403E8">
              <w:rPr>
                <w:rFonts w:ascii="Calibri" w:hAnsi="Calibri" w:cs="Calibri"/>
                <w:color w:val="000000"/>
                <w:lang w:val="es-ES"/>
              </w:rPr>
              <w:t>Munchique</w:t>
            </w:r>
            <w:proofErr w:type="spellEnd"/>
            <w:r w:rsidRPr="002403E8">
              <w:rPr>
                <w:rFonts w:ascii="Calibri" w:hAnsi="Calibri" w:cs="Calibri"/>
                <w:color w:val="000000"/>
                <w:lang w:val="es-ES"/>
              </w:rPr>
              <w:t>, Colombia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7C7A49" w:rsidRPr="00596009" w:rsidRDefault="005E0C75" w:rsidP="00596009">
            <w:pPr>
              <w:rPr>
                <w:lang w:val="es-ES"/>
              </w:rPr>
            </w:pPr>
            <w:r w:rsidRPr="002403E8">
              <w:rPr>
                <w:lang w:val="es-ES"/>
              </w:rPr>
              <w:t xml:space="preserve">CIPAV (2007) Desarrollo del pago por servicios ambientales para la </w:t>
            </w:r>
            <w:proofErr w:type="spellStart"/>
            <w:r w:rsidRPr="002403E8">
              <w:rPr>
                <w:lang w:val="es-ES"/>
              </w:rPr>
              <w:t>cons</w:t>
            </w:r>
            <w:r w:rsidRPr="00596009">
              <w:rPr>
                <w:lang w:val="es-ES"/>
              </w:rPr>
              <w:t>ervacion</w:t>
            </w:r>
            <w:proofErr w:type="spellEnd"/>
            <w:r w:rsidRPr="00596009">
              <w:rPr>
                <w:lang w:val="es-ES"/>
              </w:rPr>
              <w:t xml:space="preserve"> y restauración de ecosistemas en el corredor biológico y multicultural </w:t>
            </w:r>
            <w:proofErr w:type="spellStart"/>
            <w:r w:rsidRPr="00596009">
              <w:rPr>
                <w:lang w:val="es-ES"/>
              </w:rPr>
              <w:t>Munchique</w:t>
            </w:r>
            <w:proofErr w:type="spellEnd"/>
            <w:r w:rsidRPr="00596009">
              <w:rPr>
                <w:lang w:val="es-ES"/>
              </w:rPr>
              <w:t xml:space="preserve"> Pinche. CIPAV, Cali, Colombia.</w:t>
            </w:r>
          </w:p>
        </w:tc>
      </w:tr>
      <w:tr w:rsidR="005E0C75" w:rsidRPr="00285897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53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MakMa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Makira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WCS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Madagascar</w:t>
            </w:r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7569AE" w:rsidRDefault="007569AE" w:rsidP="00285897">
            <w:pPr>
              <w:rPr>
                <w:lang w:val="en-US"/>
              </w:rPr>
            </w:pPr>
            <w:r w:rsidRPr="00C6224F">
              <w:rPr>
                <w:lang w:val="en-US"/>
              </w:rPr>
              <w:t xml:space="preserve">Brimont, L., Ezzine-de-Blas, D., Karsenty, A., </w:t>
            </w:r>
            <w:proofErr w:type="spellStart"/>
            <w:r w:rsidRPr="00C6224F">
              <w:rPr>
                <w:lang w:val="en-US"/>
              </w:rPr>
              <w:t>Tambaza</w:t>
            </w:r>
            <w:proofErr w:type="spellEnd"/>
            <w:r w:rsidRPr="00C6224F">
              <w:rPr>
                <w:lang w:val="en-US"/>
              </w:rPr>
              <w:t xml:space="preserve">, F., Toulon, A., </w:t>
            </w:r>
            <w:proofErr w:type="spellStart"/>
            <w:r w:rsidRPr="00C6224F">
              <w:rPr>
                <w:lang w:val="en-US"/>
              </w:rPr>
              <w:t>Rasolofonirina</w:t>
            </w:r>
            <w:proofErr w:type="spellEnd"/>
            <w:r w:rsidRPr="00C6224F">
              <w:rPr>
                <w:lang w:val="en-US"/>
              </w:rPr>
              <w:t xml:space="preserve">, G., </w:t>
            </w:r>
            <w:proofErr w:type="spellStart"/>
            <w:r w:rsidRPr="00C6224F">
              <w:rPr>
                <w:lang w:val="en-US"/>
              </w:rPr>
              <w:t>Razanamihanta</w:t>
            </w:r>
            <w:proofErr w:type="spellEnd"/>
            <w:proofErr w:type="gramStart"/>
            <w:r w:rsidRPr="00C6224F">
              <w:rPr>
                <w:lang w:val="en-US"/>
              </w:rPr>
              <w:t>,  E</w:t>
            </w:r>
            <w:proofErr w:type="gramEnd"/>
            <w:r w:rsidRPr="00C6224F">
              <w:rPr>
                <w:lang w:val="en-US"/>
              </w:rPr>
              <w:t xml:space="preserve">. </w:t>
            </w:r>
            <w:r w:rsidR="00285897">
              <w:rPr>
                <w:lang w:val="en-US"/>
              </w:rPr>
              <w:t>(</w:t>
            </w:r>
            <w:r w:rsidRPr="00C6224F">
              <w:rPr>
                <w:lang w:val="en-US"/>
              </w:rPr>
              <w:t>201</w:t>
            </w:r>
            <w:r w:rsidR="00285897">
              <w:rPr>
                <w:lang w:val="en-US"/>
              </w:rPr>
              <w:t>5)</w:t>
            </w:r>
            <w:r w:rsidRPr="00C6224F">
              <w:rPr>
                <w:lang w:val="en-US"/>
              </w:rPr>
              <w:t xml:space="preserve">. </w:t>
            </w:r>
            <w:r w:rsidRPr="007569AE">
              <w:rPr>
                <w:lang w:val="en-US"/>
              </w:rPr>
              <w:t>Achieving REDD+ objectives along with equity principles in Madagascar: a critical analysis of Makira project’s development strategy</w:t>
            </w:r>
            <w:r w:rsidR="00285897">
              <w:rPr>
                <w:lang w:val="en-US"/>
              </w:rPr>
              <w:t xml:space="preserve">. Forests </w:t>
            </w:r>
            <w:r w:rsidR="00285897" w:rsidRPr="00285897">
              <w:rPr>
                <w:lang w:val="en-US"/>
              </w:rPr>
              <w:t>2015 6</w:t>
            </w:r>
            <w:r w:rsidR="00285897">
              <w:rPr>
                <w:lang w:val="en-US"/>
              </w:rPr>
              <w:t>:</w:t>
            </w:r>
            <w:r w:rsidR="00285897" w:rsidRPr="00285897">
              <w:rPr>
                <w:lang w:val="en-US"/>
              </w:rPr>
              <w:t xml:space="preserve"> 748-768</w:t>
            </w:r>
            <w:r>
              <w:rPr>
                <w:lang w:val="en-US"/>
              </w:rPr>
              <w:t>.</w:t>
            </w:r>
          </w:p>
        </w:tc>
      </w:tr>
      <w:tr w:rsidR="005E0C75" w:rsidRPr="00A55F2A" w:rsidTr="00DF6EBC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54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LrcB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Landrace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conservation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payments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Bolivia &amp;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Peru</w:t>
            </w:r>
            <w:proofErr w:type="spellEnd"/>
          </w:p>
        </w:tc>
        <w:tc>
          <w:tcPr>
            <w:tcW w:w="10920" w:type="dxa"/>
            <w:tcBorders>
              <w:bottom w:val="single" w:sz="4" w:space="0" w:color="auto"/>
            </w:tcBorders>
            <w:shd w:val="clear" w:color="auto" w:fill="auto"/>
          </w:tcPr>
          <w:p w:rsidR="005E0C75" w:rsidRPr="00596009" w:rsidRDefault="005E0C75" w:rsidP="00596009">
            <w:pPr>
              <w:rPr>
                <w:lang w:val="en-US"/>
              </w:rPr>
            </w:pPr>
            <w:proofErr w:type="spellStart"/>
            <w:r w:rsidRPr="00C6224F">
              <w:rPr>
                <w:lang w:val="en-US"/>
              </w:rPr>
              <w:t>Narloch</w:t>
            </w:r>
            <w:proofErr w:type="spellEnd"/>
            <w:r w:rsidRPr="00C6224F">
              <w:rPr>
                <w:lang w:val="en-US"/>
              </w:rPr>
              <w:t xml:space="preserve"> U, </w:t>
            </w:r>
            <w:proofErr w:type="spellStart"/>
            <w:r w:rsidRPr="00C6224F">
              <w:rPr>
                <w:lang w:val="en-US"/>
              </w:rPr>
              <w:t>Pascual</w:t>
            </w:r>
            <w:proofErr w:type="spellEnd"/>
            <w:r w:rsidRPr="00C6224F">
              <w:rPr>
                <w:lang w:val="en-US"/>
              </w:rPr>
              <w:t xml:space="preserve"> U, Drucker AG (2011) Cost-effectiveness targeting un</w:t>
            </w:r>
            <w:r w:rsidRPr="00596009">
              <w:rPr>
                <w:lang w:val="en-US"/>
              </w:rPr>
              <w:t>der multiple conservation goals and equity</w:t>
            </w:r>
          </w:p>
          <w:p w:rsidR="005E0C75" w:rsidRPr="00596009" w:rsidRDefault="005E0C75" w:rsidP="00596009">
            <w:pPr>
              <w:rPr>
                <w:lang w:val="en-US"/>
              </w:rPr>
            </w:pPr>
            <w:proofErr w:type="gramStart"/>
            <w:r w:rsidRPr="00596009">
              <w:rPr>
                <w:lang w:val="en-US"/>
              </w:rPr>
              <w:t>considerations</w:t>
            </w:r>
            <w:proofErr w:type="gramEnd"/>
            <w:r w:rsidRPr="00596009">
              <w:rPr>
                <w:lang w:val="en-US"/>
              </w:rPr>
              <w:t xml:space="preserve"> in the Andes. Environmental conservation. Environmental Conservation 38(4):417-425.</w:t>
            </w:r>
          </w:p>
          <w:p w:rsidR="007C7A49" w:rsidRPr="00596009" w:rsidRDefault="007C7A49" w:rsidP="00596009">
            <w:pPr>
              <w:rPr>
                <w:lang w:val="en-US"/>
              </w:rPr>
            </w:pPr>
          </w:p>
          <w:p w:rsidR="007C7A49" w:rsidRPr="00596009" w:rsidRDefault="007C7A49" w:rsidP="00596009">
            <w:pPr>
              <w:rPr>
                <w:lang w:val="en-US"/>
              </w:rPr>
            </w:pPr>
            <w:proofErr w:type="spellStart"/>
            <w:r w:rsidRPr="00596009">
              <w:rPr>
                <w:lang w:val="en-US"/>
              </w:rPr>
              <w:t>Narloch</w:t>
            </w:r>
            <w:proofErr w:type="spellEnd"/>
            <w:r w:rsidRPr="00596009">
              <w:rPr>
                <w:lang w:val="en-US"/>
              </w:rPr>
              <w:t xml:space="preserve">, U. </w:t>
            </w:r>
            <w:r w:rsidR="00285897">
              <w:rPr>
                <w:lang w:val="en-US"/>
              </w:rPr>
              <w:t>(</w:t>
            </w:r>
            <w:r w:rsidRPr="00596009">
              <w:rPr>
                <w:lang w:val="en-US"/>
              </w:rPr>
              <w:t>2011</w:t>
            </w:r>
            <w:r w:rsidR="00285897">
              <w:rPr>
                <w:lang w:val="en-US"/>
              </w:rPr>
              <w:t>)</w:t>
            </w:r>
            <w:r w:rsidRPr="00596009">
              <w:rPr>
                <w:lang w:val="en-US"/>
              </w:rPr>
              <w:t>. Payments for agrobiodiversity conservation services: how to make incentive mechanisms work for conservation PhD, Corpus Christi College, University of Cambridge, Cambridge.</w:t>
            </w:r>
          </w:p>
        </w:tc>
      </w:tr>
      <w:tr w:rsidR="005E0C75" w:rsidRPr="00596009" w:rsidTr="00DF6EBC">
        <w:tc>
          <w:tcPr>
            <w:tcW w:w="819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</w:pPr>
            <w:r w:rsidRPr="00596009">
              <w:t>55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BfeB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:rsidR="005E0C75" w:rsidRPr="00596009" w:rsidRDefault="005E0C75" w:rsidP="0059600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96009">
              <w:rPr>
                <w:rFonts w:ascii="Calibri" w:hAnsi="Calibri" w:cs="Calibri"/>
                <w:color w:val="000000"/>
              </w:rPr>
              <w:t>Bolsa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96009">
              <w:rPr>
                <w:rFonts w:ascii="Calibri" w:hAnsi="Calibri" w:cs="Calibri"/>
                <w:color w:val="000000"/>
              </w:rPr>
              <w:t>Floresta</w:t>
            </w:r>
            <w:proofErr w:type="spellEnd"/>
            <w:r w:rsidRPr="00596009">
              <w:rPr>
                <w:rFonts w:ascii="Calibri" w:hAnsi="Calibri" w:cs="Calibri"/>
                <w:color w:val="000000"/>
              </w:rPr>
              <w:t xml:space="preserve"> - Brasil</w:t>
            </w:r>
          </w:p>
        </w:tc>
        <w:tc>
          <w:tcPr>
            <w:tcW w:w="10920" w:type="dxa"/>
            <w:shd w:val="clear" w:color="auto" w:fill="auto"/>
          </w:tcPr>
          <w:p w:rsidR="007C7A49" w:rsidRPr="00596009" w:rsidRDefault="007C7A49" w:rsidP="007569AE">
            <w:pPr>
              <w:rPr>
                <w:lang w:val="en-US"/>
              </w:rPr>
            </w:pPr>
            <w:r w:rsidRPr="00596009">
              <w:rPr>
                <w:lang w:val="de-DE"/>
              </w:rPr>
              <w:t xml:space="preserve">Börner, J. , S. Wunder, F  Reimer, R.K.  Bakkegaard, V.  Viana, J Tezza, T.  </w:t>
            </w:r>
            <w:r w:rsidRPr="00CF2813">
              <w:rPr>
                <w:lang w:val="pt-BR"/>
              </w:rPr>
              <w:t xml:space="preserve">Pinto, L.  </w:t>
            </w:r>
            <w:proofErr w:type="gramStart"/>
            <w:r w:rsidRPr="00596009">
              <w:rPr>
                <w:lang w:val="en-US"/>
              </w:rPr>
              <w:t>Lima,</w:t>
            </w:r>
            <w:proofErr w:type="gramEnd"/>
            <w:r w:rsidRPr="00596009">
              <w:rPr>
                <w:lang w:val="en-US"/>
              </w:rPr>
              <w:t xml:space="preserve"> and S. </w:t>
            </w:r>
            <w:proofErr w:type="spellStart"/>
            <w:r w:rsidRPr="00596009">
              <w:rPr>
                <w:lang w:val="en-US"/>
              </w:rPr>
              <w:t>Marostica</w:t>
            </w:r>
            <w:proofErr w:type="spellEnd"/>
            <w:r w:rsidRPr="00596009">
              <w:rPr>
                <w:lang w:val="en-US"/>
              </w:rPr>
              <w:t xml:space="preserve">. </w:t>
            </w:r>
            <w:r w:rsidR="00285897">
              <w:rPr>
                <w:lang w:val="en-US"/>
              </w:rPr>
              <w:t>(</w:t>
            </w:r>
            <w:r w:rsidRPr="00596009">
              <w:rPr>
                <w:lang w:val="en-US"/>
              </w:rPr>
              <w:t>2013</w:t>
            </w:r>
            <w:r w:rsidR="00285897">
              <w:rPr>
                <w:lang w:val="en-US"/>
              </w:rPr>
              <w:t>)</w:t>
            </w:r>
            <w:r w:rsidRPr="00596009">
              <w:rPr>
                <w:lang w:val="en-US"/>
              </w:rPr>
              <w:t xml:space="preserve">. Promoting Forest Stewardship in the </w:t>
            </w:r>
            <w:proofErr w:type="spellStart"/>
            <w:r w:rsidRPr="00596009">
              <w:rPr>
                <w:lang w:val="en-US"/>
              </w:rPr>
              <w:t>Bolsa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Floresta</w:t>
            </w:r>
            <w:proofErr w:type="spellEnd"/>
            <w:r w:rsidRPr="00596009">
              <w:rPr>
                <w:lang w:val="en-US"/>
              </w:rPr>
              <w:t xml:space="preserve"> Programme: Local Livelihood Strategies and Preliminary Impacts. </w:t>
            </w:r>
            <w:r w:rsidRPr="00596009">
              <w:rPr>
                <w:lang w:val="pt-BR"/>
              </w:rPr>
              <w:t xml:space="preserve">Rio de Janeiro, Manaus &amp; Bonn: Center for International Forestry Research (CIFOR), Fundação Amazonas Sustentável(FAS). </w:t>
            </w:r>
            <w:proofErr w:type="spellStart"/>
            <w:r w:rsidRPr="00596009">
              <w:rPr>
                <w:lang w:val="en-US"/>
              </w:rPr>
              <w:t>Zentrum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für</w:t>
            </w:r>
            <w:proofErr w:type="spellEnd"/>
            <w:r w:rsidRPr="00596009">
              <w:rPr>
                <w:lang w:val="en-US"/>
              </w:rPr>
              <w:t xml:space="preserve"> </w:t>
            </w:r>
            <w:proofErr w:type="spellStart"/>
            <w:r w:rsidRPr="00596009">
              <w:rPr>
                <w:lang w:val="en-US"/>
              </w:rPr>
              <w:t>Entwicklungsforschung</w:t>
            </w:r>
            <w:proofErr w:type="spellEnd"/>
            <w:r w:rsidRPr="00596009">
              <w:rPr>
                <w:lang w:val="en-US"/>
              </w:rPr>
              <w:t xml:space="preserve"> (</w:t>
            </w:r>
            <w:proofErr w:type="spellStart"/>
            <w:r w:rsidRPr="00596009">
              <w:rPr>
                <w:lang w:val="en-US"/>
              </w:rPr>
              <w:t>ZEF</w:t>
            </w:r>
            <w:proofErr w:type="spellEnd"/>
            <w:r w:rsidRPr="00596009">
              <w:rPr>
                <w:lang w:val="en-US"/>
              </w:rPr>
              <w:t>), University of Bonn.</w:t>
            </w:r>
          </w:p>
        </w:tc>
      </w:tr>
    </w:tbl>
    <w:p w:rsidR="005E0C75" w:rsidRPr="007569AE" w:rsidRDefault="005E0C75" w:rsidP="005534ED">
      <w:pPr>
        <w:rPr>
          <w:lang w:val="en-US"/>
        </w:rPr>
      </w:pPr>
    </w:p>
    <w:sectPr w:rsidR="005E0C75" w:rsidRPr="007569AE" w:rsidSect="00726D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E9" w:rsidRDefault="00743FE9" w:rsidP="00447C07">
      <w:pPr>
        <w:spacing w:after="0" w:line="240" w:lineRule="auto"/>
      </w:pPr>
      <w:r>
        <w:separator/>
      </w:r>
    </w:p>
  </w:endnote>
  <w:endnote w:type="continuationSeparator" w:id="0">
    <w:p w:rsidR="00743FE9" w:rsidRDefault="00743FE9" w:rsidP="0044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E9" w:rsidRDefault="00743FE9" w:rsidP="00447C07">
      <w:pPr>
        <w:spacing w:after="0" w:line="240" w:lineRule="auto"/>
      </w:pPr>
      <w:r>
        <w:separator/>
      </w:r>
    </w:p>
  </w:footnote>
  <w:footnote w:type="continuationSeparator" w:id="0">
    <w:p w:rsidR="00743FE9" w:rsidRDefault="00743FE9" w:rsidP="00447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6A"/>
    <w:rsid w:val="00003B8A"/>
    <w:rsid w:val="00011E4B"/>
    <w:rsid w:val="00054C6F"/>
    <w:rsid w:val="00061640"/>
    <w:rsid w:val="00081FA2"/>
    <w:rsid w:val="000A656B"/>
    <w:rsid w:val="000C7358"/>
    <w:rsid w:val="00144770"/>
    <w:rsid w:val="001A5328"/>
    <w:rsid w:val="00201C0E"/>
    <w:rsid w:val="00234E6A"/>
    <w:rsid w:val="00236910"/>
    <w:rsid w:val="00236BF6"/>
    <w:rsid w:val="002403E8"/>
    <w:rsid w:val="00240C82"/>
    <w:rsid w:val="0025191B"/>
    <w:rsid w:val="00252DC5"/>
    <w:rsid w:val="00285897"/>
    <w:rsid w:val="002B1DC2"/>
    <w:rsid w:val="002C1940"/>
    <w:rsid w:val="002E0089"/>
    <w:rsid w:val="002E1609"/>
    <w:rsid w:val="002E246C"/>
    <w:rsid w:val="002F0D39"/>
    <w:rsid w:val="0030559A"/>
    <w:rsid w:val="00353FDE"/>
    <w:rsid w:val="003610AD"/>
    <w:rsid w:val="0039463C"/>
    <w:rsid w:val="003A4807"/>
    <w:rsid w:val="003A6761"/>
    <w:rsid w:val="003B3B74"/>
    <w:rsid w:val="003E6503"/>
    <w:rsid w:val="00416A8D"/>
    <w:rsid w:val="00424A24"/>
    <w:rsid w:val="0043081C"/>
    <w:rsid w:val="00447C07"/>
    <w:rsid w:val="0046389F"/>
    <w:rsid w:val="004715A5"/>
    <w:rsid w:val="00481832"/>
    <w:rsid w:val="00493A6E"/>
    <w:rsid w:val="004A386A"/>
    <w:rsid w:val="004C0EC5"/>
    <w:rsid w:val="004D6476"/>
    <w:rsid w:val="004F0A29"/>
    <w:rsid w:val="00504C93"/>
    <w:rsid w:val="005534ED"/>
    <w:rsid w:val="00555893"/>
    <w:rsid w:val="00596009"/>
    <w:rsid w:val="005E0C75"/>
    <w:rsid w:val="005E5DB3"/>
    <w:rsid w:val="0061193A"/>
    <w:rsid w:val="006159F0"/>
    <w:rsid w:val="00662DAB"/>
    <w:rsid w:val="006835FC"/>
    <w:rsid w:val="00685E1C"/>
    <w:rsid w:val="006E139A"/>
    <w:rsid w:val="006E2BB0"/>
    <w:rsid w:val="006E461A"/>
    <w:rsid w:val="00705142"/>
    <w:rsid w:val="00714868"/>
    <w:rsid w:val="0071554A"/>
    <w:rsid w:val="00721E1C"/>
    <w:rsid w:val="00726DD3"/>
    <w:rsid w:val="00743FE9"/>
    <w:rsid w:val="007569AE"/>
    <w:rsid w:val="007623E0"/>
    <w:rsid w:val="00763A9D"/>
    <w:rsid w:val="0077428F"/>
    <w:rsid w:val="00785479"/>
    <w:rsid w:val="00794AFA"/>
    <w:rsid w:val="007A452D"/>
    <w:rsid w:val="007B622A"/>
    <w:rsid w:val="007C0FBF"/>
    <w:rsid w:val="007C7A49"/>
    <w:rsid w:val="007E7383"/>
    <w:rsid w:val="00810767"/>
    <w:rsid w:val="008269F6"/>
    <w:rsid w:val="00852D3D"/>
    <w:rsid w:val="00877598"/>
    <w:rsid w:val="008E51FB"/>
    <w:rsid w:val="008F437E"/>
    <w:rsid w:val="008F6904"/>
    <w:rsid w:val="00923CB3"/>
    <w:rsid w:val="0093606C"/>
    <w:rsid w:val="00936094"/>
    <w:rsid w:val="0094618D"/>
    <w:rsid w:val="00970C64"/>
    <w:rsid w:val="00984989"/>
    <w:rsid w:val="009951A2"/>
    <w:rsid w:val="009D5071"/>
    <w:rsid w:val="009E0B05"/>
    <w:rsid w:val="009E2342"/>
    <w:rsid w:val="00A13243"/>
    <w:rsid w:val="00A21E1F"/>
    <w:rsid w:val="00A5579B"/>
    <w:rsid w:val="00A55F2A"/>
    <w:rsid w:val="00A675E2"/>
    <w:rsid w:val="00A705CC"/>
    <w:rsid w:val="00A72CFA"/>
    <w:rsid w:val="00A84B66"/>
    <w:rsid w:val="00A92288"/>
    <w:rsid w:val="00AC7D1F"/>
    <w:rsid w:val="00AD08E8"/>
    <w:rsid w:val="00AD125B"/>
    <w:rsid w:val="00B16C99"/>
    <w:rsid w:val="00B85157"/>
    <w:rsid w:val="00B87E05"/>
    <w:rsid w:val="00BC4E60"/>
    <w:rsid w:val="00BE57B6"/>
    <w:rsid w:val="00C1660B"/>
    <w:rsid w:val="00C26810"/>
    <w:rsid w:val="00C6224F"/>
    <w:rsid w:val="00C81388"/>
    <w:rsid w:val="00CA3A17"/>
    <w:rsid w:val="00CD6806"/>
    <w:rsid w:val="00CD79E7"/>
    <w:rsid w:val="00CE4830"/>
    <w:rsid w:val="00CF2813"/>
    <w:rsid w:val="00D0317E"/>
    <w:rsid w:val="00D14E8D"/>
    <w:rsid w:val="00D230E5"/>
    <w:rsid w:val="00D468F3"/>
    <w:rsid w:val="00D679B4"/>
    <w:rsid w:val="00DC6DA0"/>
    <w:rsid w:val="00DD1851"/>
    <w:rsid w:val="00DE782E"/>
    <w:rsid w:val="00DF4F31"/>
    <w:rsid w:val="00DF6EBC"/>
    <w:rsid w:val="00E069D4"/>
    <w:rsid w:val="00E34874"/>
    <w:rsid w:val="00E51DAA"/>
    <w:rsid w:val="00E9358B"/>
    <w:rsid w:val="00EB474B"/>
    <w:rsid w:val="00EC1F2B"/>
    <w:rsid w:val="00EE3BEB"/>
    <w:rsid w:val="00F52EF1"/>
    <w:rsid w:val="00FD42FD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64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49"/>
    <w:rPr>
      <w:b/>
      <w:bCs/>
      <w:sz w:val="20"/>
      <w:szCs w:val="20"/>
    </w:rPr>
  </w:style>
  <w:style w:type="paragraph" w:styleId="NoSpacing">
    <w:name w:val="No Spacing"/>
    <w:uiPriority w:val="1"/>
    <w:qFormat/>
    <w:rsid w:val="005960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07"/>
  </w:style>
  <w:style w:type="paragraph" w:styleId="Footer">
    <w:name w:val="footer"/>
    <w:basedOn w:val="Normal"/>
    <w:link w:val="FooterChar"/>
    <w:uiPriority w:val="99"/>
    <w:unhideWhenUsed/>
    <w:rsid w:val="004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64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49"/>
    <w:rPr>
      <w:b/>
      <w:bCs/>
      <w:sz w:val="20"/>
      <w:szCs w:val="20"/>
    </w:rPr>
  </w:style>
  <w:style w:type="paragraph" w:styleId="NoSpacing">
    <w:name w:val="No Spacing"/>
    <w:uiPriority w:val="1"/>
    <w:qFormat/>
    <w:rsid w:val="005960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07"/>
  </w:style>
  <w:style w:type="paragraph" w:styleId="Footer">
    <w:name w:val="footer"/>
    <w:basedOn w:val="Normal"/>
    <w:link w:val="FooterChar"/>
    <w:uiPriority w:val="99"/>
    <w:unhideWhenUsed/>
    <w:rsid w:val="004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forestcoalition.org/wp-content/uploads/2010/11/Estudiodecaso-Procuenca-Colombia1.pdf" TargetMode="External"/><Relationship Id="rId13" Type="http://schemas.openxmlformats.org/officeDocument/2006/relationships/hyperlink" Target="http://www.planviv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l.edu.ec/agropecuaria/wp-content/uploads/2012/03/sp-buenas_practicas-areas-protegidas-Chachi-ecuador1.pdf" TargetMode="External"/><Relationship Id="rId12" Type="http://schemas.openxmlformats.org/officeDocument/2006/relationships/hyperlink" Target="http://www.worldagroforestrycentre.org/se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jeevika.org/bamboo/1k-payment-for-forest-environmental-servic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jeevika.org/bamboo/1k-payment-for-forest-environmental-servic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gsu.edu/~wwwcec/docs/doc%20updates/NOAA%20Paper%20TZ%20Final%20Draft%20June%202007.pdf" TargetMode="External"/><Relationship Id="rId14" Type="http://schemas.openxmlformats.org/officeDocument/2006/relationships/hyperlink" Target="http://ambio.org.m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3705</Words>
  <Characters>21121</Characters>
  <Application>Microsoft Office Word</Application>
  <DocSecurity>4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CIRAD</Company>
  <LinksUpToDate>false</LinksUpToDate>
  <CharactersWithSpaces>24777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ezzinedeblas</dc:creator>
  <cp:lastModifiedBy>Yibin Xiang</cp:lastModifiedBy>
  <cp:revision>2</cp:revision>
  <dcterms:created xsi:type="dcterms:W3CDTF">2017-01-26T15:28:00Z</dcterms:created>
  <dcterms:modified xsi:type="dcterms:W3CDTF">2017-01-26T15:28:00Z</dcterms:modified>
</cp:coreProperties>
</file>