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C4CB" w14:textId="39FAACE1" w:rsidR="00E034BA" w:rsidRPr="00DD7EA5" w:rsidRDefault="00E034BA" w:rsidP="00E034BA">
      <w:pPr>
        <w:tabs>
          <w:tab w:val="left" w:pos="7020"/>
        </w:tabs>
        <w:ind w:right="44"/>
        <w:jc w:val="both"/>
        <w:rPr>
          <w:sz w:val="22"/>
          <w:szCs w:val="22"/>
          <w:lang w:val="fr-CA"/>
        </w:rPr>
      </w:pPr>
      <w:proofErr w:type="spellStart"/>
      <w:r w:rsidRPr="00DB2493">
        <w:rPr>
          <w:sz w:val="22"/>
          <w:szCs w:val="22"/>
          <w:lang w:val="en-CA"/>
        </w:rPr>
        <w:t>R</w:t>
      </w:r>
      <w:r w:rsidR="00651828">
        <w:rPr>
          <w:sz w:val="22"/>
          <w:szCs w:val="22"/>
          <w:lang w:val="en-CA"/>
        </w:rPr>
        <w:t>é</w:t>
      </w:r>
      <w:r w:rsidRPr="00DB2493">
        <w:rPr>
          <w:sz w:val="22"/>
          <w:szCs w:val="22"/>
          <w:lang w:val="en-CA"/>
        </w:rPr>
        <w:t>f</w:t>
      </w:r>
      <w:proofErr w:type="spellEnd"/>
      <w:proofErr w:type="gramStart"/>
      <w:r w:rsidRPr="00DB2493">
        <w:rPr>
          <w:sz w:val="22"/>
          <w:szCs w:val="22"/>
          <w:lang w:val="en-CA"/>
        </w:rPr>
        <w:t>.</w:t>
      </w:r>
      <w:r w:rsidR="00651828">
        <w:rPr>
          <w:sz w:val="22"/>
          <w:szCs w:val="22"/>
          <w:lang w:val="en-CA"/>
        </w:rPr>
        <w:t xml:space="preserve"> </w:t>
      </w:r>
      <w:r w:rsidRPr="00DB2493">
        <w:rPr>
          <w:sz w:val="22"/>
          <w:szCs w:val="22"/>
          <w:lang w:val="en-CA"/>
        </w:rPr>
        <w:t>:</w:t>
      </w:r>
      <w:proofErr w:type="gramEnd"/>
      <w:r w:rsidRPr="00DB2493">
        <w:rPr>
          <w:sz w:val="22"/>
          <w:szCs w:val="22"/>
          <w:lang w:val="en-CA"/>
        </w:rPr>
        <w:t xml:space="preserve"> </w:t>
      </w:r>
      <w:r w:rsidR="00BA4A0A" w:rsidRPr="00DB2493">
        <w:rPr>
          <w:sz w:val="22"/>
          <w:szCs w:val="22"/>
          <w:lang w:val="en-CA"/>
        </w:rPr>
        <w:t>SCBD/IMS/JMF/</w:t>
      </w:r>
      <w:r w:rsidR="00722DA3">
        <w:rPr>
          <w:sz w:val="22"/>
          <w:szCs w:val="22"/>
          <w:lang w:val="en-CA"/>
        </w:rPr>
        <w:t>NP</w:t>
      </w:r>
      <w:r w:rsidR="00175214" w:rsidRPr="00DB2493">
        <w:rPr>
          <w:sz w:val="22"/>
          <w:szCs w:val="22"/>
          <w:lang w:val="en-CA"/>
        </w:rPr>
        <w:t>/</w:t>
      </w:r>
      <w:r w:rsidR="00722DA3">
        <w:rPr>
          <w:sz w:val="22"/>
          <w:szCs w:val="22"/>
          <w:lang w:val="en-CA"/>
        </w:rPr>
        <w:t>YX</w:t>
      </w:r>
      <w:r w:rsidR="00175214" w:rsidRPr="00DB2493">
        <w:rPr>
          <w:sz w:val="22"/>
          <w:szCs w:val="22"/>
          <w:lang w:val="en-CA"/>
        </w:rPr>
        <w:t>/</w:t>
      </w:r>
      <w:r w:rsidR="00011B7A">
        <w:rPr>
          <w:sz w:val="22"/>
          <w:szCs w:val="22"/>
          <w:lang w:val="en-CA"/>
        </w:rPr>
        <w:t>88707</w:t>
      </w:r>
      <w:r w:rsidRPr="00DB2493">
        <w:rPr>
          <w:sz w:val="22"/>
          <w:szCs w:val="22"/>
          <w:lang w:val="en-CA"/>
        </w:rPr>
        <w:tab/>
      </w:r>
      <w:r w:rsidR="004F7AE1" w:rsidRPr="00DD7EA5">
        <w:rPr>
          <w:sz w:val="22"/>
          <w:szCs w:val="22"/>
          <w:lang w:val="fr-CA"/>
        </w:rPr>
        <w:tab/>
      </w:r>
      <w:r w:rsidR="00651828">
        <w:rPr>
          <w:sz w:val="22"/>
          <w:szCs w:val="22"/>
          <w:lang w:val="fr-CA"/>
        </w:rPr>
        <w:t xml:space="preserve">Le </w:t>
      </w:r>
      <w:r w:rsidR="0041140F" w:rsidRPr="00DD7EA5">
        <w:rPr>
          <w:sz w:val="22"/>
          <w:szCs w:val="22"/>
          <w:lang w:val="fr-CA"/>
        </w:rPr>
        <w:t>1</w:t>
      </w:r>
      <w:r w:rsidR="00685FE5" w:rsidRPr="00DD7EA5">
        <w:rPr>
          <w:sz w:val="22"/>
          <w:szCs w:val="22"/>
          <w:lang w:val="fr-CA"/>
        </w:rPr>
        <w:t>8</w:t>
      </w:r>
      <w:r w:rsidR="0041140F" w:rsidRPr="00DD7EA5">
        <w:rPr>
          <w:sz w:val="22"/>
          <w:szCs w:val="22"/>
          <w:lang w:val="fr-CA"/>
        </w:rPr>
        <w:t xml:space="preserve"> </w:t>
      </w:r>
      <w:r w:rsidR="00DD7EA5">
        <w:rPr>
          <w:sz w:val="22"/>
          <w:szCs w:val="22"/>
          <w:lang w:val="fr-CA"/>
        </w:rPr>
        <w:t>février</w:t>
      </w:r>
      <w:r w:rsidR="00DD7EA5" w:rsidRPr="00DD7EA5">
        <w:rPr>
          <w:sz w:val="22"/>
          <w:szCs w:val="22"/>
          <w:lang w:val="fr-CA"/>
        </w:rPr>
        <w:t xml:space="preserve"> </w:t>
      </w:r>
      <w:r w:rsidR="00C041B3" w:rsidRPr="00DD7EA5">
        <w:rPr>
          <w:sz w:val="22"/>
          <w:szCs w:val="22"/>
          <w:lang w:val="fr-CA"/>
        </w:rPr>
        <w:t>2020</w:t>
      </w:r>
    </w:p>
    <w:p w14:paraId="01EE485D" w14:textId="2FA1B100" w:rsidR="00E034BA" w:rsidRPr="00DD7EA5" w:rsidRDefault="00E034BA" w:rsidP="00E034BA">
      <w:pPr>
        <w:ind w:right="44"/>
        <w:jc w:val="both"/>
        <w:rPr>
          <w:sz w:val="22"/>
          <w:szCs w:val="22"/>
          <w:lang w:val="fr-CA"/>
        </w:rPr>
      </w:pPr>
    </w:p>
    <w:p w14:paraId="6D90507F" w14:textId="50C2AD7B" w:rsidR="006313C1" w:rsidRPr="00DD7EA5" w:rsidRDefault="006313C1" w:rsidP="006313C1">
      <w:pPr>
        <w:ind w:right="44"/>
        <w:jc w:val="center"/>
        <w:rPr>
          <w:b/>
          <w:sz w:val="22"/>
          <w:szCs w:val="22"/>
          <w:lang w:val="fr-CA"/>
        </w:rPr>
      </w:pPr>
      <w:r w:rsidRPr="00DD7EA5">
        <w:rPr>
          <w:b/>
          <w:sz w:val="22"/>
          <w:szCs w:val="22"/>
          <w:lang w:val="fr-CA"/>
        </w:rPr>
        <w:t>N O T I F I C A T I O N</w:t>
      </w:r>
    </w:p>
    <w:p w14:paraId="57862F75" w14:textId="77777777" w:rsidR="005B7F08" w:rsidRPr="00DD7EA5" w:rsidRDefault="005B7F08" w:rsidP="006313C1">
      <w:pPr>
        <w:ind w:right="44"/>
        <w:jc w:val="center"/>
        <w:rPr>
          <w:b/>
          <w:sz w:val="22"/>
          <w:szCs w:val="22"/>
          <w:lang w:val="fr-CA"/>
        </w:rPr>
      </w:pPr>
    </w:p>
    <w:p w14:paraId="69101D2C" w14:textId="49733799" w:rsidR="00B7612C" w:rsidRPr="00651828" w:rsidRDefault="00DD7EA5" w:rsidP="006313C1">
      <w:pPr>
        <w:ind w:right="44"/>
        <w:jc w:val="center"/>
        <w:rPr>
          <w:b/>
          <w:sz w:val="21"/>
          <w:szCs w:val="22"/>
          <w:lang w:val="fr-CA"/>
        </w:rPr>
      </w:pPr>
      <w:r w:rsidRPr="00651828">
        <w:rPr>
          <w:b/>
          <w:bCs/>
          <w:sz w:val="21"/>
          <w:szCs w:val="22"/>
          <w:lang w:val="fr-CA"/>
        </w:rPr>
        <w:t xml:space="preserve">Décision 14/23, Mécanisme de financement : </w:t>
      </w:r>
      <w:r w:rsidRPr="00651828">
        <w:rPr>
          <w:b/>
          <w:sz w:val="21"/>
          <w:szCs w:val="22"/>
          <w:lang w:val="fr-CA"/>
        </w:rPr>
        <w:t>Évaluation du montant des fonds nécessaires à l’application de la Convention et de ses protocoles pour la huitième période de reconstitution du Fonds d’affectation spéciale du Fonds pour l’environnement mondial, de juillet 2022 à juin 2026</w:t>
      </w:r>
    </w:p>
    <w:p w14:paraId="5C1D6AC9" w14:textId="77777777" w:rsidR="00B7612C" w:rsidRPr="00651828" w:rsidRDefault="00B7612C" w:rsidP="00E034BA">
      <w:pPr>
        <w:ind w:right="44"/>
        <w:jc w:val="both"/>
        <w:rPr>
          <w:sz w:val="21"/>
          <w:szCs w:val="22"/>
          <w:lang w:val="fr-CA"/>
        </w:rPr>
      </w:pPr>
    </w:p>
    <w:p w14:paraId="0C09FF7D" w14:textId="10D5589F" w:rsidR="00E034BA" w:rsidRPr="00651828" w:rsidRDefault="00DD7EA5" w:rsidP="00E034BA">
      <w:pPr>
        <w:ind w:right="44"/>
        <w:jc w:val="both"/>
        <w:rPr>
          <w:sz w:val="21"/>
          <w:szCs w:val="22"/>
          <w:lang w:val="fr-CA"/>
        </w:rPr>
      </w:pPr>
      <w:r w:rsidRPr="00651828">
        <w:rPr>
          <w:sz w:val="21"/>
          <w:szCs w:val="22"/>
          <w:lang w:val="fr-CA"/>
        </w:rPr>
        <w:t>Madame, monsieur</w:t>
      </w:r>
      <w:r w:rsidR="00BA4A0A" w:rsidRPr="00651828">
        <w:rPr>
          <w:sz w:val="21"/>
          <w:szCs w:val="22"/>
          <w:lang w:val="fr-CA"/>
        </w:rPr>
        <w:t>,</w:t>
      </w:r>
    </w:p>
    <w:p w14:paraId="496C1A68" w14:textId="77777777" w:rsidR="006313C1" w:rsidRPr="00651828" w:rsidRDefault="006313C1" w:rsidP="00E034BA">
      <w:pPr>
        <w:ind w:right="44"/>
        <w:jc w:val="both"/>
        <w:rPr>
          <w:sz w:val="21"/>
          <w:szCs w:val="22"/>
          <w:lang w:val="fr-CA"/>
        </w:rPr>
      </w:pPr>
    </w:p>
    <w:p w14:paraId="1BA80654" w14:textId="52351C76" w:rsidR="00722DA3" w:rsidRPr="00651828" w:rsidRDefault="006210F2" w:rsidP="00722DA3">
      <w:pPr>
        <w:ind w:right="44" w:firstLine="720"/>
        <w:jc w:val="both"/>
        <w:rPr>
          <w:sz w:val="21"/>
          <w:szCs w:val="22"/>
          <w:lang w:val="fr-CA"/>
        </w:rPr>
      </w:pPr>
      <w:r w:rsidRPr="00651828">
        <w:rPr>
          <w:sz w:val="21"/>
          <w:szCs w:val="22"/>
          <w:lang w:val="fr-CA"/>
        </w:rPr>
        <w:t xml:space="preserve">J’ai le plaisir d’informer les Parties sur l’évaluation du montant des fonds nécessaires à l’application de la Convention et de ses protocoles pour la huitième période de reconstitution du Fonds d’affectation spéciale du Fonds pour l’environnement mondial, (FEM-8, de juillet 2022 à juin 2026) à la demande </w:t>
      </w:r>
      <w:r w:rsidR="00230AB4">
        <w:rPr>
          <w:sz w:val="21"/>
          <w:szCs w:val="22"/>
          <w:lang w:val="fr-CA"/>
        </w:rPr>
        <w:t>faite par</w:t>
      </w:r>
      <w:r w:rsidRPr="00651828">
        <w:rPr>
          <w:sz w:val="21"/>
          <w:szCs w:val="22"/>
          <w:lang w:val="fr-CA"/>
        </w:rPr>
        <w:t xml:space="preserve"> la Conférence des Parties dans la décision 14/23</w:t>
      </w:r>
      <w:r w:rsidR="00722DA3" w:rsidRPr="00651828">
        <w:rPr>
          <w:sz w:val="21"/>
          <w:szCs w:val="22"/>
          <w:lang w:val="fr-CA"/>
        </w:rPr>
        <w:t>.</w:t>
      </w:r>
      <w:bookmarkStart w:id="0" w:name="_GoBack"/>
      <w:bookmarkEnd w:id="0"/>
    </w:p>
    <w:p w14:paraId="18077838" w14:textId="77777777" w:rsidR="00722DA3" w:rsidRPr="00651828" w:rsidRDefault="00722DA3" w:rsidP="00722DA3">
      <w:pPr>
        <w:ind w:right="44" w:firstLine="720"/>
        <w:jc w:val="both"/>
        <w:rPr>
          <w:sz w:val="21"/>
          <w:szCs w:val="22"/>
          <w:lang w:val="fr-CA"/>
        </w:rPr>
      </w:pPr>
    </w:p>
    <w:p w14:paraId="719BBC8E" w14:textId="1E7ED4B2" w:rsidR="00722DA3" w:rsidRPr="00651828" w:rsidRDefault="00B736AD" w:rsidP="00722DA3">
      <w:pPr>
        <w:ind w:right="44" w:firstLine="720"/>
        <w:jc w:val="both"/>
        <w:rPr>
          <w:sz w:val="21"/>
          <w:szCs w:val="22"/>
          <w:lang w:val="fr-CA"/>
        </w:rPr>
      </w:pPr>
      <w:r w:rsidRPr="00651828">
        <w:rPr>
          <w:sz w:val="21"/>
          <w:szCs w:val="22"/>
          <w:lang w:val="fr-CA"/>
        </w:rPr>
        <w:t>Conformément au mandat de l’</w:t>
      </w:r>
      <w:r w:rsidR="0066256B" w:rsidRPr="00651828">
        <w:rPr>
          <w:sz w:val="21"/>
          <w:szCs w:val="22"/>
          <w:lang w:val="fr-CA"/>
        </w:rPr>
        <w:t>évaluation</w:t>
      </w:r>
      <w:r w:rsidRPr="00651828">
        <w:rPr>
          <w:sz w:val="21"/>
          <w:szCs w:val="22"/>
          <w:lang w:val="fr-CA"/>
        </w:rPr>
        <w:t xml:space="preserve"> adopté par la Conférence des Parties dans sa décision 14/23, une équipe de trois experts a été </w:t>
      </w:r>
      <w:r w:rsidR="00230AB4">
        <w:rPr>
          <w:sz w:val="21"/>
          <w:szCs w:val="22"/>
          <w:lang w:val="fr-CA"/>
        </w:rPr>
        <w:t>contractée</w:t>
      </w:r>
      <w:r w:rsidR="0066256B" w:rsidRPr="00651828">
        <w:rPr>
          <w:sz w:val="21"/>
          <w:szCs w:val="22"/>
          <w:lang w:val="fr-CA"/>
        </w:rPr>
        <w:t xml:space="preserve"> </w:t>
      </w:r>
      <w:r w:rsidRPr="00651828">
        <w:rPr>
          <w:sz w:val="21"/>
          <w:szCs w:val="22"/>
          <w:lang w:val="fr-CA"/>
        </w:rPr>
        <w:t xml:space="preserve">par le Secrétariat dans le cadre d’un </w:t>
      </w:r>
      <w:r w:rsidR="0066256B" w:rsidRPr="00651828">
        <w:rPr>
          <w:sz w:val="21"/>
          <w:szCs w:val="22"/>
          <w:lang w:val="fr-CA"/>
        </w:rPr>
        <w:t xml:space="preserve">concours mené conformément aux règles des Nations Unies en tenant compte également des critères énoncés dans </w:t>
      </w:r>
      <w:r w:rsidR="00230AB4">
        <w:rPr>
          <w:sz w:val="21"/>
          <w:szCs w:val="22"/>
          <w:lang w:val="fr-CA"/>
        </w:rPr>
        <w:t>la</w:t>
      </w:r>
      <w:r w:rsidR="0066256B" w:rsidRPr="00651828">
        <w:rPr>
          <w:sz w:val="21"/>
          <w:szCs w:val="22"/>
          <w:lang w:val="fr-CA"/>
        </w:rPr>
        <w:t xml:space="preserve"> décision. De courtes </w:t>
      </w:r>
      <w:proofErr w:type="gramStart"/>
      <w:r w:rsidR="0066256B" w:rsidRPr="00651828">
        <w:rPr>
          <w:sz w:val="21"/>
          <w:szCs w:val="22"/>
          <w:lang w:val="fr-CA"/>
        </w:rPr>
        <w:t>biographies</w:t>
      </w:r>
      <w:proofErr w:type="gramEnd"/>
      <w:r w:rsidR="0066256B" w:rsidRPr="00651828">
        <w:rPr>
          <w:sz w:val="21"/>
          <w:szCs w:val="22"/>
          <w:lang w:val="fr-CA"/>
        </w:rPr>
        <w:t xml:space="preserve"> des membres de l’équipe d’experts sont jointes en annexe à cette notification.</w:t>
      </w:r>
    </w:p>
    <w:p w14:paraId="7E9D86F9" w14:textId="77777777" w:rsidR="00722DA3" w:rsidRPr="00651828" w:rsidRDefault="00722DA3" w:rsidP="00722DA3">
      <w:pPr>
        <w:ind w:right="44" w:firstLine="720"/>
        <w:jc w:val="both"/>
        <w:rPr>
          <w:sz w:val="21"/>
          <w:szCs w:val="22"/>
          <w:lang w:val="fr-CA"/>
        </w:rPr>
      </w:pPr>
    </w:p>
    <w:p w14:paraId="7C4FF42B" w14:textId="71717094" w:rsidR="00722DA3" w:rsidRPr="00651828" w:rsidRDefault="0066256B" w:rsidP="00722DA3">
      <w:pPr>
        <w:ind w:right="44" w:firstLine="720"/>
        <w:jc w:val="both"/>
        <w:rPr>
          <w:sz w:val="21"/>
          <w:szCs w:val="22"/>
          <w:lang w:val="fr-CA"/>
        </w:rPr>
      </w:pPr>
      <w:r w:rsidRPr="00651828">
        <w:rPr>
          <w:sz w:val="21"/>
          <w:szCs w:val="22"/>
          <w:lang w:val="fr-CA"/>
        </w:rPr>
        <w:t>L’évaluation du montant des sommes nécessaires pour la huitième reco</w:t>
      </w:r>
      <w:r w:rsidR="00651828">
        <w:rPr>
          <w:sz w:val="21"/>
          <w:szCs w:val="22"/>
          <w:lang w:val="fr-CA"/>
        </w:rPr>
        <w:t>nstitution du Fon</w:t>
      </w:r>
      <w:r w:rsidRPr="00651828">
        <w:rPr>
          <w:sz w:val="21"/>
          <w:szCs w:val="22"/>
          <w:lang w:val="fr-CA"/>
        </w:rPr>
        <w:t>ds pour l’environnement mondial (FEM-8) profite du généreux soutien financier du gouvernement de la Suède et de l’Union européenne</w:t>
      </w:r>
      <w:r w:rsidR="00722DA3" w:rsidRPr="00651828">
        <w:rPr>
          <w:sz w:val="21"/>
          <w:szCs w:val="22"/>
          <w:lang w:val="fr-CA"/>
        </w:rPr>
        <w:t>.</w:t>
      </w:r>
    </w:p>
    <w:p w14:paraId="2256FD40" w14:textId="77777777" w:rsidR="00722DA3" w:rsidRPr="00651828" w:rsidRDefault="00722DA3" w:rsidP="00722DA3">
      <w:pPr>
        <w:ind w:right="44" w:firstLine="720"/>
        <w:jc w:val="both"/>
        <w:rPr>
          <w:sz w:val="21"/>
          <w:szCs w:val="22"/>
          <w:lang w:val="fr-CA"/>
        </w:rPr>
      </w:pPr>
    </w:p>
    <w:p w14:paraId="7E3E3BD1" w14:textId="196F43BC" w:rsidR="00722DA3" w:rsidRPr="00651828" w:rsidRDefault="0066256B" w:rsidP="00722DA3">
      <w:pPr>
        <w:ind w:right="44" w:firstLine="720"/>
        <w:jc w:val="both"/>
        <w:rPr>
          <w:sz w:val="21"/>
          <w:szCs w:val="22"/>
          <w:lang w:val="fr-CA"/>
        </w:rPr>
      </w:pPr>
      <w:r w:rsidRPr="00651828">
        <w:rPr>
          <w:sz w:val="21"/>
          <w:szCs w:val="22"/>
          <w:lang w:val="fr-CA"/>
        </w:rPr>
        <w:t xml:space="preserve">Conformément au mandat de l’étude, l’équipe d’experts a élaboré un questionnaire </w:t>
      </w:r>
      <w:r w:rsidR="004E2141" w:rsidRPr="00651828">
        <w:rPr>
          <w:sz w:val="21"/>
          <w:szCs w:val="22"/>
          <w:lang w:val="fr-CA"/>
        </w:rPr>
        <w:t xml:space="preserve">qu’il a rendu disponible sur le site Web de la Convention à </w:t>
      </w:r>
      <w:r w:rsidR="00011B7A" w:rsidRPr="00651828">
        <w:rPr>
          <w:sz w:val="21"/>
          <w:szCs w:val="22"/>
          <w:lang w:val="fr-CA"/>
        </w:rPr>
        <w:t>:</w:t>
      </w:r>
      <w:r w:rsidR="00722DA3" w:rsidRPr="00651828">
        <w:rPr>
          <w:sz w:val="21"/>
          <w:szCs w:val="22"/>
          <w:lang w:val="fr-CA"/>
        </w:rPr>
        <w:t xml:space="preserve"> </w:t>
      </w:r>
      <w:hyperlink r:id="rId7" w:history="1">
        <w:r w:rsidR="00722DA3" w:rsidRPr="00651828">
          <w:rPr>
            <w:rStyle w:val="Hyperlink"/>
            <w:sz w:val="21"/>
            <w:szCs w:val="22"/>
            <w:lang w:val="fr-CA"/>
          </w:rPr>
          <w:t>https://www.cbd.int/financial/gef8needs.shtml</w:t>
        </w:r>
      </w:hyperlink>
      <w:r w:rsidR="00722DA3" w:rsidRPr="00651828">
        <w:rPr>
          <w:sz w:val="21"/>
          <w:szCs w:val="22"/>
          <w:lang w:val="fr-CA"/>
        </w:rPr>
        <w:t xml:space="preserve">, </w:t>
      </w:r>
      <w:r w:rsidR="004E2141" w:rsidRPr="00651828">
        <w:rPr>
          <w:sz w:val="21"/>
          <w:szCs w:val="22"/>
          <w:lang w:val="fr-CA"/>
        </w:rPr>
        <w:t>ainsi qu’une orientation pour y répondre</w:t>
      </w:r>
      <w:r w:rsidR="00722DA3" w:rsidRPr="00651828">
        <w:rPr>
          <w:sz w:val="21"/>
          <w:szCs w:val="22"/>
          <w:lang w:val="fr-CA"/>
        </w:rPr>
        <w:t>.</w:t>
      </w:r>
    </w:p>
    <w:p w14:paraId="3489AA47" w14:textId="77777777" w:rsidR="00722DA3" w:rsidRPr="00651828" w:rsidRDefault="00722DA3" w:rsidP="00722DA3">
      <w:pPr>
        <w:ind w:right="44" w:firstLine="720"/>
        <w:jc w:val="both"/>
        <w:rPr>
          <w:sz w:val="21"/>
          <w:szCs w:val="22"/>
          <w:lang w:val="fr-CA"/>
        </w:rPr>
      </w:pPr>
    </w:p>
    <w:p w14:paraId="20562842" w14:textId="7AA7C8CC" w:rsidR="00722DA3" w:rsidRPr="00651828" w:rsidRDefault="004E2141" w:rsidP="00722DA3">
      <w:pPr>
        <w:ind w:right="44" w:firstLine="720"/>
        <w:jc w:val="both"/>
        <w:rPr>
          <w:sz w:val="21"/>
          <w:szCs w:val="22"/>
          <w:lang w:val="fr-CA"/>
        </w:rPr>
      </w:pPr>
      <w:r w:rsidRPr="00651828">
        <w:rPr>
          <w:sz w:val="21"/>
          <w:szCs w:val="22"/>
          <w:lang w:val="fr-CA"/>
        </w:rPr>
        <w:t>Les Parties admissibles au soutien du FEM sont invitées à utiliser le questionnaire pour fournir au Secrétariat de l’information sur les projets envisagés pour la FEM-8</w:t>
      </w:r>
      <w:r w:rsidR="00722DA3" w:rsidRPr="00651828">
        <w:rPr>
          <w:bCs/>
          <w:sz w:val="21"/>
          <w:szCs w:val="22"/>
          <w:lang w:val="fr-CA"/>
        </w:rPr>
        <w:t xml:space="preserve"> </w:t>
      </w:r>
      <w:r w:rsidRPr="00651828">
        <w:rPr>
          <w:bCs/>
          <w:sz w:val="21"/>
          <w:szCs w:val="22"/>
          <w:lang w:val="fr-CA"/>
        </w:rPr>
        <w:t xml:space="preserve">à </w:t>
      </w:r>
      <w:r w:rsidRPr="00651828">
        <w:rPr>
          <w:sz w:val="21"/>
          <w:szCs w:val="22"/>
          <w:u w:val="single"/>
          <w:lang w:val="fr-CA"/>
        </w:rPr>
        <w:t>secretariat@cbd.int</w:t>
      </w:r>
      <w:r w:rsidRPr="00651828">
        <w:rPr>
          <w:bCs/>
          <w:sz w:val="21"/>
          <w:szCs w:val="22"/>
          <w:lang w:val="fr-CA"/>
        </w:rPr>
        <w:t xml:space="preserve"> dès que possible et au plus tard le </w:t>
      </w:r>
      <w:r w:rsidRPr="00651828">
        <w:rPr>
          <w:b/>
          <w:bCs/>
          <w:sz w:val="21"/>
          <w:szCs w:val="22"/>
          <w:lang w:val="fr-CA"/>
        </w:rPr>
        <w:t>22 mars</w:t>
      </w:r>
      <w:r w:rsidR="00722DA3" w:rsidRPr="00651828">
        <w:rPr>
          <w:b/>
          <w:bCs/>
          <w:sz w:val="21"/>
          <w:szCs w:val="22"/>
          <w:lang w:val="fr-CA"/>
        </w:rPr>
        <w:t xml:space="preserve"> 2020</w:t>
      </w:r>
      <w:r w:rsidR="00722DA3" w:rsidRPr="00651828">
        <w:rPr>
          <w:bCs/>
          <w:sz w:val="21"/>
          <w:szCs w:val="22"/>
          <w:lang w:val="fr-CA"/>
        </w:rPr>
        <w:t>.</w:t>
      </w:r>
    </w:p>
    <w:p w14:paraId="245323E0" w14:textId="77777777" w:rsidR="00722DA3" w:rsidRPr="00651828" w:rsidRDefault="00722DA3" w:rsidP="00722DA3">
      <w:pPr>
        <w:ind w:right="44" w:firstLine="720"/>
        <w:jc w:val="both"/>
        <w:rPr>
          <w:sz w:val="21"/>
          <w:szCs w:val="22"/>
          <w:lang w:val="fr-CA"/>
        </w:rPr>
      </w:pPr>
    </w:p>
    <w:p w14:paraId="24940F2F" w14:textId="28CF4D94" w:rsidR="00722DA3" w:rsidRPr="00651828" w:rsidRDefault="004E2141" w:rsidP="00722DA3">
      <w:pPr>
        <w:ind w:right="44" w:firstLine="720"/>
        <w:jc w:val="both"/>
        <w:rPr>
          <w:sz w:val="21"/>
          <w:szCs w:val="22"/>
          <w:lang w:val="fr-CA"/>
        </w:rPr>
      </w:pPr>
      <w:r w:rsidRPr="00651828">
        <w:rPr>
          <w:sz w:val="21"/>
          <w:szCs w:val="22"/>
          <w:lang w:val="fr-CA"/>
        </w:rPr>
        <w:t xml:space="preserve">Le Secrétariat facilitera les séances d’information de l’équipe d’experts à l’intention des Parties et des autres parties prenantes, y compris les groupes régionaux, du 23 au 29 février 2020, à Rome, en Italie, en marge de la deuxième réunion du Groupe d’experts sur le cadre mondial de la biodiversité pour l’après-2020, notamment lors d’une </w:t>
      </w:r>
      <w:r w:rsidR="00093C7D">
        <w:rPr>
          <w:sz w:val="21"/>
          <w:szCs w:val="22"/>
          <w:lang w:val="fr-CA"/>
        </w:rPr>
        <w:t>réunion informative</w:t>
      </w:r>
      <w:r w:rsidRPr="00651828">
        <w:rPr>
          <w:sz w:val="21"/>
          <w:szCs w:val="22"/>
          <w:lang w:val="fr-CA"/>
        </w:rPr>
        <w:t xml:space="preserve"> qui aura lieu le mercredi 26 février 2020. L’équipe </w:t>
      </w:r>
      <w:r w:rsidR="00E578CA">
        <w:rPr>
          <w:sz w:val="21"/>
          <w:szCs w:val="22"/>
          <w:lang w:val="fr-CA"/>
        </w:rPr>
        <w:t xml:space="preserve">rencontrera également </w:t>
      </w:r>
      <w:r w:rsidRPr="00651828">
        <w:rPr>
          <w:sz w:val="21"/>
          <w:szCs w:val="22"/>
          <w:lang w:val="fr-CA"/>
        </w:rPr>
        <w:t>les représentants des Parties en marge de la réunion et par des moyens virtuels</w:t>
      </w:r>
      <w:r w:rsidR="00722DA3" w:rsidRPr="00651828">
        <w:rPr>
          <w:sz w:val="21"/>
          <w:szCs w:val="22"/>
          <w:lang w:val="fr-CA"/>
        </w:rPr>
        <w:t>.</w:t>
      </w:r>
    </w:p>
    <w:p w14:paraId="2ED6CA26" w14:textId="77777777" w:rsidR="00722DA3" w:rsidRPr="00651828" w:rsidRDefault="00722DA3" w:rsidP="00A23754">
      <w:pPr>
        <w:ind w:right="48" w:firstLine="720"/>
        <w:rPr>
          <w:sz w:val="21"/>
          <w:szCs w:val="22"/>
          <w:lang w:val="fr-CA"/>
        </w:rPr>
      </w:pPr>
    </w:p>
    <w:p w14:paraId="01C4EBD6" w14:textId="300EDB78" w:rsidR="00332A6E" w:rsidRPr="00651828" w:rsidRDefault="004E2141" w:rsidP="00A23754">
      <w:pPr>
        <w:ind w:right="48" w:firstLine="720"/>
        <w:rPr>
          <w:sz w:val="21"/>
          <w:szCs w:val="22"/>
          <w:lang w:val="fr-CA"/>
        </w:rPr>
      </w:pPr>
      <w:r w:rsidRPr="00651828">
        <w:rPr>
          <w:sz w:val="21"/>
          <w:szCs w:val="22"/>
          <w:lang w:val="fr-CA"/>
        </w:rPr>
        <w:t>Veuillez agréer, Madame, Monsieur, l’expression de mes sentiments les meilleurs.</w:t>
      </w:r>
    </w:p>
    <w:p w14:paraId="50C488BF" w14:textId="77777777" w:rsidR="00722DA3" w:rsidRPr="00651828" w:rsidRDefault="00722DA3" w:rsidP="00A23754">
      <w:pPr>
        <w:ind w:right="48" w:firstLine="720"/>
        <w:rPr>
          <w:sz w:val="21"/>
          <w:szCs w:val="22"/>
          <w:lang w:val="fr-CA"/>
        </w:rPr>
      </w:pPr>
    </w:p>
    <w:p w14:paraId="69F0CEB6" w14:textId="77777777" w:rsidR="00332A6E" w:rsidRPr="00651828" w:rsidRDefault="00545470" w:rsidP="002A22C2">
      <w:pPr>
        <w:ind w:left="5103" w:right="48"/>
        <w:jc w:val="center"/>
        <w:rPr>
          <w:sz w:val="21"/>
          <w:szCs w:val="22"/>
          <w:lang w:val="fr-CA"/>
        </w:rPr>
      </w:pPr>
      <w:r w:rsidRPr="00651828">
        <w:rPr>
          <w:sz w:val="21"/>
          <w:szCs w:val="22"/>
          <w:lang w:val="fr-CA"/>
        </w:rPr>
        <w:t xml:space="preserve">Elizabeth </w:t>
      </w:r>
      <w:proofErr w:type="spellStart"/>
      <w:r w:rsidRPr="00651828">
        <w:rPr>
          <w:sz w:val="21"/>
          <w:szCs w:val="22"/>
          <w:lang w:val="fr-CA"/>
        </w:rPr>
        <w:t>Maruma</w:t>
      </w:r>
      <w:proofErr w:type="spellEnd"/>
      <w:r w:rsidRPr="00651828">
        <w:rPr>
          <w:sz w:val="21"/>
          <w:szCs w:val="22"/>
          <w:lang w:val="fr-CA"/>
        </w:rPr>
        <w:t xml:space="preserve"> Mrema</w:t>
      </w:r>
    </w:p>
    <w:p w14:paraId="5F4A87B9" w14:textId="38B8677C" w:rsidR="00E034BA" w:rsidRPr="00651828" w:rsidRDefault="00651828" w:rsidP="00B97B71">
      <w:pPr>
        <w:ind w:left="5103" w:right="48"/>
        <w:jc w:val="center"/>
        <w:rPr>
          <w:sz w:val="21"/>
          <w:szCs w:val="22"/>
          <w:lang w:val="fr-CA"/>
        </w:rPr>
      </w:pPr>
      <w:r w:rsidRPr="00651828">
        <w:rPr>
          <w:sz w:val="21"/>
          <w:szCs w:val="22"/>
          <w:lang w:val="fr-CA"/>
        </w:rPr>
        <w:t>Secrétaire exécutive intérimaire</w:t>
      </w:r>
    </w:p>
    <w:p w14:paraId="1566E07C" w14:textId="77777777" w:rsidR="00651828" w:rsidRDefault="00651828" w:rsidP="00722DA3">
      <w:pPr>
        <w:autoSpaceDE w:val="0"/>
        <w:autoSpaceDN w:val="0"/>
        <w:adjustRightInd w:val="0"/>
        <w:jc w:val="center"/>
        <w:rPr>
          <w:rFonts w:eastAsia="Calibri"/>
          <w:i/>
          <w:color w:val="000000"/>
          <w:sz w:val="22"/>
          <w:szCs w:val="22"/>
          <w:lang w:val="fr-CA" w:eastAsia="en-US"/>
        </w:rPr>
      </w:pPr>
    </w:p>
    <w:p w14:paraId="637FC2FB" w14:textId="27BBB6DB" w:rsidR="00722DA3" w:rsidRPr="00DD7EA5" w:rsidRDefault="00722DA3" w:rsidP="00722DA3">
      <w:pPr>
        <w:autoSpaceDE w:val="0"/>
        <w:autoSpaceDN w:val="0"/>
        <w:adjustRightInd w:val="0"/>
        <w:jc w:val="center"/>
        <w:rPr>
          <w:rFonts w:eastAsia="Calibri"/>
          <w:i/>
          <w:color w:val="000000"/>
          <w:sz w:val="22"/>
          <w:szCs w:val="22"/>
          <w:lang w:val="fr-CA" w:eastAsia="en-US"/>
        </w:rPr>
      </w:pPr>
      <w:r w:rsidRPr="00DD7EA5">
        <w:rPr>
          <w:rFonts w:eastAsia="Calibri"/>
          <w:i/>
          <w:color w:val="000000"/>
          <w:sz w:val="22"/>
          <w:szCs w:val="22"/>
          <w:lang w:val="fr-CA" w:eastAsia="en-US"/>
        </w:rPr>
        <w:lastRenderedPageBreak/>
        <w:t>Annex</w:t>
      </w:r>
      <w:r w:rsidR="00093C7D">
        <w:rPr>
          <w:rFonts w:eastAsia="Calibri"/>
          <w:i/>
          <w:color w:val="000000"/>
          <w:sz w:val="22"/>
          <w:szCs w:val="22"/>
          <w:lang w:val="fr-CA" w:eastAsia="en-US"/>
        </w:rPr>
        <w:t>e</w:t>
      </w:r>
    </w:p>
    <w:p w14:paraId="376813F1" w14:textId="77777777" w:rsidR="00722DA3" w:rsidRPr="00DD7EA5" w:rsidRDefault="00722DA3" w:rsidP="00722DA3">
      <w:pPr>
        <w:autoSpaceDE w:val="0"/>
        <w:autoSpaceDN w:val="0"/>
        <w:adjustRightInd w:val="0"/>
        <w:rPr>
          <w:rFonts w:eastAsia="Calibri"/>
          <w:color w:val="000000"/>
          <w:sz w:val="22"/>
          <w:szCs w:val="22"/>
          <w:lang w:val="fr-CA" w:eastAsia="en-US"/>
        </w:rPr>
      </w:pPr>
    </w:p>
    <w:p w14:paraId="2ED1C896" w14:textId="373B6AF8" w:rsidR="00722DA3" w:rsidRPr="00143A88" w:rsidRDefault="00143A88" w:rsidP="00143A88">
      <w:pPr>
        <w:autoSpaceDE w:val="0"/>
        <w:autoSpaceDN w:val="0"/>
        <w:adjustRightInd w:val="0"/>
        <w:jc w:val="center"/>
        <w:rPr>
          <w:b/>
          <w:bCs/>
          <w:sz w:val="22"/>
          <w:lang w:val="fr-CA"/>
        </w:rPr>
      </w:pPr>
      <w:r w:rsidRPr="00143A88">
        <w:rPr>
          <w:b/>
          <w:bCs/>
          <w:sz w:val="22"/>
          <w:lang w:val="fr-CA"/>
        </w:rPr>
        <w:t xml:space="preserve">Équipe d’experts pour la préparation du rapport sur l’évaluation complète du montant des fonds nécessaires et disponibles pour l’application de la Convention pour la période </w:t>
      </w:r>
      <w:r w:rsidR="00F64559">
        <w:rPr>
          <w:b/>
          <w:bCs/>
          <w:sz w:val="22"/>
          <w:lang w:val="fr-CA"/>
        </w:rPr>
        <w:br/>
      </w:r>
      <w:r w:rsidRPr="00143A88">
        <w:rPr>
          <w:b/>
          <w:bCs/>
          <w:sz w:val="22"/>
          <w:lang w:val="fr-CA"/>
        </w:rPr>
        <w:t>juillet 2022 à juin 2026</w:t>
      </w:r>
    </w:p>
    <w:p w14:paraId="4108F9A2" w14:textId="77777777" w:rsidR="00722DA3" w:rsidRPr="00143A88" w:rsidRDefault="00722DA3" w:rsidP="00722DA3">
      <w:pPr>
        <w:autoSpaceDE w:val="0"/>
        <w:autoSpaceDN w:val="0"/>
        <w:adjustRightInd w:val="0"/>
        <w:jc w:val="both"/>
        <w:rPr>
          <w:rFonts w:eastAsia="Calibri"/>
          <w:b/>
          <w:bCs/>
          <w:color w:val="000000"/>
          <w:sz w:val="20"/>
          <w:szCs w:val="22"/>
          <w:lang w:val="fr-CA" w:eastAsia="en-US"/>
        </w:rPr>
      </w:pPr>
    </w:p>
    <w:p w14:paraId="14DDEA33" w14:textId="28E4A911" w:rsidR="00143A88" w:rsidRPr="00143A88" w:rsidRDefault="00143A88" w:rsidP="00143A88">
      <w:pPr>
        <w:autoSpaceDE w:val="0"/>
        <w:autoSpaceDN w:val="0"/>
        <w:adjustRightInd w:val="0"/>
        <w:jc w:val="both"/>
        <w:rPr>
          <w:rFonts w:eastAsia="Calibri"/>
          <w:color w:val="000000"/>
          <w:sz w:val="22"/>
          <w:lang w:val="fr-CA"/>
        </w:rPr>
      </w:pPr>
      <w:r w:rsidRPr="00143A88">
        <w:rPr>
          <w:rFonts w:eastAsia="Calibri"/>
          <w:b/>
          <w:bCs/>
          <w:color w:val="000000"/>
          <w:sz w:val="22"/>
          <w:lang w:val="fr-CA"/>
        </w:rPr>
        <w:t>Ravi Sharma</w:t>
      </w:r>
      <w:r w:rsidRPr="00143A88">
        <w:rPr>
          <w:rFonts w:eastAsia="Calibri"/>
          <w:bCs/>
          <w:color w:val="000000"/>
          <w:sz w:val="22"/>
          <w:lang w:val="fr-CA"/>
        </w:rPr>
        <w:t xml:space="preserve">, est </w:t>
      </w:r>
      <w:r w:rsidR="00F64559">
        <w:rPr>
          <w:rFonts w:eastAsia="Calibri"/>
          <w:bCs/>
          <w:color w:val="000000"/>
          <w:sz w:val="22"/>
          <w:lang w:val="fr-CA"/>
        </w:rPr>
        <w:t xml:space="preserve">un </w:t>
      </w:r>
      <w:r w:rsidRPr="00143A88">
        <w:rPr>
          <w:rFonts w:eastAsia="Calibri"/>
          <w:bCs/>
          <w:color w:val="000000"/>
          <w:sz w:val="22"/>
          <w:lang w:val="fr-CA"/>
        </w:rPr>
        <w:t>citoyen indien. Il a occupé le poste de directeur de la mise en œuvre et du soutien technique au Secrétariat de la Convention sur la diversité biologique pendant 10 ans. Il cumule 30 ans de succès en établissement de stratégies, en mise en œuvre et en défense des programmes environnementaux mondiaux et innovateurs pour le Programme des Nations Unies pour l’environnement, le Fonds pour l’environnement mondi</w:t>
      </w:r>
      <w:r w:rsidR="00F64559">
        <w:rPr>
          <w:rFonts w:eastAsia="Calibri"/>
          <w:bCs/>
          <w:color w:val="000000"/>
          <w:sz w:val="22"/>
          <w:lang w:val="fr-CA"/>
        </w:rPr>
        <w:t>al (FEM) et d</w:t>
      </w:r>
      <w:r w:rsidRPr="00143A88">
        <w:rPr>
          <w:rFonts w:eastAsia="Calibri"/>
          <w:bCs/>
          <w:color w:val="000000"/>
          <w:sz w:val="22"/>
          <w:lang w:val="fr-CA"/>
        </w:rPr>
        <w:t xml:space="preserve">es organes de réflexion en Inde et au Kenya. Au cours de cette période, il a conçu et exécuté plus de cent projets nationaux et mondiaux, régionaux et nationaux sur les changements climatiques et la biodiversité, et orchestré plus de 50 négociations sur les politiques internationales et ateliers techniques. Au cours de son service à la CBD, il a surveillé les relations de celle-ci avec le FEM et les questions de mobilisation des ressources, et il a facilité le premier et </w:t>
      </w:r>
      <w:proofErr w:type="gramStart"/>
      <w:r w:rsidRPr="00143A88">
        <w:rPr>
          <w:rFonts w:eastAsia="Calibri"/>
          <w:bCs/>
          <w:color w:val="000000"/>
          <w:sz w:val="22"/>
          <w:lang w:val="fr-CA"/>
        </w:rPr>
        <w:t>le deuxième rapports</w:t>
      </w:r>
      <w:proofErr w:type="gramEnd"/>
      <w:r w:rsidRPr="00143A88">
        <w:rPr>
          <w:rFonts w:eastAsia="Calibri"/>
          <w:bCs/>
          <w:color w:val="000000"/>
          <w:sz w:val="22"/>
          <w:lang w:val="fr-CA"/>
        </w:rPr>
        <w:t xml:space="preserve"> du Groupe d’experts de haut niveau sur l’évaluation mondiale des ressources pour la mise en œuvre du Plan stratégique pour la biodiversité 2011-2020. Il agit actuellement en tant que conseiller sur le cadre mondial de la biodiversité pour l’après-2020 auprès de groupes de conservation, </w:t>
      </w:r>
      <w:r w:rsidR="00F64559">
        <w:rPr>
          <w:rFonts w:eastAsia="Calibri"/>
          <w:bCs/>
          <w:color w:val="000000"/>
          <w:sz w:val="22"/>
          <w:lang w:val="fr-CA"/>
        </w:rPr>
        <w:t>auxquels il</w:t>
      </w:r>
      <w:r w:rsidRPr="00143A88">
        <w:rPr>
          <w:rFonts w:eastAsia="Calibri"/>
          <w:bCs/>
          <w:color w:val="000000"/>
          <w:sz w:val="22"/>
          <w:lang w:val="fr-CA"/>
        </w:rPr>
        <w:t xml:space="preserve"> offre un soutien technique pour l’examen des projets au titre d’un programme mondial sur les changements climatiques, </w:t>
      </w:r>
      <w:r w:rsidR="00F64559">
        <w:rPr>
          <w:rFonts w:eastAsia="Calibri"/>
          <w:bCs/>
          <w:color w:val="000000"/>
          <w:sz w:val="22"/>
          <w:lang w:val="fr-CA"/>
        </w:rPr>
        <w:t>fournit</w:t>
      </w:r>
      <w:r w:rsidRPr="00143A88">
        <w:rPr>
          <w:rFonts w:eastAsia="Calibri"/>
          <w:bCs/>
          <w:color w:val="000000"/>
          <w:sz w:val="22"/>
          <w:lang w:val="fr-CA"/>
        </w:rPr>
        <w:t xml:space="preserve"> une assistance dans le cadre d’un programme visant à transférer les risques par le biais d’une assurance pour les micro-cultures dans les fermes, </w:t>
      </w:r>
      <w:r w:rsidR="00F64559">
        <w:rPr>
          <w:rFonts w:eastAsia="Calibri"/>
          <w:bCs/>
          <w:color w:val="000000"/>
          <w:sz w:val="22"/>
          <w:lang w:val="fr-CA"/>
        </w:rPr>
        <w:t>et offre</w:t>
      </w:r>
      <w:r w:rsidRPr="00143A88">
        <w:rPr>
          <w:rFonts w:eastAsia="Calibri"/>
          <w:bCs/>
          <w:color w:val="000000"/>
          <w:sz w:val="22"/>
          <w:lang w:val="fr-CA"/>
        </w:rPr>
        <w:t xml:space="preserve"> aux fermiers un dédommagement découlant des chocs climatiques, etc. Il détient une maîtrise en économie et un certificat en gestion</w:t>
      </w:r>
      <w:r w:rsidR="00F64559">
        <w:rPr>
          <w:rFonts w:eastAsia="Calibri"/>
          <w:bCs/>
          <w:color w:val="000000"/>
          <w:sz w:val="22"/>
          <w:lang w:val="fr-CA"/>
        </w:rPr>
        <w:t>,</w:t>
      </w:r>
      <w:r w:rsidRPr="00143A88">
        <w:rPr>
          <w:rFonts w:eastAsia="Calibri"/>
          <w:bCs/>
          <w:color w:val="000000"/>
          <w:sz w:val="22"/>
          <w:lang w:val="fr-CA"/>
        </w:rPr>
        <w:t xml:space="preserve"> spécialisé en gestion de l’environnement</w:t>
      </w:r>
      <w:r w:rsidRPr="00143A88">
        <w:rPr>
          <w:rFonts w:eastAsia="Calibri"/>
          <w:color w:val="000000"/>
          <w:sz w:val="22"/>
          <w:lang w:val="fr-CA"/>
        </w:rPr>
        <w:t>.</w:t>
      </w:r>
    </w:p>
    <w:p w14:paraId="206E5655" w14:textId="77777777" w:rsidR="00143A88" w:rsidRPr="00143A88" w:rsidRDefault="00143A88" w:rsidP="00143A88">
      <w:pPr>
        <w:autoSpaceDE w:val="0"/>
        <w:autoSpaceDN w:val="0"/>
        <w:adjustRightInd w:val="0"/>
        <w:jc w:val="both"/>
        <w:rPr>
          <w:rFonts w:eastAsia="Calibri"/>
          <w:color w:val="000000"/>
          <w:sz w:val="22"/>
          <w:lang w:val="fr-CA"/>
        </w:rPr>
      </w:pPr>
    </w:p>
    <w:p w14:paraId="43F2D05F" w14:textId="77777777" w:rsidR="00143A88" w:rsidRPr="00143A88" w:rsidRDefault="00143A88" w:rsidP="00143A88">
      <w:pPr>
        <w:autoSpaceDE w:val="0"/>
        <w:autoSpaceDN w:val="0"/>
        <w:adjustRightInd w:val="0"/>
        <w:jc w:val="both"/>
        <w:rPr>
          <w:rFonts w:eastAsia="Calibri"/>
          <w:color w:val="000000"/>
          <w:sz w:val="22"/>
          <w:lang w:val="fr-CA"/>
        </w:rPr>
      </w:pPr>
    </w:p>
    <w:p w14:paraId="5530B004" w14:textId="19A9EA91" w:rsidR="00143A88" w:rsidRPr="00143A88" w:rsidRDefault="00143A88" w:rsidP="00143A88">
      <w:pPr>
        <w:autoSpaceDE w:val="0"/>
        <w:autoSpaceDN w:val="0"/>
        <w:adjustRightInd w:val="0"/>
        <w:jc w:val="both"/>
        <w:rPr>
          <w:rFonts w:eastAsia="Calibri"/>
          <w:b/>
          <w:bCs/>
          <w:color w:val="000000"/>
          <w:sz w:val="22"/>
          <w:lang w:val="fr-CA"/>
        </w:rPr>
      </w:pPr>
      <w:r w:rsidRPr="00143A88">
        <w:rPr>
          <w:rFonts w:eastAsia="Calibri"/>
          <w:b/>
          <w:bCs/>
          <w:color w:val="000000"/>
          <w:sz w:val="22"/>
          <w:lang w:val="fr-CA"/>
        </w:rPr>
        <w:t>Stéphanie Mansourian</w:t>
      </w:r>
      <w:r w:rsidRPr="00143A88">
        <w:rPr>
          <w:rFonts w:eastAsia="Calibri"/>
          <w:bCs/>
          <w:color w:val="000000"/>
          <w:sz w:val="22"/>
          <w:lang w:val="fr-CA"/>
        </w:rPr>
        <w:t>, est une citoyenne suisse et égyptienne</w:t>
      </w:r>
      <w:r w:rsidRPr="00143A88">
        <w:rPr>
          <w:rFonts w:eastAsia="Calibri"/>
          <w:color w:val="000000"/>
          <w:sz w:val="22"/>
          <w:lang w:val="fr-CA"/>
        </w:rPr>
        <w:t>. Elle est consultante environnementale depuis 15 ans et aussi adjointe à la recherche à l’Université de Genève. Ses travaux des 25 dernières années ont porté sur tout un éventail de sujets environnementaux tels que la restauration, la pollution de l’air, la gouvernance environnementale, les aires protégées et les partenariats de durabilité, pour n’en nommer que quelques-uns. Elle a été aux premières lignes du développement de la restauration des paysages forestiers (RPF) lorsqu’elle gérait le programme apparenté de la WWF. Depuis cette époque, elle a obtenu un doctorat portant spécifiquement sur les défis de gouvernance en lien avec la RPF, à partir de ses observations des programmes et projets de RPF. Elle utilise une approche intégrée dans ses travaux et cherche à l</w:t>
      </w:r>
      <w:r w:rsidR="006D6289">
        <w:rPr>
          <w:rFonts w:eastAsia="Calibri"/>
          <w:color w:val="000000"/>
          <w:sz w:val="22"/>
          <w:lang w:val="fr-CA"/>
        </w:rPr>
        <w:t>’</w:t>
      </w:r>
      <w:r w:rsidRPr="00143A88">
        <w:rPr>
          <w:rFonts w:eastAsia="Calibri"/>
          <w:color w:val="000000"/>
          <w:sz w:val="22"/>
          <w:lang w:val="fr-CA"/>
        </w:rPr>
        <w:t xml:space="preserve">étendre à d’autres disciplines, lorsque c’est possible. Elle agit en qualité de consultante auprès d’ONG, de conventions, d’agences de l’ONU et de fondations. Ses engagements bénévoles incluent un siège au conseil d’administration de la Fondation </w:t>
      </w:r>
      <w:proofErr w:type="spellStart"/>
      <w:r w:rsidRPr="00143A88">
        <w:rPr>
          <w:rFonts w:eastAsia="Calibri"/>
          <w:color w:val="000000"/>
          <w:sz w:val="22"/>
          <w:lang w:val="fr-CA"/>
        </w:rPr>
        <w:t>Audemars</w:t>
      </w:r>
      <w:proofErr w:type="spellEnd"/>
      <w:r w:rsidRPr="00143A88">
        <w:rPr>
          <w:rFonts w:eastAsia="Calibri"/>
          <w:color w:val="000000"/>
          <w:sz w:val="22"/>
          <w:lang w:val="fr-CA"/>
        </w:rPr>
        <w:t xml:space="preserve"> Watkins, un poste de membre de la Société de restauration écologique et un poste de coordonnatrice adjointe du Groupe de travail de l’Union internationale des instituts de recherches forestières sur la « transformation des paysages forestiers pour le futur bien-être du climat et des êtres humains ». Elle a publié trois livres et plusieurs articles dans des revues dont les articles sont examinés par des pairs. </w:t>
      </w:r>
    </w:p>
    <w:p w14:paraId="47DD6BAF" w14:textId="77777777" w:rsidR="00143A88" w:rsidRPr="00143A88" w:rsidRDefault="00143A88" w:rsidP="00143A88">
      <w:pPr>
        <w:autoSpaceDE w:val="0"/>
        <w:autoSpaceDN w:val="0"/>
        <w:adjustRightInd w:val="0"/>
        <w:jc w:val="both"/>
        <w:rPr>
          <w:rFonts w:eastAsia="Calibri"/>
          <w:color w:val="000000"/>
          <w:sz w:val="22"/>
          <w:lang w:val="fr-CA"/>
        </w:rPr>
      </w:pPr>
    </w:p>
    <w:p w14:paraId="1478F770" w14:textId="77777777" w:rsidR="00143A88" w:rsidRPr="00143A88" w:rsidRDefault="00143A88" w:rsidP="00143A88">
      <w:pPr>
        <w:autoSpaceDE w:val="0"/>
        <w:autoSpaceDN w:val="0"/>
        <w:adjustRightInd w:val="0"/>
        <w:jc w:val="both"/>
        <w:rPr>
          <w:rFonts w:eastAsia="Calibri"/>
          <w:color w:val="000000"/>
          <w:sz w:val="22"/>
          <w:lang w:val="fr-CA"/>
        </w:rPr>
      </w:pPr>
    </w:p>
    <w:p w14:paraId="14609311" w14:textId="7E5F88D5" w:rsidR="00722DA3" w:rsidRPr="00DD7EA5" w:rsidRDefault="00143A88" w:rsidP="00143A88">
      <w:pPr>
        <w:autoSpaceDE w:val="0"/>
        <w:autoSpaceDN w:val="0"/>
        <w:adjustRightInd w:val="0"/>
        <w:jc w:val="both"/>
        <w:rPr>
          <w:rFonts w:eastAsia="Calibri"/>
          <w:color w:val="000000"/>
          <w:sz w:val="22"/>
          <w:szCs w:val="22"/>
          <w:lang w:val="fr-CA" w:eastAsia="en-US"/>
        </w:rPr>
      </w:pPr>
      <w:r w:rsidRPr="00143A88">
        <w:rPr>
          <w:rFonts w:eastAsia="Calibri"/>
          <w:b/>
          <w:bCs/>
          <w:color w:val="000000"/>
          <w:sz w:val="22"/>
          <w:lang w:val="fr-CA"/>
        </w:rPr>
        <w:t xml:space="preserve">Yasha </w:t>
      </w:r>
      <w:bookmarkStart w:id="1" w:name="_Hlk31883307"/>
      <w:r w:rsidRPr="00143A88">
        <w:rPr>
          <w:rFonts w:eastAsia="Calibri"/>
          <w:b/>
          <w:bCs/>
          <w:color w:val="000000"/>
          <w:sz w:val="22"/>
          <w:lang w:val="fr-CA"/>
        </w:rPr>
        <w:t>Feferholtz</w:t>
      </w:r>
      <w:bookmarkEnd w:id="1"/>
      <w:r w:rsidRPr="00143A88">
        <w:rPr>
          <w:rFonts w:eastAsia="Calibri"/>
          <w:bCs/>
          <w:color w:val="000000"/>
          <w:sz w:val="22"/>
          <w:lang w:val="fr-CA"/>
        </w:rPr>
        <w:t xml:space="preserve">, citoyen du Chili, est </w:t>
      </w:r>
      <w:proofErr w:type="spellStart"/>
      <w:r w:rsidRPr="00143A88">
        <w:rPr>
          <w:rFonts w:eastAsia="Calibri"/>
          <w:bCs/>
          <w:color w:val="000000"/>
          <w:sz w:val="22"/>
          <w:lang w:val="fr-CA"/>
        </w:rPr>
        <w:t>fellow</w:t>
      </w:r>
      <w:proofErr w:type="spellEnd"/>
      <w:r w:rsidRPr="00143A88">
        <w:rPr>
          <w:rFonts w:eastAsia="Calibri"/>
          <w:bCs/>
          <w:color w:val="000000"/>
          <w:sz w:val="22"/>
          <w:lang w:val="fr-CA"/>
        </w:rPr>
        <w:t xml:space="preserve"> à </w:t>
      </w:r>
      <w:proofErr w:type="spellStart"/>
      <w:r w:rsidRPr="00143A88">
        <w:rPr>
          <w:rFonts w:eastAsia="Calibri"/>
          <w:bCs/>
          <w:color w:val="000000"/>
          <w:sz w:val="22"/>
          <w:lang w:val="fr-CA"/>
        </w:rPr>
        <w:t>EcoHealth</w:t>
      </w:r>
      <w:proofErr w:type="spellEnd"/>
      <w:r w:rsidRPr="00143A88">
        <w:rPr>
          <w:rFonts w:eastAsia="Calibri"/>
          <w:bCs/>
          <w:color w:val="000000"/>
          <w:sz w:val="22"/>
          <w:lang w:val="fr-CA"/>
        </w:rPr>
        <w:t xml:space="preserve"> Alliance, où il consacre ses efforts et offre ses conseils sur des projets financés par USAID et DTRA pour le développement durable et la santé économique en Indonésie, en Malaisie, en Thaïlande, en Afrique du Sud, au Bangladesh et au Liberia. Il réalise régulièrement des analyses économiques pour promouvoir des politiques sur le développement durable et la conservation dans les projets mondiaux. Yasha a dirigé des études sur l’impact économique des maladies infectieuses en émergence, l’allocation de ressources mondiales au projet mondial sur le </w:t>
      </w:r>
      <w:proofErr w:type="spellStart"/>
      <w:r w:rsidRPr="00143A88">
        <w:rPr>
          <w:rFonts w:eastAsia="Calibri"/>
          <w:bCs/>
          <w:color w:val="000000"/>
          <w:sz w:val="22"/>
          <w:lang w:val="fr-CA"/>
        </w:rPr>
        <w:t>virome</w:t>
      </w:r>
      <w:proofErr w:type="spellEnd"/>
      <w:r w:rsidRPr="00143A88">
        <w:rPr>
          <w:rFonts w:eastAsia="Calibri"/>
          <w:bCs/>
          <w:color w:val="000000"/>
          <w:sz w:val="22"/>
          <w:lang w:val="fr-CA"/>
        </w:rPr>
        <w:t xml:space="preserve"> humain, l’établissement de la valeur économique des services écosystémiques des forêts et de la santé, les analyses coûts-avantages pour le virus de la rage en Asie et le virus de la fièvre de la vallée du Rift en Afrique, les impacts économiques du commerce mondial d’espèces sauvages, et la modélisation intégrée des évaluations pour comprendre les impacts environnementaux de la dégradation  des ressources naturelles. La plupart de ses travaux sont appliqués aux politiques publiques. Il est coauteur de plusieurs articles et rapports examinés par des pairs dans les domaines du développement économique durable, de la conservation et de la santé. </w:t>
      </w:r>
      <w:r w:rsidRPr="00143A88">
        <w:rPr>
          <w:rFonts w:eastAsia="Calibri"/>
          <w:bCs/>
          <w:color w:val="000000"/>
          <w:sz w:val="22"/>
          <w:lang w:val="fr-CA"/>
        </w:rPr>
        <w:lastRenderedPageBreak/>
        <w:t xml:space="preserve">Après obtenu son diplôme en finances, Yasha a obtenu un doctorat en économie, spécialisé en économie expérientielle comportementale, de l’Université du Wyoming grâce à une bourse </w:t>
      </w:r>
      <w:proofErr w:type="spellStart"/>
      <w:r w:rsidRPr="00143A88">
        <w:rPr>
          <w:rFonts w:eastAsia="Calibri"/>
          <w:bCs/>
          <w:color w:val="000000"/>
          <w:sz w:val="22"/>
          <w:lang w:val="fr-CA"/>
        </w:rPr>
        <w:t>Fullb</w:t>
      </w:r>
      <w:r>
        <w:rPr>
          <w:rFonts w:eastAsia="Calibri"/>
          <w:bCs/>
          <w:color w:val="000000"/>
          <w:sz w:val="22"/>
          <w:lang w:val="fr-CA"/>
        </w:rPr>
        <w:t>right</w:t>
      </w:r>
      <w:proofErr w:type="spellEnd"/>
      <w:r w:rsidR="00722DA3" w:rsidRPr="00DD7EA5">
        <w:rPr>
          <w:rFonts w:eastAsia="Calibri"/>
          <w:color w:val="000000"/>
          <w:sz w:val="22"/>
          <w:szCs w:val="22"/>
          <w:lang w:val="fr-CA" w:eastAsia="en-US"/>
        </w:rPr>
        <w:t>.</w:t>
      </w:r>
    </w:p>
    <w:p w14:paraId="75EB6B49" w14:textId="77777777" w:rsidR="00722DA3" w:rsidRPr="00DD7EA5" w:rsidRDefault="00722DA3" w:rsidP="00722DA3">
      <w:pPr>
        <w:ind w:right="43"/>
        <w:rPr>
          <w:sz w:val="22"/>
          <w:szCs w:val="22"/>
          <w:lang w:val="fr-CA"/>
        </w:rPr>
      </w:pPr>
    </w:p>
    <w:sectPr w:rsidR="00722DA3" w:rsidRPr="00DD7EA5" w:rsidSect="00A312D8">
      <w:headerReference w:type="first" r:id="rId8"/>
      <w:footerReference w:type="first" r:id="rId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771FA" w14:textId="77777777" w:rsidR="009D10AC" w:rsidRDefault="009D10AC">
      <w:r>
        <w:separator/>
      </w:r>
    </w:p>
  </w:endnote>
  <w:endnote w:type="continuationSeparator" w:id="0">
    <w:p w14:paraId="4CAB1035" w14:textId="77777777" w:rsidR="009D10AC" w:rsidRDefault="009D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993" w:type="dxa"/>
      <w:tblBorders>
        <w:insideH w:val="single" w:sz="4" w:space="0" w:color="auto"/>
      </w:tblBorders>
      <w:tblLayout w:type="fixed"/>
      <w:tblLook w:val="04A0" w:firstRow="1" w:lastRow="0" w:firstColumn="1" w:lastColumn="0" w:noHBand="0" w:noVBand="1"/>
    </w:tblPr>
    <w:tblGrid>
      <w:gridCol w:w="1702"/>
      <w:gridCol w:w="2981"/>
      <w:gridCol w:w="5382"/>
      <w:gridCol w:w="1134"/>
    </w:tblGrid>
    <w:tr w:rsidR="00B736AD" w:rsidRPr="00093C7D" w14:paraId="3E75C318" w14:textId="77777777" w:rsidTr="00B736AD">
      <w:trPr>
        <w:trHeight w:val="1205"/>
      </w:trPr>
      <w:tc>
        <w:tcPr>
          <w:tcW w:w="11199" w:type="dxa"/>
          <w:gridSpan w:val="4"/>
          <w:shd w:val="clear" w:color="auto" w:fill="auto"/>
          <w:vAlign w:val="bottom"/>
        </w:tcPr>
        <w:p w14:paraId="1EFC6702" w14:textId="70C74555" w:rsidR="00B736AD" w:rsidRPr="00D00F65" w:rsidRDefault="00093C7D" w:rsidP="00093C7D">
          <w:pPr>
            <w:ind w:left="705"/>
            <w:rPr>
              <w:sz w:val="22"/>
              <w:szCs w:val="22"/>
              <w:lang w:val="fr-FR"/>
            </w:rPr>
          </w:pPr>
          <w:r>
            <w:rPr>
              <w:sz w:val="22"/>
              <w:szCs w:val="22"/>
              <w:lang w:val="fr-FR"/>
            </w:rPr>
            <w:t>Destinataires : Correspondants nationaux de la CDB, correspondants nationaux de l’accès et du partage des avantages, correspondants nationaux du Protocole de Cartagena</w:t>
          </w:r>
        </w:p>
        <w:p w14:paraId="54086DAD" w14:textId="77777777" w:rsidR="00B736AD" w:rsidRPr="00D00F65" w:rsidRDefault="00B736AD" w:rsidP="00B736AD">
          <w:pPr>
            <w:ind w:firstLine="743"/>
            <w:rPr>
              <w:sz w:val="22"/>
              <w:szCs w:val="22"/>
              <w:lang w:val="fr-FR"/>
            </w:rPr>
          </w:pPr>
        </w:p>
        <w:p w14:paraId="6264574B" w14:textId="77777777" w:rsidR="00B736AD" w:rsidRPr="00D5706D" w:rsidRDefault="00B736AD" w:rsidP="00B736AD">
          <w:pPr>
            <w:ind w:firstLine="743"/>
            <w:rPr>
              <w:lang w:val="fr-FR"/>
            </w:rPr>
          </w:pPr>
        </w:p>
      </w:tc>
    </w:tr>
    <w:tr w:rsidR="00B736AD" w:rsidRPr="00D5706D" w14:paraId="78ABA97C" w14:textId="77777777" w:rsidTr="00B736AD">
      <w:trPr>
        <w:trHeight w:val="1205"/>
      </w:trPr>
      <w:tc>
        <w:tcPr>
          <w:tcW w:w="1702" w:type="dxa"/>
          <w:shd w:val="clear" w:color="auto" w:fill="auto"/>
          <w:vAlign w:val="bottom"/>
        </w:tcPr>
        <w:p w14:paraId="46CA4A4F" w14:textId="054AAB1F" w:rsidR="00B736AD" w:rsidRPr="00D5706D" w:rsidRDefault="00B736AD" w:rsidP="00B736AD">
          <w:pPr>
            <w:rPr>
              <w:lang w:val="fr-FR"/>
            </w:rPr>
          </w:pPr>
          <w:r>
            <w:rPr>
              <w:noProof/>
              <w:lang w:val="fr-CA" w:eastAsia="fr-CA"/>
            </w:rPr>
            <w:drawing>
              <wp:inline distT="0" distB="0" distL="0" distR="0" wp14:anchorId="2ADA00EE" wp14:editId="1E24CFF5">
                <wp:extent cx="958215" cy="5410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541020"/>
                        </a:xfrm>
                        <a:prstGeom prst="rect">
                          <a:avLst/>
                        </a:prstGeom>
                        <a:noFill/>
                        <a:ln>
                          <a:noFill/>
                        </a:ln>
                      </pic:spPr>
                    </pic:pic>
                  </a:graphicData>
                </a:graphic>
              </wp:inline>
            </w:drawing>
          </w:r>
        </w:p>
      </w:tc>
      <w:tc>
        <w:tcPr>
          <w:tcW w:w="2981" w:type="dxa"/>
          <w:shd w:val="clear" w:color="auto" w:fill="auto"/>
          <w:vAlign w:val="bottom"/>
        </w:tcPr>
        <w:p w14:paraId="59918354" w14:textId="5ECB2F23" w:rsidR="00B736AD" w:rsidRPr="00D5706D" w:rsidRDefault="00B736AD" w:rsidP="00B736AD">
          <w:pPr>
            <w:jc w:val="center"/>
            <w:rPr>
              <w:lang w:val="fr-FR"/>
            </w:rPr>
          </w:pPr>
          <w:r w:rsidRPr="00825AE6">
            <w:rPr>
              <w:noProof/>
              <w:lang w:val="fr-CA" w:eastAsia="fr-CA"/>
            </w:rPr>
            <w:drawing>
              <wp:inline distT="0" distB="0" distL="0" distR="0" wp14:anchorId="0862686E" wp14:editId="6EAF8697">
                <wp:extent cx="1558290" cy="577850"/>
                <wp:effectExtent l="0" t="0" r="3810" b="0"/>
                <wp:docPr id="4" name="Image 4" descr="CBD_logo_fr-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BD_logo_fr-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577850"/>
                        </a:xfrm>
                        <a:prstGeom prst="rect">
                          <a:avLst/>
                        </a:prstGeom>
                        <a:noFill/>
                        <a:ln>
                          <a:noFill/>
                        </a:ln>
                      </pic:spPr>
                    </pic:pic>
                  </a:graphicData>
                </a:graphic>
              </wp:inline>
            </w:drawing>
          </w:r>
        </w:p>
      </w:tc>
      <w:tc>
        <w:tcPr>
          <w:tcW w:w="5382" w:type="dxa"/>
          <w:shd w:val="clear" w:color="auto" w:fill="auto"/>
          <w:vAlign w:val="bottom"/>
        </w:tcPr>
        <w:p w14:paraId="3E68040F" w14:textId="77777777" w:rsidR="00B736AD" w:rsidRPr="00D5706D" w:rsidRDefault="00B736AD" w:rsidP="00B736AD">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Secrétariat de la Convention sur la diversité biologique</w:t>
          </w:r>
        </w:p>
        <w:p w14:paraId="3770856C" w14:textId="77777777" w:rsidR="00B736AD" w:rsidRPr="00D5706D" w:rsidRDefault="00B736AD" w:rsidP="00B736AD">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Prog</w:t>
          </w:r>
          <w:r>
            <w:rPr>
              <w:rFonts w:ascii="Arial" w:hAnsi="Arial" w:cs="Arial"/>
              <w:color w:val="7F7F7F"/>
              <w:sz w:val="16"/>
              <w:szCs w:val="16"/>
              <w:lang w:val="fr-FR"/>
            </w:rPr>
            <w:t>ramme des Nations Unies pour l’e</w:t>
          </w:r>
          <w:r w:rsidRPr="00D5706D">
            <w:rPr>
              <w:rFonts w:ascii="Arial" w:hAnsi="Arial" w:cs="Arial"/>
              <w:color w:val="7F7F7F"/>
              <w:sz w:val="16"/>
              <w:szCs w:val="16"/>
              <w:lang w:val="fr-FR"/>
            </w:rPr>
            <w:t>nvironnement</w:t>
          </w:r>
        </w:p>
        <w:p w14:paraId="72BB4F22" w14:textId="77777777" w:rsidR="00B736AD" w:rsidRPr="00D5706D" w:rsidRDefault="00B736AD" w:rsidP="00B736AD">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 xml:space="preserve">413 rue Saint-Jacques, </w:t>
          </w:r>
          <w:r>
            <w:rPr>
              <w:rFonts w:ascii="Arial" w:hAnsi="Arial" w:cs="Arial"/>
              <w:color w:val="7F7F7F"/>
              <w:sz w:val="16"/>
              <w:szCs w:val="16"/>
              <w:lang w:val="fr-FR"/>
            </w:rPr>
            <w:t>Bureau</w:t>
          </w:r>
          <w:r w:rsidRPr="00D5706D">
            <w:rPr>
              <w:rFonts w:ascii="Arial" w:hAnsi="Arial" w:cs="Arial"/>
              <w:color w:val="7F7F7F"/>
              <w:sz w:val="16"/>
              <w:szCs w:val="16"/>
              <w:lang w:val="fr-FR"/>
            </w:rPr>
            <w:t xml:space="preserve"> 800, Montréal, QC, H2Y 1N9, Canada</w:t>
          </w:r>
        </w:p>
        <w:p w14:paraId="16D7AF75" w14:textId="77777777" w:rsidR="00B736AD" w:rsidRPr="00272014" w:rsidRDefault="00B736AD" w:rsidP="00B736AD">
          <w:pPr>
            <w:pStyle w:val="Footer"/>
            <w:ind w:left="317" w:hanging="284"/>
            <w:rPr>
              <w:rFonts w:ascii="Arial" w:hAnsi="Arial" w:cs="Arial"/>
              <w:color w:val="7F7F7F"/>
              <w:sz w:val="16"/>
              <w:szCs w:val="16"/>
              <w:lang w:val="fr-FR"/>
            </w:rPr>
          </w:pPr>
          <w:r w:rsidRPr="00272014">
            <w:rPr>
              <w:rFonts w:ascii="Arial" w:hAnsi="Arial" w:cs="Arial"/>
              <w:color w:val="7F7F7F"/>
              <w:sz w:val="16"/>
              <w:szCs w:val="16"/>
              <w:lang w:val="fr-FR"/>
            </w:rPr>
            <w:t xml:space="preserve">Tél : +1 514 288 </w:t>
          </w:r>
          <w:proofErr w:type="gramStart"/>
          <w:r w:rsidRPr="00272014">
            <w:rPr>
              <w:rFonts w:ascii="Arial" w:hAnsi="Arial" w:cs="Arial"/>
              <w:color w:val="7F7F7F"/>
              <w:sz w:val="16"/>
              <w:szCs w:val="16"/>
              <w:lang w:val="fr-FR"/>
            </w:rPr>
            <w:t xml:space="preserve">2220,   </w:t>
          </w:r>
          <w:proofErr w:type="gramEnd"/>
          <w:r w:rsidRPr="00272014">
            <w:rPr>
              <w:rFonts w:ascii="Arial" w:hAnsi="Arial" w:cs="Arial"/>
              <w:color w:val="7F7F7F"/>
              <w:sz w:val="16"/>
              <w:szCs w:val="16"/>
              <w:lang w:val="fr-FR"/>
            </w:rPr>
            <w:t>Fax : +1 514 288 6588</w:t>
          </w:r>
        </w:p>
        <w:p w14:paraId="6B72E8C1" w14:textId="77777777" w:rsidR="00B736AD" w:rsidRPr="00825AE6" w:rsidRDefault="003043E5" w:rsidP="00B736AD">
          <w:pPr>
            <w:ind w:left="317" w:hanging="284"/>
            <w:rPr>
              <w:color w:val="009B48"/>
              <w:lang w:val="fr-FR"/>
            </w:rPr>
          </w:pPr>
          <w:hyperlink r:id="rId3" w:history="1">
            <w:r w:rsidR="00B736AD" w:rsidRPr="00272014">
              <w:rPr>
                <w:rStyle w:val="Hyperlink"/>
                <w:rFonts w:ascii="Arial" w:hAnsi="Arial" w:cs="Arial"/>
                <w:color w:val="7F7F7F"/>
                <w:sz w:val="16"/>
                <w:szCs w:val="16"/>
                <w:u w:val="none"/>
                <w:lang w:val="fr-FR"/>
              </w:rPr>
              <w:t>secretariat@cbd.int</w:t>
            </w:r>
          </w:hyperlink>
          <w:r w:rsidR="00B736AD" w:rsidRPr="00272014">
            <w:rPr>
              <w:rFonts w:ascii="Arial" w:hAnsi="Arial" w:cs="Arial"/>
              <w:color w:val="7F7F7F"/>
              <w:sz w:val="16"/>
              <w:szCs w:val="16"/>
              <w:lang w:val="fr-FR"/>
            </w:rPr>
            <w:t xml:space="preserve">        </w:t>
          </w:r>
          <w:hyperlink r:id="rId4" w:history="1">
            <w:r w:rsidR="00B736AD" w:rsidRPr="00272014">
              <w:rPr>
                <w:rStyle w:val="Hyperlink"/>
                <w:rFonts w:ascii="Arial" w:hAnsi="Arial" w:cs="Arial"/>
                <w:bCs/>
                <w:color w:val="7F7F7F"/>
                <w:sz w:val="16"/>
                <w:szCs w:val="16"/>
                <w:u w:val="none"/>
                <w:lang w:val="fr-FR"/>
              </w:rPr>
              <w:t>www.cbd.int</w:t>
            </w:r>
          </w:hyperlink>
        </w:p>
      </w:tc>
      <w:tc>
        <w:tcPr>
          <w:tcW w:w="1134" w:type="dxa"/>
          <w:shd w:val="clear" w:color="auto" w:fill="auto"/>
          <w:vAlign w:val="bottom"/>
        </w:tcPr>
        <w:p w14:paraId="3258185E" w14:textId="2B768AA7" w:rsidR="00B736AD" w:rsidRPr="00D5706D" w:rsidRDefault="00B736AD" w:rsidP="00B736AD">
          <w:pPr>
            <w:jc w:val="center"/>
            <w:rPr>
              <w:lang w:val="fr-FR"/>
            </w:rPr>
          </w:pPr>
          <w:r w:rsidRPr="00825AE6">
            <w:rPr>
              <w:noProof/>
              <w:lang w:val="fr-CA" w:eastAsia="fr-CA"/>
            </w:rPr>
            <w:drawing>
              <wp:inline distT="0" distB="0" distL="0" distR="0" wp14:anchorId="424CFFC1" wp14:editId="4C4FC648">
                <wp:extent cx="629285" cy="643890"/>
                <wp:effectExtent l="0" t="0" r="0" b="3810"/>
                <wp:docPr id="3" name="Image 3"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285" cy="643890"/>
                        </a:xfrm>
                        <a:prstGeom prst="rect">
                          <a:avLst/>
                        </a:prstGeom>
                        <a:noFill/>
                        <a:ln>
                          <a:noFill/>
                        </a:ln>
                      </pic:spPr>
                    </pic:pic>
                  </a:graphicData>
                </a:graphic>
              </wp:inline>
            </w:drawing>
          </w:r>
        </w:p>
      </w:tc>
    </w:tr>
  </w:tbl>
  <w:p w14:paraId="3B611AFE" w14:textId="77777777"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03490" w14:textId="77777777" w:rsidR="009D10AC" w:rsidRDefault="009D10AC">
      <w:r>
        <w:separator/>
      </w:r>
    </w:p>
  </w:footnote>
  <w:footnote w:type="continuationSeparator" w:id="0">
    <w:p w14:paraId="109305F3" w14:textId="77777777" w:rsidR="009D10AC" w:rsidRDefault="009D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C10F" w14:textId="085D03B5" w:rsidR="005E2407" w:rsidRDefault="00B736AD" w:rsidP="00C97C2D">
    <w:pPr>
      <w:pStyle w:val="Header"/>
      <w:tabs>
        <w:tab w:val="clear" w:pos="8640"/>
        <w:tab w:val="right" w:pos="10260"/>
      </w:tabs>
      <w:spacing w:line="480" w:lineRule="auto"/>
      <w:ind w:left="-1260" w:right="-856"/>
      <w:jc w:val="center"/>
      <w:rPr>
        <w:rFonts w:ascii="Arial" w:hAnsi="Arial" w:cs="Arial"/>
        <w:sz w:val="32"/>
        <w:szCs w:val="32"/>
      </w:rPr>
    </w:pPr>
    <w:r w:rsidRPr="00825AE6">
      <w:rPr>
        <w:rFonts w:ascii="Arial" w:hAnsi="Arial" w:cs="Arial"/>
        <w:noProof/>
        <w:sz w:val="12"/>
        <w:szCs w:val="12"/>
        <w:lang w:val="fr-CA" w:eastAsia="fr-CA"/>
      </w:rPr>
      <w:drawing>
        <wp:inline distT="0" distB="0" distL="0" distR="0" wp14:anchorId="1EFD061B" wp14:editId="4C8B1C16">
          <wp:extent cx="5494020" cy="1243330"/>
          <wp:effectExtent l="0" t="0" r="0" b="0"/>
          <wp:docPr id="2" name="Image 2" descr="UNDB+UN-logo-f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B+UN-logo-fr-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1243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0A"/>
    <w:rsid w:val="000040A3"/>
    <w:rsid w:val="0000434A"/>
    <w:rsid w:val="00006EE2"/>
    <w:rsid w:val="00011B7A"/>
    <w:rsid w:val="0001655B"/>
    <w:rsid w:val="00020CB7"/>
    <w:rsid w:val="000320A2"/>
    <w:rsid w:val="0003415D"/>
    <w:rsid w:val="00036B85"/>
    <w:rsid w:val="00053583"/>
    <w:rsid w:val="00060F26"/>
    <w:rsid w:val="00077FA0"/>
    <w:rsid w:val="00082816"/>
    <w:rsid w:val="0008645F"/>
    <w:rsid w:val="00090581"/>
    <w:rsid w:val="00092FD3"/>
    <w:rsid w:val="00093C7D"/>
    <w:rsid w:val="000A11C3"/>
    <w:rsid w:val="000A1EAF"/>
    <w:rsid w:val="000B6228"/>
    <w:rsid w:val="000D108B"/>
    <w:rsid w:val="000D7D0C"/>
    <w:rsid w:val="000F3103"/>
    <w:rsid w:val="000F4087"/>
    <w:rsid w:val="0011369D"/>
    <w:rsid w:val="001208DE"/>
    <w:rsid w:val="00143A88"/>
    <w:rsid w:val="00143B01"/>
    <w:rsid w:val="0015225E"/>
    <w:rsid w:val="0015677E"/>
    <w:rsid w:val="00166C0B"/>
    <w:rsid w:val="00170A3F"/>
    <w:rsid w:val="00175214"/>
    <w:rsid w:val="001771FC"/>
    <w:rsid w:val="001A7B51"/>
    <w:rsid w:val="001B7642"/>
    <w:rsid w:val="001C227C"/>
    <w:rsid w:val="001D3754"/>
    <w:rsid w:val="001E3616"/>
    <w:rsid w:val="001E3E11"/>
    <w:rsid w:val="00203867"/>
    <w:rsid w:val="00215E58"/>
    <w:rsid w:val="00230AB4"/>
    <w:rsid w:val="002324A3"/>
    <w:rsid w:val="00232CAF"/>
    <w:rsid w:val="002375F3"/>
    <w:rsid w:val="00244FE0"/>
    <w:rsid w:val="00247402"/>
    <w:rsid w:val="0025443E"/>
    <w:rsid w:val="0027139D"/>
    <w:rsid w:val="00282346"/>
    <w:rsid w:val="00290379"/>
    <w:rsid w:val="002A22C2"/>
    <w:rsid w:val="002A6DA8"/>
    <w:rsid w:val="002B13B4"/>
    <w:rsid w:val="002B5527"/>
    <w:rsid w:val="002D065D"/>
    <w:rsid w:val="002D310B"/>
    <w:rsid w:val="002E2030"/>
    <w:rsid w:val="003043E5"/>
    <w:rsid w:val="00332A6E"/>
    <w:rsid w:val="00333F18"/>
    <w:rsid w:val="0038536F"/>
    <w:rsid w:val="003E1ABB"/>
    <w:rsid w:val="003E4430"/>
    <w:rsid w:val="003F5EC1"/>
    <w:rsid w:val="00404BD3"/>
    <w:rsid w:val="0041140F"/>
    <w:rsid w:val="004175DB"/>
    <w:rsid w:val="0043164D"/>
    <w:rsid w:val="00442405"/>
    <w:rsid w:val="00454CE8"/>
    <w:rsid w:val="00460635"/>
    <w:rsid w:val="00487C28"/>
    <w:rsid w:val="004B1B6C"/>
    <w:rsid w:val="004C24C4"/>
    <w:rsid w:val="004E0928"/>
    <w:rsid w:val="004E2141"/>
    <w:rsid w:val="004E4BCF"/>
    <w:rsid w:val="004F7AE1"/>
    <w:rsid w:val="00503485"/>
    <w:rsid w:val="00520CB7"/>
    <w:rsid w:val="0052237C"/>
    <w:rsid w:val="005242F3"/>
    <w:rsid w:val="00545470"/>
    <w:rsid w:val="005469ED"/>
    <w:rsid w:val="0055668B"/>
    <w:rsid w:val="005628A5"/>
    <w:rsid w:val="005824FC"/>
    <w:rsid w:val="005833B3"/>
    <w:rsid w:val="005932D5"/>
    <w:rsid w:val="005A4C12"/>
    <w:rsid w:val="005A6CCC"/>
    <w:rsid w:val="005B7F08"/>
    <w:rsid w:val="005C1910"/>
    <w:rsid w:val="005C3F60"/>
    <w:rsid w:val="005E2407"/>
    <w:rsid w:val="005F1059"/>
    <w:rsid w:val="00600804"/>
    <w:rsid w:val="006012D3"/>
    <w:rsid w:val="006056FD"/>
    <w:rsid w:val="00610ECF"/>
    <w:rsid w:val="006210F2"/>
    <w:rsid w:val="00624C82"/>
    <w:rsid w:val="00626CE8"/>
    <w:rsid w:val="006313C1"/>
    <w:rsid w:val="00640CBB"/>
    <w:rsid w:val="00651828"/>
    <w:rsid w:val="00657FE3"/>
    <w:rsid w:val="00661157"/>
    <w:rsid w:val="006618C3"/>
    <w:rsid w:val="0066256B"/>
    <w:rsid w:val="00662B1E"/>
    <w:rsid w:val="00676A1A"/>
    <w:rsid w:val="006836A4"/>
    <w:rsid w:val="00685FE5"/>
    <w:rsid w:val="00687F86"/>
    <w:rsid w:val="006D5291"/>
    <w:rsid w:val="006D6289"/>
    <w:rsid w:val="006F40ED"/>
    <w:rsid w:val="00722DA3"/>
    <w:rsid w:val="00744991"/>
    <w:rsid w:val="00753AA9"/>
    <w:rsid w:val="00762B8A"/>
    <w:rsid w:val="0079367D"/>
    <w:rsid w:val="007A24E9"/>
    <w:rsid w:val="007C0C1B"/>
    <w:rsid w:val="007D13B8"/>
    <w:rsid w:val="007D487C"/>
    <w:rsid w:val="007D4D41"/>
    <w:rsid w:val="007F6AD7"/>
    <w:rsid w:val="00801D1A"/>
    <w:rsid w:val="00804363"/>
    <w:rsid w:val="0080564A"/>
    <w:rsid w:val="00832E1E"/>
    <w:rsid w:val="0083724E"/>
    <w:rsid w:val="00840313"/>
    <w:rsid w:val="008911E7"/>
    <w:rsid w:val="00897531"/>
    <w:rsid w:val="008B0624"/>
    <w:rsid w:val="008E5267"/>
    <w:rsid w:val="008E7230"/>
    <w:rsid w:val="009045A8"/>
    <w:rsid w:val="00926145"/>
    <w:rsid w:val="00934FC7"/>
    <w:rsid w:val="00945444"/>
    <w:rsid w:val="00985B44"/>
    <w:rsid w:val="009C24C2"/>
    <w:rsid w:val="009D0254"/>
    <w:rsid w:val="009D10AC"/>
    <w:rsid w:val="009F28E0"/>
    <w:rsid w:val="00A030C6"/>
    <w:rsid w:val="00A06B58"/>
    <w:rsid w:val="00A126EF"/>
    <w:rsid w:val="00A16711"/>
    <w:rsid w:val="00A23754"/>
    <w:rsid w:val="00A312D8"/>
    <w:rsid w:val="00A35A86"/>
    <w:rsid w:val="00A37EC6"/>
    <w:rsid w:val="00A62047"/>
    <w:rsid w:val="00A8207D"/>
    <w:rsid w:val="00AA45C5"/>
    <w:rsid w:val="00AC73F7"/>
    <w:rsid w:val="00AE6FEC"/>
    <w:rsid w:val="00AF5037"/>
    <w:rsid w:val="00AF67BA"/>
    <w:rsid w:val="00AF799F"/>
    <w:rsid w:val="00B02B94"/>
    <w:rsid w:val="00B06B2E"/>
    <w:rsid w:val="00B2362A"/>
    <w:rsid w:val="00B411D0"/>
    <w:rsid w:val="00B61B0A"/>
    <w:rsid w:val="00B64489"/>
    <w:rsid w:val="00B65D31"/>
    <w:rsid w:val="00B736AD"/>
    <w:rsid w:val="00B7612C"/>
    <w:rsid w:val="00B76BE3"/>
    <w:rsid w:val="00B90127"/>
    <w:rsid w:val="00B93D50"/>
    <w:rsid w:val="00B97B71"/>
    <w:rsid w:val="00BA2ADB"/>
    <w:rsid w:val="00BA4A0A"/>
    <w:rsid w:val="00BC09B3"/>
    <w:rsid w:val="00BC3D9A"/>
    <w:rsid w:val="00C0100A"/>
    <w:rsid w:val="00C03362"/>
    <w:rsid w:val="00C041B3"/>
    <w:rsid w:val="00C06EC7"/>
    <w:rsid w:val="00C65852"/>
    <w:rsid w:val="00C65EF1"/>
    <w:rsid w:val="00C73F78"/>
    <w:rsid w:val="00C9464F"/>
    <w:rsid w:val="00C96096"/>
    <w:rsid w:val="00C97C2D"/>
    <w:rsid w:val="00CA3CDA"/>
    <w:rsid w:val="00CB31A6"/>
    <w:rsid w:val="00CE4AB1"/>
    <w:rsid w:val="00CF16C6"/>
    <w:rsid w:val="00D12340"/>
    <w:rsid w:val="00D17C13"/>
    <w:rsid w:val="00D22EF4"/>
    <w:rsid w:val="00D45BE9"/>
    <w:rsid w:val="00D5253A"/>
    <w:rsid w:val="00D72B8D"/>
    <w:rsid w:val="00D8033C"/>
    <w:rsid w:val="00D95C47"/>
    <w:rsid w:val="00DB2493"/>
    <w:rsid w:val="00DC2823"/>
    <w:rsid w:val="00DC466F"/>
    <w:rsid w:val="00DC7317"/>
    <w:rsid w:val="00DD7EA5"/>
    <w:rsid w:val="00E034BA"/>
    <w:rsid w:val="00E14C4F"/>
    <w:rsid w:val="00E47EE6"/>
    <w:rsid w:val="00E578CA"/>
    <w:rsid w:val="00E6426D"/>
    <w:rsid w:val="00E74140"/>
    <w:rsid w:val="00E80F46"/>
    <w:rsid w:val="00E97373"/>
    <w:rsid w:val="00EA18E2"/>
    <w:rsid w:val="00EE06D2"/>
    <w:rsid w:val="00EE75E8"/>
    <w:rsid w:val="00EF3E46"/>
    <w:rsid w:val="00F35F42"/>
    <w:rsid w:val="00F5301C"/>
    <w:rsid w:val="00F55E0E"/>
    <w:rsid w:val="00F60126"/>
    <w:rsid w:val="00F64559"/>
    <w:rsid w:val="00F80CDF"/>
    <w:rsid w:val="00F834F0"/>
    <w:rsid w:val="00FC021C"/>
    <w:rsid w:val="00FD7120"/>
    <w:rsid w:val="00FE0B76"/>
    <w:rsid w:val="00FF27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BB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styleId="CommentReference">
    <w:name w:val="annotation reference"/>
    <w:rsid w:val="00175214"/>
    <w:rPr>
      <w:sz w:val="16"/>
      <w:szCs w:val="16"/>
    </w:rPr>
  </w:style>
  <w:style w:type="paragraph" w:styleId="CommentText">
    <w:name w:val="annotation text"/>
    <w:basedOn w:val="Normal"/>
    <w:link w:val="CommentTextChar"/>
    <w:rsid w:val="00175214"/>
    <w:rPr>
      <w:sz w:val="20"/>
      <w:szCs w:val="20"/>
    </w:rPr>
  </w:style>
  <w:style w:type="character" w:customStyle="1" w:styleId="CommentTextChar">
    <w:name w:val="Comment Text Char"/>
    <w:link w:val="CommentText"/>
    <w:rsid w:val="00175214"/>
    <w:rPr>
      <w:lang w:val="en-GB"/>
    </w:rPr>
  </w:style>
  <w:style w:type="paragraph" w:styleId="CommentSubject">
    <w:name w:val="annotation subject"/>
    <w:basedOn w:val="CommentText"/>
    <w:next w:val="CommentText"/>
    <w:link w:val="CommentSubjectChar"/>
    <w:rsid w:val="00175214"/>
    <w:rPr>
      <w:b/>
      <w:bCs/>
    </w:rPr>
  </w:style>
  <w:style w:type="character" w:customStyle="1" w:styleId="CommentSubjectChar">
    <w:name w:val="Comment Subject Char"/>
    <w:link w:val="CommentSubject"/>
    <w:rsid w:val="00175214"/>
    <w:rPr>
      <w:b/>
      <w:bCs/>
      <w:lang w:val="en-GB"/>
    </w:rPr>
  </w:style>
  <w:style w:type="paragraph" w:styleId="Revision">
    <w:name w:val="Revision"/>
    <w:hidden/>
    <w:uiPriority w:val="99"/>
    <w:semiHidden/>
    <w:rsid w:val="00175214"/>
    <w:rPr>
      <w:sz w:val="24"/>
      <w:szCs w:val="24"/>
      <w:lang w:val="en-GB"/>
    </w:rPr>
  </w:style>
  <w:style w:type="character" w:customStyle="1" w:styleId="UnresolvedMention1">
    <w:name w:val="Unresolved Mention1"/>
    <w:basedOn w:val="DefaultParagraphFont"/>
    <w:uiPriority w:val="99"/>
    <w:semiHidden/>
    <w:unhideWhenUsed/>
    <w:rsid w:val="00934FC7"/>
    <w:rPr>
      <w:color w:val="605E5C"/>
      <w:shd w:val="clear" w:color="auto" w:fill="E1DFDD"/>
    </w:rPr>
  </w:style>
  <w:style w:type="character" w:styleId="FollowedHyperlink">
    <w:name w:val="FollowedHyperlink"/>
    <w:basedOn w:val="DefaultParagraphFont"/>
    <w:rsid w:val="00934FC7"/>
    <w:rPr>
      <w:color w:val="954F72" w:themeColor="followedHyperlink"/>
      <w:u w:val="single"/>
    </w:rPr>
  </w:style>
  <w:style w:type="character" w:customStyle="1" w:styleId="UnresolvedMention2">
    <w:name w:val="Unresolved Mention2"/>
    <w:basedOn w:val="DefaultParagraphFont"/>
    <w:uiPriority w:val="99"/>
    <w:semiHidden/>
    <w:unhideWhenUsed/>
    <w:rsid w:val="0028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2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bd.int/financial/gef8needs.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cbd-letterhead-cop14\cbd-letterhead-cop14-en-acting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0C96-4B15-49C8-82F6-D9605ECD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cbd-letterhead-cop14-en-actingES</Template>
  <TotalTime>0</TotalTime>
  <Pages>3</Pages>
  <Words>1133</Words>
  <Characters>6316</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7435</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2020-02-22T17:11:00Z</dcterms:created>
  <dcterms:modified xsi:type="dcterms:W3CDTF">2020-02-22T17:11:00Z</dcterms:modified>
</cp:coreProperties>
</file>