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967B1B">
        <w:rPr>
          <w:sz w:val="22"/>
          <w:szCs w:val="22"/>
          <w:lang w:val="en-US"/>
        </w:rPr>
        <w:t>Country</w:t>
      </w:r>
      <w:r w:rsidRPr="00967B1B">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14:paraId="251E730C" w14:textId="77777777" w:rsidTr="00107BE5">
        <w:tc>
          <w:tcPr>
            <w:tcW w:w="9394" w:type="dxa"/>
          </w:tcPr>
          <w:p w14:paraId="20D4F742" w14:textId="60FADC53" w:rsidR="00107BE5" w:rsidRDefault="00396170"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Syrian Arab Republic</w:t>
            </w: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Name of the </w:t>
      </w:r>
      <w:r w:rsidRPr="001F0EBF">
        <w:rPr>
          <w:sz w:val="22"/>
          <w:szCs w:val="22"/>
          <w:lang w:val="en-US"/>
        </w:rPr>
        <w:t>Institution</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7D28A3A" w14:textId="77777777" w:rsidTr="009F7A9F">
        <w:tc>
          <w:tcPr>
            <w:tcW w:w="9394" w:type="dxa"/>
          </w:tcPr>
          <w:p w14:paraId="7E21F575" w14:textId="50DC1D54" w:rsidR="009F7A9F" w:rsidRDefault="00396170"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 xml:space="preserve">Ministry of Local Administration &amp; Environment </w:t>
            </w:r>
          </w:p>
        </w:tc>
      </w:tr>
    </w:tbl>
    <w:p w14:paraId="2018FE2F" w14:textId="77777777" w:rsidR="00EB0D7D"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1.3. Name of the </w:t>
      </w:r>
      <w:r w:rsidRPr="001F0EBF">
        <w:rPr>
          <w:sz w:val="22"/>
          <w:szCs w:val="22"/>
          <w:lang w:val="en-US"/>
        </w:rPr>
        <w:t>respondent</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2F407DE" w14:textId="77777777" w:rsidTr="009F7A9F">
        <w:tc>
          <w:tcPr>
            <w:tcW w:w="9394" w:type="dxa"/>
          </w:tcPr>
          <w:p w14:paraId="7998B8BC" w14:textId="448A0A9D" w:rsidR="009F7A9F" w:rsidRDefault="00396170"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Eng. Belal ALHAYEK</w:t>
            </w:r>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Job </w:t>
      </w:r>
      <w:r w:rsidRPr="001F0EBF">
        <w:rPr>
          <w:sz w:val="22"/>
          <w:szCs w:val="22"/>
          <w:lang w:val="en-US"/>
        </w:rPr>
        <w:t>title</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962A13F" w14:textId="77777777" w:rsidTr="009F7A9F">
        <w:tc>
          <w:tcPr>
            <w:tcW w:w="9394" w:type="dxa"/>
          </w:tcPr>
          <w:p w14:paraId="5F19BC88" w14:textId="05F2D16A" w:rsidR="009F7A9F" w:rsidRDefault="00396170" w:rsidP="00EB0D7D">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Director of Biodiversity and the National Focal Point of CBD</w:t>
            </w: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Official E-mail </w:t>
      </w:r>
      <w:r w:rsidRPr="001F0EBF">
        <w:rPr>
          <w:sz w:val="22"/>
          <w:szCs w:val="22"/>
          <w:lang w:val="en-US"/>
        </w:rPr>
        <w:t>address</w:t>
      </w:r>
      <w:r w:rsidRPr="000E6BCE">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486F9EF" w14:textId="77777777" w:rsidTr="009F7A9F">
        <w:tc>
          <w:tcPr>
            <w:tcW w:w="9394" w:type="dxa"/>
          </w:tcPr>
          <w:p w14:paraId="1D4ED67B" w14:textId="3E6325B7" w:rsidR="009F7A9F" w:rsidRDefault="00396170" w:rsidP="000E6BCE">
            <w:pPr>
              <w:pStyle w:val="NoSpacing"/>
              <w:spacing w:after="120" w:line="276" w:lineRule="auto"/>
              <w:jc w:val="both"/>
              <w:rPr>
                <w:rFonts w:asciiTheme="majorBidi" w:hAnsiTheme="majorBidi" w:cstheme="majorBidi"/>
                <w:sz w:val="22"/>
                <w:szCs w:val="22"/>
              </w:rPr>
            </w:pPr>
            <w:hyperlink r:id="rId11" w:history="1">
              <w:r w:rsidRPr="00EB0C53">
                <w:rPr>
                  <w:rStyle w:val="Hyperlink"/>
                  <w:rFonts w:asciiTheme="majorBidi" w:hAnsiTheme="majorBidi" w:cstheme="majorBidi"/>
                  <w:sz w:val="22"/>
                  <w:szCs w:val="22"/>
                </w:rPr>
                <w:t>Blalhayek75@gmail.com/</w:t>
              </w:r>
            </w:hyperlink>
            <w:r>
              <w:rPr>
                <w:rFonts w:asciiTheme="majorBidi" w:hAnsiTheme="majorBidi" w:cstheme="majorBidi"/>
                <w:sz w:val="22"/>
                <w:szCs w:val="22"/>
              </w:rPr>
              <w:t xml:space="preserve"> </w:t>
            </w:r>
            <w:hyperlink r:id="rId12" w:history="1">
              <w:r w:rsidRPr="00EB0C53">
                <w:rPr>
                  <w:rStyle w:val="Hyperlink"/>
                  <w:rFonts w:asciiTheme="majorBidi" w:hAnsiTheme="majorBidi" w:cstheme="majorBidi"/>
                  <w:sz w:val="22"/>
                  <w:szCs w:val="22"/>
                </w:rPr>
                <w:t>bilal.alhayek@hotmail.com</w:t>
              </w:r>
            </w:hyperlink>
            <w:r>
              <w:rPr>
                <w:rFonts w:asciiTheme="majorBidi" w:hAnsiTheme="majorBidi" w:cstheme="majorBidi"/>
                <w:sz w:val="22"/>
                <w:szCs w:val="22"/>
              </w:rPr>
              <w:t xml:space="preserve"> </w:t>
            </w: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 Are you a designated national Focal Point in your country?</w:t>
      </w:r>
    </w:p>
    <w:p w14:paraId="6CBC8971" w14:textId="3A2B2EC6" w:rsidR="000E6BCE" w:rsidRPr="000E6BCE" w:rsidRDefault="000F363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1"/>
            <w14:checkedState w14:val="2612" w14:font="MS Gothic"/>
            <w14:uncheckedState w14:val="2610" w14:font="MS Gothic"/>
          </w14:checkbox>
        </w:sdtPr>
        <w:sdtEndPr/>
        <w:sdtContent>
          <w:r w:rsidR="0039617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Convention on Biological Diversity</w:t>
      </w:r>
    </w:p>
    <w:p w14:paraId="17F1AB90" w14:textId="6FEB4940" w:rsidR="000E6BCE" w:rsidRPr="000E6BCE" w:rsidRDefault="000F363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571A8EAD" w:rsidR="000E6BCE" w:rsidRPr="000E6BCE" w:rsidRDefault="000F363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Cartagena Protocol on Biosafety</w:t>
      </w:r>
    </w:p>
    <w:p w14:paraId="5E48F576" w14:textId="754AD0F9" w:rsidR="000E6BCE" w:rsidRPr="000E6BCE" w:rsidRDefault="000F363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on access and benefit sharing</w:t>
      </w:r>
    </w:p>
    <w:p w14:paraId="2FFD9B3E" w14:textId="31798EC9" w:rsidR="000E6BCE" w:rsidRDefault="000F363F"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14:paraId="338A8421" w14:textId="77777777" w:rsidTr="00C87850">
        <w:tc>
          <w:tcPr>
            <w:tcW w:w="9394" w:type="dxa"/>
          </w:tcPr>
          <w:p w14:paraId="14FB0CC2" w14:textId="7A867C01" w:rsidR="00C87850" w:rsidRDefault="00396170" w:rsidP="00396170">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We as focal point in my country, conducted with all stakeholders and private sector, by workshop held in my ministry, so after the discussion and break storming the ideas, they finally but the required.  </w:t>
            </w:r>
          </w:p>
          <w:p w14:paraId="755FF399"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164B69FB"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23EEE301" w14:textId="77777777" w:rsidR="00C87850" w:rsidRDefault="00C87850" w:rsidP="000E6BCE">
            <w:pPr>
              <w:pStyle w:val="NoSpacing"/>
              <w:spacing w:after="120" w:line="276" w:lineRule="auto"/>
              <w:jc w:val="both"/>
              <w:rPr>
                <w:rFonts w:asciiTheme="majorBidi" w:hAnsiTheme="majorBidi" w:cstheme="majorBidi"/>
                <w:sz w:val="22"/>
                <w:szCs w:val="22"/>
                <w:lang w:val="en-US"/>
              </w:rPr>
            </w:pPr>
          </w:p>
          <w:p w14:paraId="5A316207" w14:textId="77777777" w:rsidR="00080389" w:rsidRDefault="00080389" w:rsidP="000E6BCE">
            <w:pPr>
              <w:pStyle w:val="NoSpacing"/>
              <w:spacing w:after="120" w:line="276" w:lineRule="auto"/>
              <w:jc w:val="both"/>
              <w:rPr>
                <w:rFonts w:asciiTheme="majorBidi" w:hAnsiTheme="majorBidi" w:cstheme="majorBidi"/>
                <w:sz w:val="22"/>
                <w:szCs w:val="22"/>
                <w:lang w:val="en-US"/>
              </w:rPr>
            </w:pPr>
          </w:p>
        </w:tc>
      </w:tr>
    </w:tbl>
    <w:p w14:paraId="2ED94131"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19FF6188" w14:textId="77777777" w:rsidR="000E6BCE"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14:paraId="7E59DFDE" w14:textId="77777777" w:rsidTr="004F3C3B">
        <w:tc>
          <w:tcPr>
            <w:tcW w:w="9394" w:type="dxa"/>
          </w:tcPr>
          <w:p w14:paraId="6CE9E5B0"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25C8184D" w14:textId="2A2E33B4" w:rsidR="004F3C3B" w:rsidRDefault="00396170" w:rsidP="00AE21D0">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Syria needs more </w:t>
            </w:r>
            <w:r w:rsidR="00AE21D0">
              <w:rPr>
                <w:rFonts w:asciiTheme="majorBidi" w:hAnsiTheme="majorBidi" w:cstheme="majorBidi"/>
                <w:sz w:val="22"/>
                <w:szCs w:val="22"/>
                <w:lang w:val="en-US"/>
              </w:rPr>
              <w:t>than 9</w:t>
            </w:r>
            <w:r>
              <w:rPr>
                <w:rFonts w:asciiTheme="majorBidi" w:hAnsiTheme="majorBidi" w:cstheme="majorBidi"/>
                <w:sz w:val="22"/>
                <w:szCs w:val="22"/>
                <w:lang w:val="en-US"/>
              </w:rPr>
              <w:t xml:space="preserve"> million USD, because It did not get any financial support from 2011-till now from </w:t>
            </w:r>
            <w:r w:rsidR="00AE21D0">
              <w:rPr>
                <w:rFonts w:asciiTheme="majorBidi" w:hAnsiTheme="majorBidi" w:cstheme="majorBidi"/>
                <w:sz w:val="22"/>
                <w:szCs w:val="22"/>
                <w:lang w:val="en-US"/>
              </w:rPr>
              <w:t>GEF, It did not prepare the NBSAPs 2011-2020.</w:t>
            </w:r>
          </w:p>
          <w:p w14:paraId="4BC5CD18"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70B758E0" w14:textId="77777777" w:rsidR="00046C4B"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14:paraId="17CE297C" w14:textId="77777777" w:rsidTr="004F3C3B">
        <w:tc>
          <w:tcPr>
            <w:tcW w:w="9394" w:type="dxa"/>
          </w:tcPr>
          <w:p w14:paraId="60CF9D30" w14:textId="0210D43A" w:rsidR="004C49A0" w:rsidRDefault="00AE21D0" w:rsidP="00AE21D0">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Syria needs 10 million USD to implement the CBD and its protocols, It needs to update the NBSAPs, that aligned with KMGBF, prepare the indicators of KMGBF implementation, and to prepare the national framework of access to genetic resources and benefit sharing of using it,  and implementation of the national biosafety framework….etc.</w:t>
            </w:r>
          </w:p>
        </w:tc>
      </w:tr>
    </w:tbl>
    <w:p w14:paraId="3FC19D09"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3" w:history="1">
        <w:r w:rsidRPr="00A46F87">
          <w:rPr>
            <w:rStyle w:val="Hyperlink"/>
            <w:rFonts w:asciiTheme="majorBidi" w:hAnsiTheme="majorBidi" w:cstheme="majorBidi"/>
            <w:sz w:val="22"/>
            <w:szCs w:val="22"/>
            <w:lang w:val="en-US"/>
          </w:rPr>
          <w:t>secretariat@cbd.int</w:t>
        </w:r>
      </w:hyperlink>
    </w:p>
    <w:p w14:paraId="5293BBA7" w14:textId="6B7EFB7A" w:rsidR="00A46F87" w:rsidRPr="00A46F87" w:rsidRDefault="000F363F"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Yes</w:t>
      </w:r>
    </w:p>
    <w:p w14:paraId="0892D102" w14:textId="57C425A9" w:rsidR="00A46F87" w:rsidRPr="00A46F87" w:rsidRDefault="000F363F"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1"/>
            <w14:checkedState w14:val="2612" w14:font="MS Gothic"/>
            <w14:uncheckedState w14:val="2610" w14:font="MS Gothic"/>
          </w14:checkbox>
        </w:sdtPr>
        <w:sdtEndPr/>
        <w:sdtContent>
          <w:r w:rsidR="00AE21D0">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p w14:paraId="0368FD51" w14:textId="3F704E13"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2.3. In case of the incomplete conclusion of 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14:paraId="270F9BE1" w14:textId="77777777" w:rsidTr="00980715">
        <w:tc>
          <w:tcPr>
            <w:tcW w:w="9394" w:type="dxa"/>
          </w:tcPr>
          <w:p w14:paraId="6ECEA8AE" w14:textId="3717B5EA" w:rsidR="00980715" w:rsidRDefault="00AE21D0"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Syria needs to start working every </w:t>
            </w:r>
            <w:r w:rsidR="00876E54">
              <w:rPr>
                <w:rFonts w:asciiTheme="majorBidi" w:hAnsiTheme="majorBidi" w:cstheme="majorBidi"/>
                <w:sz w:val="22"/>
                <w:szCs w:val="22"/>
                <w:lang w:val="en-US"/>
              </w:rPr>
              <w:t>things for</w:t>
            </w:r>
            <w:r w:rsidR="00625845">
              <w:rPr>
                <w:rFonts w:asciiTheme="majorBidi" w:hAnsiTheme="majorBidi" w:cstheme="majorBidi"/>
                <w:sz w:val="22"/>
                <w:szCs w:val="22"/>
                <w:lang w:val="en-US"/>
              </w:rPr>
              <w:t xml:space="preserve"> implementing the CBD and its protocols from now. </w:t>
            </w:r>
          </w:p>
          <w:p w14:paraId="59EEE5E5" w14:textId="77777777" w:rsidR="00980715" w:rsidRDefault="00980715" w:rsidP="00410D9B">
            <w:pPr>
              <w:pStyle w:val="NoSpacing"/>
              <w:spacing w:after="120" w:line="276" w:lineRule="auto"/>
              <w:jc w:val="both"/>
              <w:rPr>
                <w:rFonts w:asciiTheme="majorBidi" w:hAnsiTheme="majorBidi" w:cstheme="majorBidi"/>
                <w:sz w:val="22"/>
                <w:szCs w:val="22"/>
                <w:lang w:val="en-US"/>
              </w:rPr>
            </w:pPr>
          </w:p>
          <w:p w14:paraId="0623D0D8" w14:textId="77777777" w:rsidR="00EE4143" w:rsidRDefault="00EE4143" w:rsidP="00410D9B">
            <w:pPr>
              <w:pStyle w:val="NoSpacing"/>
              <w:spacing w:after="120" w:line="276" w:lineRule="auto"/>
              <w:jc w:val="both"/>
              <w:rPr>
                <w:rFonts w:asciiTheme="majorBidi" w:hAnsiTheme="majorBidi" w:cstheme="majorBidi"/>
                <w:sz w:val="22"/>
                <w:szCs w:val="22"/>
                <w:lang w:val="en-US"/>
              </w:rPr>
            </w:pPr>
          </w:p>
        </w:tc>
      </w:tr>
    </w:tbl>
    <w:p w14:paraId="4DFEA73F" w14:textId="77777777" w:rsidR="00A46F87"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27B76" w:rsidRDefault="00A50487" w:rsidP="00A50487">
      <w:pPr>
        <w:ind w:left="5103" w:right="48"/>
        <w:jc w:val="right"/>
        <w:rPr>
          <w:rFonts w:asciiTheme="majorBidi" w:hAnsiTheme="majorBidi" w:cstheme="majorBidi"/>
          <w:sz w:val="22"/>
          <w:szCs w:val="22"/>
          <w:lang w:val="en-US"/>
        </w:rPr>
      </w:pPr>
    </w:p>
    <w:p w14:paraId="1F5B0C7D" w14:textId="7B638161" w:rsidR="00980715" w:rsidRDefault="00980715">
      <w:pPr>
        <w:rPr>
          <w:sz w:val="22"/>
          <w:szCs w:val="22"/>
          <w:lang w:val="en-CA"/>
        </w:rPr>
      </w:pPr>
      <w:r>
        <w:rPr>
          <w:sz w:val="22"/>
          <w:szCs w:val="22"/>
          <w:lang w:val="en-CA"/>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4"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5"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6"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7"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14:paraId="2DE26179" w14:textId="77777777" w:rsidTr="007B0890">
        <w:tc>
          <w:tcPr>
            <w:tcW w:w="9394" w:type="dxa"/>
          </w:tcPr>
          <w:p w14:paraId="320449E9" w14:textId="5EE00605" w:rsidR="007B0890" w:rsidRDefault="00876E54" w:rsidP="00876E54">
            <w:pPr>
              <w:spacing w:after="240"/>
              <w:rPr>
                <w:sz w:val="22"/>
                <w:szCs w:val="22"/>
                <w:lang w:val="en-US"/>
              </w:rPr>
            </w:pPr>
            <w:r>
              <w:rPr>
                <w:sz w:val="22"/>
                <w:szCs w:val="22"/>
                <w:lang w:val="en-US"/>
              </w:rPr>
              <w:t>With regret that Syria did not get previous  support from GEF to implement the CBD and its protocols since 2011 till now.</w:t>
            </w:r>
          </w:p>
          <w:p w14:paraId="75C60EE4" w14:textId="77777777" w:rsidR="007B0890" w:rsidRDefault="007B0890" w:rsidP="00F03440">
            <w:pPr>
              <w:spacing w:after="240"/>
              <w:rPr>
                <w:sz w:val="22"/>
                <w:szCs w:val="22"/>
                <w:lang w:val="en-US"/>
              </w:rPr>
            </w:pPr>
          </w:p>
          <w:p w14:paraId="78BAB5EE" w14:textId="77777777" w:rsidR="007B0890" w:rsidRDefault="007B0890" w:rsidP="00F03440">
            <w:pPr>
              <w:spacing w:after="240"/>
              <w:rPr>
                <w:sz w:val="22"/>
                <w:szCs w:val="22"/>
                <w:lang w:val="en-US"/>
              </w:rPr>
            </w:pPr>
          </w:p>
        </w:tc>
      </w:tr>
    </w:tbl>
    <w:p w14:paraId="431C1D8C" w14:textId="6B22B8C5" w:rsidR="00357EC1" w:rsidRDefault="00F03440" w:rsidP="001F0EBF">
      <w:pPr>
        <w:spacing w:before="240" w:after="240"/>
        <w:jc w:val="both"/>
        <w:rPr>
          <w:sz w:val="22"/>
          <w:szCs w:val="22"/>
          <w:lang w:val="en-US"/>
        </w:rPr>
      </w:pPr>
      <w:r w:rsidRPr="00F03440">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598EF722" w14:textId="34D3AF24" w:rsidR="007B0890" w:rsidRDefault="00876E54" w:rsidP="007B0890">
            <w:pPr>
              <w:spacing w:before="240" w:after="240"/>
              <w:rPr>
                <w:sz w:val="22"/>
                <w:szCs w:val="22"/>
                <w:lang w:val="en-US"/>
              </w:rPr>
            </w:pPr>
            <w:r>
              <w:rPr>
                <w:sz w:val="22"/>
                <w:szCs w:val="22"/>
                <w:lang w:val="en-US"/>
              </w:rPr>
              <w:t>- The GEF must Deal with all parties as same without any deference between them.</w:t>
            </w:r>
          </w:p>
          <w:p w14:paraId="435EE89C" w14:textId="77777777" w:rsidR="007B0890" w:rsidRDefault="007B0890" w:rsidP="007B0890">
            <w:pPr>
              <w:spacing w:before="240" w:after="240"/>
              <w:rPr>
                <w:sz w:val="22"/>
                <w:szCs w:val="22"/>
                <w:lang w:val="en-US"/>
              </w:rPr>
            </w:pPr>
          </w:p>
          <w:p w14:paraId="70B1360D" w14:textId="77777777" w:rsidR="007B0890" w:rsidRDefault="007B0890" w:rsidP="007B0890">
            <w:pPr>
              <w:spacing w:before="240" w:after="240"/>
              <w:rPr>
                <w:sz w:val="22"/>
                <w:szCs w:val="22"/>
                <w:lang w:val="en-US"/>
              </w:rPr>
            </w:pPr>
          </w:p>
        </w:tc>
      </w:tr>
    </w:tbl>
    <w:p w14:paraId="6557980B" w14:textId="77777777" w:rsidR="007B0890" w:rsidRDefault="007B0890" w:rsidP="007B0890">
      <w:pPr>
        <w:spacing w:before="240" w:after="240"/>
        <w:rPr>
          <w:sz w:val="22"/>
          <w:szCs w:val="22"/>
          <w:lang w:val="en-US"/>
        </w:rPr>
      </w:pPr>
    </w:p>
    <w:p w14:paraId="3C7AA047" w14:textId="77777777" w:rsidR="00FF169F" w:rsidRDefault="00FF169F" w:rsidP="007B0890">
      <w:pPr>
        <w:spacing w:before="240" w:after="240"/>
        <w:rPr>
          <w:sz w:val="22"/>
          <w:szCs w:val="22"/>
          <w:lang w:val="en-US"/>
        </w:rPr>
      </w:pPr>
    </w:p>
    <w:p w14:paraId="2E7AEB51" w14:textId="77777777" w:rsidR="00FF169F" w:rsidRPr="00FF169F" w:rsidRDefault="00FF169F" w:rsidP="00FF169F">
      <w:pPr>
        <w:spacing w:before="240" w:after="240"/>
        <w:rPr>
          <w:lang w:val="en-US"/>
        </w:rPr>
      </w:pPr>
      <w:r w:rsidRPr="00FF169F">
        <w:rPr>
          <w:b/>
          <w:bCs/>
          <w:lang w:val="en-US"/>
        </w:rPr>
        <w:t>Congratulations!</w:t>
      </w:r>
    </w:p>
    <w:p w14:paraId="3CA25E5D" w14:textId="53CE5696" w:rsidR="00FF169F" w:rsidRPr="00FF169F" w:rsidRDefault="00FF169F" w:rsidP="00B84E40">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8" w:history="1">
        <w:r w:rsidRPr="00FF169F">
          <w:rPr>
            <w:rStyle w:val="Hyperlink"/>
            <w:sz w:val="22"/>
            <w:szCs w:val="22"/>
            <w:lang w:val="en-US"/>
          </w:rPr>
          <w:t>secretariat@cbd.int</w:t>
        </w:r>
      </w:hyperlink>
    </w:p>
    <w:p w14:paraId="539F91FB" w14:textId="77777777" w:rsidR="00FF169F" w:rsidRPr="00357EC1" w:rsidRDefault="00FF169F" w:rsidP="007B0890">
      <w:pPr>
        <w:spacing w:before="240" w:after="240"/>
        <w:rPr>
          <w:sz w:val="22"/>
          <w:szCs w:val="22"/>
          <w:lang w:val="en-US"/>
        </w:rPr>
      </w:pPr>
    </w:p>
    <w:sectPr w:rsidR="00FF169F" w:rsidRPr="00357EC1" w:rsidSect="00BB3040">
      <w:footerReference w:type="even" r:id="rId19"/>
      <w:headerReference w:type="first" r:id="rId20"/>
      <w:footerReference w:type="first" r:id="rId21"/>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286A" w14:textId="77777777" w:rsidR="00FF4D5E" w:rsidRDefault="00FF4D5E">
      <w:r>
        <w:separator/>
      </w:r>
    </w:p>
  </w:endnote>
  <w:endnote w:type="continuationSeparator" w:id="0">
    <w:p w14:paraId="383BDAF8" w14:textId="77777777" w:rsidR="00FF4D5E" w:rsidRDefault="00FF4D5E">
      <w:r>
        <w:continuationSeparator/>
      </w:r>
    </w:p>
  </w:endnote>
  <w:endnote w:type="continuationNotice" w:id="1">
    <w:p w14:paraId="667B9AF5" w14:textId="77777777" w:rsidR="00FF4D5E" w:rsidRDefault="00FF4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shd w:val="clear" w:color="auto" w:fill="auto"/>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shd w:val="clear" w:color="auto" w:fill="auto"/>
          <w:vAlign w:val="center"/>
        </w:tcPr>
        <w:p w14:paraId="13D727D5" w14:textId="6531376D" w:rsidR="00051D35" w:rsidRPr="00333822" w:rsidRDefault="00E94156" w:rsidP="00E94156">
          <w:pPr>
            <w:rPr>
              <w:noProof/>
              <w:vertAlign w:val="subscript"/>
            </w:rPr>
          </w:pPr>
          <w:r>
            <w:rPr>
              <w:noProof/>
              <w:vertAlign w:val="subscript"/>
              <w:lang w:val="en-US" w:eastAsia="en-US"/>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shd w:val="clear" w:color="auto" w:fill="auto"/>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shd w:val="clear" w:color="auto" w:fill="auto"/>
          <w:vAlign w:val="center"/>
        </w:tcPr>
        <w:p w14:paraId="55BC85DB" w14:textId="7178FEF8" w:rsidR="00051D35" w:rsidRPr="0000434A" w:rsidRDefault="00E94156" w:rsidP="00813D35">
          <w:pPr>
            <w:rPr>
              <w:lang w:val="fr-CA"/>
            </w:rPr>
          </w:pPr>
          <w:r>
            <w:rPr>
              <w:noProof/>
              <w:lang w:val="en-US" w:eastAsia="en-US"/>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shd w:val="clear" w:color="auto" w:fill="auto"/>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shd w:val="clear" w:color="auto" w:fill="auto"/>
          <w:vAlign w:val="center"/>
        </w:tcPr>
        <w:p w14:paraId="1E25ED5C" w14:textId="4C33BBE3" w:rsidR="004E02BC" w:rsidRPr="00333822" w:rsidRDefault="004E02BC" w:rsidP="004E02BC">
          <w:pPr>
            <w:rPr>
              <w:noProof/>
              <w:vertAlign w:val="subscript"/>
            </w:rPr>
          </w:pPr>
          <w:r>
            <w:rPr>
              <w:noProof/>
              <w:vertAlign w:val="subscript"/>
              <w:lang w:val="en-US" w:eastAsia="en-US"/>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shd w:val="clear" w:color="auto" w:fill="auto"/>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shd w:val="clear" w:color="auto" w:fill="auto"/>
          <w:vAlign w:val="center"/>
        </w:tcPr>
        <w:p w14:paraId="4FB84576" w14:textId="30655C16" w:rsidR="004E02BC" w:rsidRPr="0000434A" w:rsidRDefault="007C054D" w:rsidP="004E02BC">
          <w:pPr>
            <w:jc w:val="center"/>
            <w:rPr>
              <w:lang w:val="fr-CA"/>
            </w:rPr>
          </w:pPr>
          <w:r>
            <w:rPr>
              <w:noProof/>
              <w:lang w:val="en-US" w:eastAsia="en-US"/>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9397" w14:textId="77777777" w:rsidR="00FF4D5E" w:rsidRDefault="00FF4D5E">
      <w:r>
        <w:separator/>
      </w:r>
    </w:p>
  </w:footnote>
  <w:footnote w:type="continuationSeparator" w:id="0">
    <w:p w14:paraId="60915321" w14:textId="77777777" w:rsidR="00FF4D5E" w:rsidRDefault="00FF4D5E">
      <w:r>
        <w:continuationSeparator/>
      </w:r>
    </w:p>
  </w:footnote>
  <w:footnote w:type="continuationNotice" w:id="1">
    <w:p w14:paraId="2281CE83" w14:textId="77777777" w:rsidR="00FF4D5E" w:rsidRDefault="00FF4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1395266">
    <w:abstractNumId w:val="7"/>
  </w:num>
  <w:num w:numId="2" w16cid:durableId="1215583837">
    <w:abstractNumId w:val="3"/>
  </w:num>
  <w:num w:numId="3" w16cid:durableId="83304290">
    <w:abstractNumId w:val="5"/>
  </w:num>
  <w:num w:numId="4" w16cid:durableId="1896382117">
    <w:abstractNumId w:val="9"/>
  </w:num>
  <w:num w:numId="5" w16cid:durableId="1766924046">
    <w:abstractNumId w:val="6"/>
  </w:num>
  <w:num w:numId="6" w16cid:durableId="25643644">
    <w:abstractNumId w:val="8"/>
  </w:num>
  <w:num w:numId="7" w16cid:durableId="104007397">
    <w:abstractNumId w:val="10"/>
  </w:num>
  <w:num w:numId="8" w16cid:durableId="732898550">
    <w:abstractNumId w:val="0"/>
  </w:num>
  <w:num w:numId="9" w16cid:durableId="1410350353">
    <w:abstractNumId w:val="2"/>
  </w:num>
  <w:num w:numId="10" w16cid:durableId="1362167236">
    <w:abstractNumId w:val="1"/>
  </w:num>
  <w:num w:numId="11" w16cid:durableId="7432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3F"/>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7642"/>
    <w:rsid w:val="001C0A04"/>
    <w:rsid w:val="001C2D35"/>
    <w:rsid w:val="001C2EA0"/>
    <w:rsid w:val="001C3829"/>
    <w:rsid w:val="001C78CB"/>
    <w:rsid w:val="001D3754"/>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DAE"/>
    <w:rsid w:val="0022170D"/>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DA8"/>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6A3E"/>
    <w:rsid w:val="00376A87"/>
    <w:rsid w:val="0038536F"/>
    <w:rsid w:val="003907DA"/>
    <w:rsid w:val="0039421A"/>
    <w:rsid w:val="00395128"/>
    <w:rsid w:val="003958C9"/>
    <w:rsid w:val="00396170"/>
    <w:rsid w:val="003A3162"/>
    <w:rsid w:val="003A5D2C"/>
    <w:rsid w:val="003B009B"/>
    <w:rsid w:val="003B3E62"/>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118DC"/>
    <w:rsid w:val="00512B8D"/>
    <w:rsid w:val="0051378F"/>
    <w:rsid w:val="00513EB2"/>
    <w:rsid w:val="00516A48"/>
    <w:rsid w:val="005170CE"/>
    <w:rsid w:val="005178A7"/>
    <w:rsid w:val="00517A59"/>
    <w:rsid w:val="005242F3"/>
    <w:rsid w:val="005272A8"/>
    <w:rsid w:val="00532476"/>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5845"/>
    <w:rsid w:val="00626CE8"/>
    <w:rsid w:val="00633284"/>
    <w:rsid w:val="006339AB"/>
    <w:rsid w:val="00634FD3"/>
    <w:rsid w:val="0064769A"/>
    <w:rsid w:val="0065000F"/>
    <w:rsid w:val="00650CE1"/>
    <w:rsid w:val="00656AE9"/>
    <w:rsid w:val="00661157"/>
    <w:rsid w:val="006618C3"/>
    <w:rsid w:val="00662C1B"/>
    <w:rsid w:val="006636FB"/>
    <w:rsid w:val="00664807"/>
    <w:rsid w:val="00672A65"/>
    <w:rsid w:val="006763A9"/>
    <w:rsid w:val="00676A1A"/>
    <w:rsid w:val="006814B7"/>
    <w:rsid w:val="00682368"/>
    <w:rsid w:val="006836A4"/>
    <w:rsid w:val="00687F86"/>
    <w:rsid w:val="006908C3"/>
    <w:rsid w:val="00691588"/>
    <w:rsid w:val="0069341E"/>
    <w:rsid w:val="00695153"/>
    <w:rsid w:val="00695314"/>
    <w:rsid w:val="006A48C2"/>
    <w:rsid w:val="006A4BD5"/>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76E54"/>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21D0"/>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7313"/>
    <w:rsid w:val="00B2736A"/>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4D5E"/>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customStyle="1" w:styleId="UnresolvedMention1">
    <w:name w:val="Unresolved Mention1"/>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yperlink" Target="mailto:secretariat@cbd.i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bilal.alhayek@hotmail.com" TargetMode="External"/><Relationship Id="rId17" Type="http://schemas.openxmlformats.org/officeDocument/2006/relationships/hyperlink" Target="mailto:secretariat@cbd.int" TargetMode="External"/><Relationship Id="rId2" Type="http://schemas.openxmlformats.org/officeDocument/2006/relationships/customXml" Target="../customXml/item2.xml"/><Relationship Id="rId16" Type="http://schemas.openxmlformats.org/officeDocument/2006/relationships/hyperlink" Target="https://www.cbd.int/financial/gef9needs.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alhayek75@gmail.com/"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3.xml><?xml version="1.0" encoding="utf-8"?>
<ds:datastoreItem xmlns:ds="http://schemas.openxmlformats.org/officeDocument/2006/customXml" ds:itemID="{6AC857D8-3FA1-4317-9697-1F3170ABE341}">
  <ds:schemaRefs>
    <ds:schemaRef ds:uri="http://schemas.openxmlformats.org/officeDocument/2006/bibliography"/>
  </ds:schemaRefs>
</ds:datastoreItem>
</file>

<file path=customXml/itemProps4.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1</TotalTime>
  <Pages>6</Pages>
  <Words>1826</Words>
  <Characters>11465</Characters>
  <Application>Microsoft Office Word</Application>
  <DocSecurity>4</DocSecurity>
  <Lines>95</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2025-07-01T16:29:00Z</dcterms:created>
  <dcterms:modified xsi:type="dcterms:W3CDTF">2025-07-01T16:29:00Z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