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125C39D3" w:rsidR="00107BE5" w:rsidRDefault="00171FCA"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Thailand</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30B930F8" w:rsidR="009F7A9F" w:rsidRDefault="00171FCA"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 xml:space="preserve">Office of Natural Resources and Environmental Policy and Planning </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6342FD40" w:rsidR="009F7A9F" w:rsidRPr="00171FCA" w:rsidRDefault="00171FCA" w:rsidP="00EB0D7D">
            <w:pPr>
              <w:pStyle w:val="NoSpacing"/>
              <w:spacing w:after="120" w:line="276" w:lineRule="auto"/>
              <w:jc w:val="both"/>
              <w:rPr>
                <w:rFonts w:asciiTheme="majorBidi" w:hAnsiTheme="majorBidi" w:cstheme="majorBidi"/>
                <w:sz w:val="22"/>
                <w:szCs w:val="22"/>
              </w:rPr>
            </w:pPr>
            <w:r w:rsidRPr="00171FCA">
              <w:rPr>
                <w:rFonts w:cs="Arial"/>
                <w:sz w:val="22"/>
                <w:szCs w:val="22"/>
              </w:rPr>
              <w:t xml:space="preserve">Dr. </w:t>
            </w:r>
            <w:proofErr w:type="spellStart"/>
            <w:r w:rsidRPr="00171FCA">
              <w:rPr>
                <w:rFonts w:cs="Arial"/>
                <w:sz w:val="22"/>
                <w:szCs w:val="22"/>
              </w:rPr>
              <w:t>Benchamaporn</w:t>
            </w:r>
            <w:proofErr w:type="spellEnd"/>
            <w:r w:rsidRPr="00171FCA">
              <w:rPr>
                <w:rFonts w:cs="Arial"/>
                <w:sz w:val="22"/>
                <w:szCs w:val="22"/>
              </w:rPr>
              <w:t xml:space="preserve"> </w:t>
            </w:r>
            <w:proofErr w:type="spellStart"/>
            <w:r w:rsidRPr="00171FCA">
              <w:rPr>
                <w:rFonts w:cs="Arial"/>
                <w:sz w:val="22"/>
                <w:szCs w:val="22"/>
              </w:rPr>
              <w:t>Wattanatongchai</w:t>
            </w:r>
            <w:proofErr w:type="spellEnd"/>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0DD74045" w:rsidR="009F7A9F" w:rsidRDefault="00171FCA"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Director of Biodiversity Focal Point Section</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4C274F91" w:rsidR="009F7A9F" w:rsidRDefault="00171FCA" w:rsidP="000E6BCE">
            <w:pPr>
              <w:pStyle w:val="NoSpacing"/>
              <w:spacing w:after="120" w:line="276" w:lineRule="auto"/>
              <w:jc w:val="both"/>
              <w:rPr>
                <w:rFonts w:asciiTheme="majorBidi" w:hAnsiTheme="majorBidi" w:cstheme="majorBidi"/>
                <w:sz w:val="22"/>
                <w:szCs w:val="22"/>
              </w:rPr>
            </w:pPr>
            <w:hyperlink r:id="rId11" w:history="1">
              <w:r w:rsidRPr="00983F85">
                <w:rPr>
                  <w:rStyle w:val="Hyperlink"/>
                  <w:rFonts w:asciiTheme="majorBidi" w:hAnsiTheme="majorBidi" w:cstheme="majorBidi"/>
                  <w:sz w:val="22"/>
                  <w:szCs w:val="22"/>
                </w:rPr>
                <w:t>noina_bencha@hotmail.com</w:t>
              </w:r>
            </w:hyperlink>
            <w:r>
              <w:rPr>
                <w:rFonts w:asciiTheme="majorBidi" w:hAnsiTheme="majorBidi" w:cstheme="majorBidi"/>
                <w:sz w:val="22"/>
                <w:szCs w:val="22"/>
              </w:rPr>
              <w:t xml:space="preserve">, </w:t>
            </w:r>
            <w:hyperlink r:id="rId12" w:history="1">
              <w:r w:rsidR="00652074" w:rsidRPr="00983F85">
                <w:rPr>
                  <w:rStyle w:val="Hyperlink"/>
                  <w:rFonts w:asciiTheme="majorBidi" w:hAnsiTheme="majorBidi" w:cstheme="majorBidi"/>
                  <w:sz w:val="22"/>
                  <w:szCs w:val="22"/>
                </w:rPr>
                <w:t>nfp.onep@gmail.com</w:t>
              </w:r>
            </w:hyperlink>
            <w:r w:rsidR="00652074">
              <w:rPr>
                <w:rFonts w:asciiTheme="majorBidi" w:hAnsiTheme="majorBidi" w:cstheme="majorBidi"/>
                <w:sz w:val="22"/>
                <w:szCs w:val="22"/>
              </w:rPr>
              <w:t xml:space="preserve"> </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50CD36D9" w:rsidR="000E6BCE" w:rsidRPr="000E6BCE" w:rsidRDefault="005729C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00171FCA">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5729C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5729C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Pr="000E6BCE" w:rsidRDefault="005729C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2FFD9B3E" w14:textId="31798EC9" w:rsidR="000E6BCE" w:rsidRDefault="005729C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14FB0CC2" w14:textId="3469A624" w:rsidR="00C87850" w:rsidRDefault="00DB325F" w:rsidP="000E6BCE">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Coordinated with different agencies to conserve and sustainable use of biodiversity. </w:t>
            </w:r>
          </w:p>
          <w:p w14:paraId="755FF399"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164B69FB"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23EEE301"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25C8184D" w14:textId="0CBDC48A" w:rsidR="004F3C3B" w:rsidRDefault="005A68FC"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The previous national biodiversity strategies and action plans, which </w:t>
            </w:r>
            <w:r w:rsidRPr="00A46F87">
              <w:rPr>
                <w:rFonts w:asciiTheme="majorBidi" w:hAnsiTheme="majorBidi" w:cstheme="majorBidi"/>
                <w:sz w:val="22"/>
                <w:szCs w:val="22"/>
                <w:lang w:val="en-US"/>
              </w:rPr>
              <w:t xml:space="preserve">aligned with the Strategic </w:t>
            </w:r>
            <w:r w:rsidRPr="005A68FC">
              <w:rPr>
                <w:rFonts w:asciiTheme="majorBidi" w:hAnsiTheme="majorBidi" w:cstheme="majorBidi"/>
                <w:sz w:val="22"/>
                <w:szCs w:val="22"/>
                <w:lang w:val="en-US"/>
              </w:rPr>
              <w:t>Plan for Biodiversity 2011-2020</w:t>
            </w:r>
            <w:r>
              <w:rPr>
                <w:rFonts w:asciiTheme="majorBidi" w:hAnsiTheme="majorBidi" w:cstheme="majorBidi"/>
                <w:sz w:val="22"/>
                <w:szCs w:val="22"/>
                <w:lang w:val="en-US"/>
              </w:rPr>
              <w:t xml:space="preserve">, was implemented from 2015 to 2022. The total cost </w:t>
            </w:r>
            <w:r w:rsidR="0029633C">
              <w:rPr>
                <w:rFonts w:asciiTheme="majorBidi" w:hAnsiTheme="majorBidi" w:cstheme="majorBidi"/>
                <w:sz w:val="22"/>
                <w:szCs w:val="22"/>
                <w:lang w:val="en-US"/>
              </w:rPr>
              <w:t xml:space="preserve">was approximately </w:t>
            </w:r>
            <w:r>
              <w:rPr>
                <w:rFonts w:asciiTheme="majorBidi" w:hAnsiTheme="majorBidi" w:cstheme="majorBidi"/>
                <w:sz w:val="22"/>
                <w:szCs w:val="22"/>
                <w:lang w:val="en-US"/>
              </w:rPr>
              <w:t>2,823.40</w:t>
            </w:r>
            <w:r w:rsidRPr="00A46F87">
              <w:rPr>
                <w:rFonts w:asciiTheme="majorBidi" w:hAnsiTheme="majorBidi" w:cstheme="majorBidi"/>
                <w:sz w:val="22"/>
                <w:szCs w:val="22"/>
                <w:lang w:val="en-US"/>
              </w:rPr>
              <w:t xml:space="preserve"> million US dollars</w:t>
            </w:r>
            <w:r>
              <w:rPr>
                <w:rFonts w:asciiTheme="majorBidi" w:hAnsiTheme="majorBidi" w:cstheme="majorBidi"/>
                <w:sz w:val="22"/>
                <w:szCs w:val="22"/>
                <w:lang w:val="en-US"/>
              </w:rPr>
              <w:t>.</w:t>
            </w: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57E9CD28" w14:textId="6729A5DE" w:rsidR="004F3C3B" w:rsidRDefault="00F27E0D"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NBSAP was approved from the Cabinet in October, 2024. Therefore, the total costs of the implementation will be </w:t>
            </w:r>
            <w:r w:rsidR="00B249C8">
              <w:rPr>
                <w:rFonts w:asciiTheme="majorBidi" w:hAnsiTheme="majorBidi" w:cstheme="majorBidi"/>
                <w:sz w:val="22"/>
                <w:szCs w:val="22"/>
                <w:lang w:val="en-US"/>
              </w:rPr>
              <w:t>analyzed</w:t>
            </w:r>
            <w:r>
              <w:rPr>
                <w:rFonts w:asciiTheme="majorBidi" w:hAnsiTheme="majorBidi" w:cstheme="majorBidi"/>
                <w:sz w:val="22"/>
                <w:szCs w:val="22"/>
                <w:lang w:val="en-US"/>
              </w:rPr>
              <w:t xml:space="preserve"> latter on. </w:t>
            </w:r>
          </w:p>
          <w:p w14:paraId="60CF9D3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3" w:history="1">
        <w:r w:rsidRPr="00A46F87">
          <w:rPr>
            <w:rStyle w:val="Hyperlink"/>
            <w:rFonts w:asciiTheme="majorBidi" w:hAnsiTheme="majorBidi" w:cstheme="majorBidi"/>
            <w:sz w:val="22"/>
            <w:szCs w:val="22"/>
            <w:lang w:val="en-US"/>
          </w:rPr>
          <w:t>secretariat@cbd.int</w:t>
        </w:r>
      </w:hyperlink>
    </w:p>
    <w:p w14:paraId="5293BBA7" w14:textId="47FA5E84" w:rsidR="00A46F87" w:rsidRPr="00A46F87" w:rsidRDefault="005729C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004D2718">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3EF45529" w:rsidR="00A46F87" w:rsidRPr="00A46F87" w:rsidRDefault="005729C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48742D5D" w:rsidR="00980715" w:rsidRDefault="0073778E"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NBSAP was already submitted to CBD. The activities under NBSAP are compiled from relevant agencies.</w:t>
            </w: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4"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5"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6"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7"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75C60EE4" w14:textId="49B99075" w:rsidR="007B0890" w:rsidRDefault="00BD41EF" w:rsidP="00F03440">
            <w:pPr>
              <w:spacing w:after="240"/>
              <w:rPr>
                <w:sz w:val="22"/>
                <w:szCs w:val="22"/>
                <w:lang w:val="en-US"/>
              </w:rPr>
            </w:pPr>
            <w:r>
              <w:rPr>
                <w:sz w:val="22"/>
                <w:szCs w:val="22"/>
                <w:lang w:val="en-US"/>
              </w:rPr>
              <w:t xml:space="preserve">Currently, </w:t>
            </w:r>
            <w:r w:rsidR="001D2BF9">
              <w:rPr>
                <w:sz w:val="22"/>
                <w:szCs w:val="22"/>
                <w:lang w:val="en-US"/>
              </w:rPr>
              <w:t xml:space="preserve">each organization related to biodiversity focus on its mandates. The collaboration among these agencies is limited. The strengthen </w:t>
            </w:r>
            <w:r w:rsidR="00414F01">
              <w:rPr>
                <w:sz w:val="22"/>
                <w:szCs w:val="22"/>
                <w:lang w:val="en-US"/>
              </w:rPr>
              <w:t xml:space="preserve">collaboration </w:t>
            </w:r>
            <w:r w:rsidR="001D2BF9">
              <w:rPr>
                <w:sz w:val="22"/>
                <w:szCs w:val="22"/>
                <w:lang w:val="en-US"/>
              </w:rPr>
              <w:t>is challenge</w:t>
            </w:r>
            <w:r w:rsidR="00414F01">
              <w:rPr>
                <w:sz w:val="22"/>
                <w:szCs w:val="22"/>
                <w:lang w:val="en-US"/>
              </w:rPr>
              <w:t>d</w:t>
            </w:r>
            <w:r w:rsidR="001D2BF9">
              <w:rPr>
                <w:sz w:val="22"/>
                <w:szCs w:val="22"/>
                <w:lang w:val="en-US"/>
              </w:rPr>
              <w:t xml:space="preserve"> and required to achieve the goal of the </w:t>
            </w:r>
            <w:r w:rsidR="001D2BF9" w:rsidRPr="00F03440">
              <w:rPr>
                <w:sz w:val="22"/>
                <w:szCs w:val="22"/>
                <w:lang w:val="en-US"/>
              </w:rPr>
              <w:t>Framework</w:t>
            </w:r>
            <w:r w:rsidR="001D2BF9">
              <w:rPr>
                <w:sz w:val="22"/>
                <w:szCs w:val="22"/>
                <w:lang w:val="en-US"/>
              </w:rPr>
              <w:t xml:space="preserve">. </w:t>
            </w: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3663D697" w:rsidR="007B0890" w:rsidRDefault="00414F01" w:rsidP="007B0890">
            <w:pPr>
              <w:spacing w:before="240" w:after="240"/>
              <w:rPr>
                <w:sz w:val="22"/>
                <w:szCs w:val="22"/>
                <w:lang w:val="en-US"/>
              </w:rPr>
            </w:pPr>
            <w:r>
              <w:rPr>
                <w:sz w:val="22"/>
                <w:szCs w:val="22"/>
                <w:lang w:val="en-US"/>
              </w:rPr>
              <w:t xml:space="preserve">The </w:t>
            </w:r>
            <w:r w:rsidR="00DB325F">
              <w:rPr>
                <w:sz w:val="22"/>
                <w:szCs w:val="22"/>
                <w:lang w:val="en-US"/>
              </w:rPr>
              <w:t xml:space="preserve">increase </w:t>
            </w:r>
            <w:r>
              <w:rPr>
                <w:sz w:val="22"/>
                <w:szCs w:val="22"/>
                <w:lang w:val="en-US"/>
              </w:rPr>
              <w:t xml:space="preserve">number of agencies (from different ministry, private sector and non-government organization) </w:t>
            </w:r>
            <w:r w:rsidR="00DB325F">
              <w:rPr>
                <w:sz w:val="22"/>
                <w:szCs w:val="22"/>
                <w:lang w:val="en-US"/>
              </w:rPr>
              <w:t xml:space="preserve">should be </w:t>
            </w:r>
            <w:r>
              <w:rPr>
                <w:sz w:val="22"/>
                <w:szCs w:val="22"/>
                <w:lang w:val="en-US"/>
              </w:rPr>
              <w:t xml:space="preserve">collaborate in the GEF trust fund project. </w:t>
            </w: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8"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9"/>
      <w:headerReference w:type="first" r:id="rId20"/>
      <w:footerReference w:type="first" r:id="rId21"/>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8E28" w14:textId="77777777" w:rsidR="00792572" w:rsidRDefault="00792572">
      <w:r>
        <w:separator/>
      </w:r>
    </w:p>
  </w:endnote>
  <w:endnote w:type="continuationSeparator" w:id="0">
    <w:p w14:paraId="2786052A" w14:textId="77777777" w:rsidR="00792572" w:rsidRDefault="00792572">
      <w:r>
        <w:continuationSeparator/>
      </w:r>
    </w:p>
  </w:endnote>
  <w:endnote w:type="continuationNotice" w:id="1">
    <w:p w14:paraId="79E1979E" w14:textId="77777777" w:rsidR="00792572" w:rsidRDefault="00792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en-US" w:eastAsia="en-US" w:bidi="th-TH"/>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en-US" w:eastAsia="en-US" w:bidi="th-TH"/>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lang w:val="en-US" w:eastAsia="en-US" w:bidi="th-TH"/>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en-US" w:eastAsia="en-US" w:bidi="th-TH"/>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BBF2" w14:textId="77777777" w:rsidR="00792572" w:rsidRDefault="00792572">
      <w:r>
        <w:separator/>
      </w:r>
    </w:p>
  </w:footnote>
  <w:footnote w:type="continuationSeparator" w:id="0">
    <w:p w14:paraId="7671B64A" w14:textId="77777777" w:rsidR="00792572" w:rsidRDefault="00792572">
      <w:r>
        <w:continuationSeparator/>
      </w:r>
    </w:p>
  </w:footnote>
  <w:footnote w:type="continuationNotice" w:id="1">
    <w:p w14:paraId="4361B8D8" w14:textId="77777777" w:rsidR="00792572" w:rsidRDefault="00792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bidi="th-TH"/>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3969274">
    <w:abstractNumId w:val="7"/>
  </w:num>
  <w:num w:numId="2" w16cid:durableId="1386873137">
    <w:abstractNumId w:val="3"/>
  </w:num>
  <w:num w:numId="3" w16cid:durableId="655644519">
    <w:abstractNumId w:val="5"/>
  </w:num>
  <w:num w:numId="4" w16cid:durableId="1234047077">
    <w:abstractNumId w:val="9"/>
  </w:num>
  <w:num w:numId="5" w16cid:durableId="32006390">
    <w:abstractNumId w:val="6"/>
  </w:num>
  <w:num w:numId="6" w16cid:durableId="2142576494">
    <w:abstractNumId w:val="8"/>
  </w:num>
  <w:num w:numId="7" w16cid:durableId="734858127">
    <w:abstractNumId w:val="10"/>
  </w:num>
  <w:num w:numId="8" w16cid:durableId="367920902">
    <w:abstractNumId w:val="0"/>
  </w:num>
  <w:num w:numId="9" w16cid:durableId="1312128575">
    <w:abstractNumId w:val="2"/>
  </w:num>
  <w:num w:numId="10" w16cid:durableId="1906597815">
    <w:abstractNumId w:val="1"/>
  </w:num>
  <w:num w:numId="11" w16cid:durableId="17310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1FCA"/>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2BF9"/>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9633C"/>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803"/>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01"/>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2718"/>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29C8"/>
    <w:rsid w:val="00573431"/>
    <w:rsid w:val="005824FC"/>
    <w:rsid w:val="00584B19"/>
    <w:rsid w:val="005932D5"/>
    <w:rsid w:val="00596A92"/>
    <w:rsid w:val="005A0A06"/>
    <w:rsid w:val="005A1C8C"/>
    <w:rsid w:val="005A22BB"/>
    <w:rsid w:val="005A2A15"/>
    <w:rsid w:val="005A68FC"/>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2074"/>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3778E"/>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2AE4"/>
    <w:rsid w:val="00774A0F"/>
    <w:rsid w:val="00774E83"/>
    <w:rsid w:val="00774EC8"/>
    <w:rsid w:val="0077577E"/>
    <w:rsid w:val="00776FD7"/>
    <w:rsid w:val="00777CDA"/>
    <w:rsid w:val="0078160C"/>
    <w:rsid w:val="007823FF"/>
    <w:rsid w:val="00786671"/>
    <w:rsid w:val="0079150F"/>
    <w:rsid w:val="00791D35"/>
    <w:rsid w:val="0079250B"/>
    <w:rsid w:val="00792572"/>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3430"/>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49C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D41E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3723B"/>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B325F"/>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27E0D"/>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yperlink" Target="mailto:secretariat@cbd.i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fp.onep@gmail.com" TargetMode="External"/><Relationship Id="rId17" Type="http://schemas.openxmlformats.org/officeDocument/2006/relationships/hyperlink" Target="mailto:secretariat@cbd.int" TargetMode="External"/><Relationship Id="rId2" Type="http://schemas.openxmlformats.org/officeDocument/2006/relationships/customXml" Target="../customXml/item2.xml"/><Relationship Id="rId16" Type="http://schemas.openxmlformats.org/officeDocument/2006/relationships/hyperlink" Target="https://www.cbd.int/financial/gef9need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ina_bencha@hotmail.com"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777E18E0-2EC2-4094-8C0E-237D8D200C59}">
  <ds:schemaRefs>
    <ds:schemaRef ds:uri="http://schemas.openxmlformats.org/officeDocument/2006/bibliography"/>
  </ds:schemaRefs>
</ds:datastoreItem>
</file>

<file path=customXml/itemProps4.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6</Pages>
  <Words>1789</Words>
  <Characters>11433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2025-07-21T16:29:00Z</dcterms:created>
  <dcterms:modified xsi:type="dcterms:W3CDTF">2025-07-21T16:29:00Z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